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34A6CF">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p>
    <w:p w14:paraId="52F02D0A">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p>
    <w:p w14:paraId="62FCAA4E">
      <w:pPr>
        <w:widowControl w:val="0"/>
        <w:kinsoku/>
        <w:autoSpaceDE/>
        <w:autoSpaceDN/>
        <w:adjustRightInd/>
        <w:spacing w:line="360" w:lineRule="auto"/>
        <w:jc w:val="center"/>
        <w:textAlignment w:val="auto"/>
        <w:rPr>
          <w:rFonts w:ascii="Times New Roman" w:hAnsi="Times New Roman" w:eastAsia="宋体" w:cs="Times New Roman"/>
          <w:b/>
          <w:snapToGrid/>
          <w:color w:val="auto"/>
          <w:kern w:val="2"/>
          <w:sz w:val="72"/>
          <w:szCs w:val="72"/>
          <w:lang w:eastAsia="zh-CN"/>
        </w:rPr>
      </w:pPr>
      <w:r>
        <w:rPr>
          <w:rFonts w:hint="eastAsia" w:ascii="Times New Roman" w:hAnsi="Times New Roman" w:eastAsia="宋体" w:cs="Times New Roman"/>
          <w:b/>
          <w:snapToGrid/>
          <w:color w:val="auto"/>
          <w:kern w:val="2"/>
          <w:sz w:val="72"/>
          <w:szCs w:val="72"/>
          <w:lang w:eastAsia="zh-CN"/>
        </w:rPr>
        <w:t>建设项目环境影响报告表</w:t>
      </w:r>
    </w:p>
    <w:p w14:paraId="121E4BBB">
      <w:pPr>
        <w:spacing w:line="360" w:lineRule="auto"/>
        <w:jc w:val="center"/>
        <w:rPr>
          <w:rFonts w:ascii="Times New Roman" w:hAnsi="Times New Roman" w:eastAsia="宋体" w:cs="Times New Roman"/>
          <w:b/>
          <w:color w:val="auto"/>
          <w:sz w:val="48"/>
          <w:szCs w:val="48"/>
          <w:lang w:eastAsia="zh-CN"/>
        </w:rPr>
      </w:pPr>
      <w:r>
        <w:rPr>
          <w:rFonts w:hint="eastAsia" w:ascii="Times New Roman" w:hAnsi="Times New Roman" w:eastAsia="宋体" w:cs="Times New Roman"/>
          <w:b/>
          <w:snapToGrid/>
          <w:color w:val="auto"/>
          <w:kern w:val="2"/>
          <w:sz w:val="48"/>
          <w:szCs w:val="48"/>
          <w:lang w:eastAsia="zh-CN"/>
        </w:rPr>
        <w:t>（污染影响类</w:t>
      </w:r>
      <w:r>
        <w:rPr>
          <w:rFonts w:hint="eastAsia" w:ascii="Times New Roman" w:hAnsi="Times New Roman" w:eastAsia="宋体" w:cs="Times New Roman"/>
          <w:b/>
          <w:color w:val="auto"/>
          <w:sz w:val="48"/>
          <w:szCs w:val="48"/>
          <w:lang w:eastAsia="zh-CN"/>
        </w:rPr>
        <w:t>）</w:t>
      </w:r>
    </w:p>
    <w:p w14:paraId="2F4BECCC">
      <w:pPr>
        <w:spacing w:line="360" w:lineRule="auto"/>
        <w:jc w:val="center"/>
        <w:rPr>
          <w:rFonts w:ascii="Times New Roman" w:hAnsi="Times New Roman" w:eastAsia="宋体" w:cs="Times New Roman"/>
          <w:b/>
          <w:color w:val="auto"/>
          <w:sz w:val="28"/>
          <w:szCs w:val="28"/>
          <w:lang w:eastAsia="zh-CN"/>
        </w:rPr>
      </w:pPr>
    </w:p>
    <w:p w14:paraId="0EC819DD">
      <w:pPr>
        <w:spacing w:line="360" w:lineRule="auto"/>
        <w:jc w:val="center"/>
        <w:rPr>
          <w:rFonts w:ascii="Times New Roman" w:hAnsi="Times New Roman" w:eastAsia="宋体" w:cs="Times New Roman"/>
          <w:b/>
          <w:color w:val="auto"/>
          <w:sz w:val="44"/>
          <w:szCs w:val="44"/>
          <w:lang w:eastAsia="zh-CN"/>
        </w:rPr>
      </w:pPr>
      <w:bookmarkStart w:id="0" w:name="_Hlk57883728"/>
    </w:p>
    <w:p w14:paraId="2D94FF44">
      <w:pPr>
        <w:spacing w:line="360" w:lineRule="auto"/>
        <w:jc w:val="center"/>
        <w:rPr>
          <w:rFonts w:ascii="Times New Roman" w:hAnsi="Times New Roman" w:eastAsia="宋体" w:cs="Times New Roman"/>
          <w:b/>
          <w:color w:val="auto"/>
          <w:sz w:val="44"/>
          <w:szCs w:val="44"/>
          <w:lang w:eastAsia="zh-CN"/>
        </w:rPr>
      </w:pPr>
    </w:p>
    <w:p w14:paraId="48118E39">
      <w:pPr>
        <w:spacing w:line="360" w:lineRule="auto"/>
        <w:jc w:val="center"/>
        <w:rPr>
          <w:rFonts w:ascii="Times New Roman" w:hAnsi="Times New Roman" w:eastAsia="宋体" w:cs="Times New Roman"/>
          <w:color w:val="auto"/>
          <w:sz w:val="44"/>
          <w:szCs w:val="44"/>
          <w:lang w:eastAsia="zh-CN"/>
        </w:rPr>
      </w:pPr>
    </w:p>
    <w:p w14:paraId="6489F539">
      <w:pPr>
        <w:spacing w:line="360" w:lineRule="auto"/>
        <w:jc w:val="center"/>
        <w:rPr>
          <w:rFonts w:ascii="Times New Roman" w:hAnsi="Times New Roman" w:eastAsia="宋体" w:cs="Times New Roman"/>
          <w:color w:val="auto"/>
          <w:sz w:val="24"/>
          <w:lang w:eastAsia="zh-CN"/>
        </w:rPr>
      </w:pPr>
    </w:p>
    <w:p w14:paraId="1B9187B7">
      <w:pPr>
        <w:spacing w:line="360" w:lineRule="auto"/>
        <w:jc w:val="center"/>
        <w:rPr>
          <w:rFonts w:ascii="Times New Roman" w:hAnsi="Times New Roman" w:eastAsia="宋体" w:cs="Times New Roman"/>
          <w:color w:val="auto"/>
          <w:sz w:val="24"/>
          <w:lang w:eastAsia="zh-CN"/>
        </w:rPr>
      </w:pPr>
    </w:p>
    <w:p w14:paraId="3910428F">
      <w:pPr>
        <w:spacing w:line="360" w:lineRule="auto"/>
        <w:jc w:val="center"/>
        <w:rPr>
          <w:rFonts w:ascii="Times New Roman" w:hAnsi="Times New Roman" w:eastAsia="宋体" w:cs="Times New Roman"/>
          <w:color w:val="auto"/>
          <w:sz w:val="24"/>
          <w:lang w:eastAsia="zh-CN"/>
        </w:rPr>
      </w:pPr>
    </w:p>
    <w:p w14:paraId="3FD641F0">
      <w:pPr>
        <w:spacing w:line="360" w:lineRule="auto"/>
        <w:jc w:val="center"/>
        <w:rPr>
          <w:rFonts w:ascii="Times New Roman" w:hAnsi="Times New Roman" w:eastAsia="宋体" w:cs="Times New Roman"/>
          <w:color w:val="auto"/>
          <w:sz w:val="24"/>
          <w:lang w:eastAsia="zh-CN"/>
        </w:rPr>
      </w:pPr>
    </w:p>
    <w:bookmarkEnd w:id="0"/>
    <w:p w14:paraId="19AC73CC">
      <w:pPr>
        <w:spacing w:line="360" w:lineRule="auto"/>
        <w:jc w:val="center"/>
        <w:rPr>
          <w:rFonts w:ascii="Times New Roman" w:hAnsi="Times New Roman" w:eastAsia="宋体" w:cs="Times New Roman"/>
          <w:color w:val="auto"/>
          <w:sz w:val="36"/>
          <w:szCs w:val="36"/>
          <w:lang w:eastAsia="zh-CN"/>
        </w:rPr>
      </w:pPr>
    </w:p>
    <w:p w14:paraId="07E32A43">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项目名称：</w:t>
      </w:r>
      <w:r>
        <w:rPr>
          <w:rFonts w:hint="eastAsia" w:ascii="Times New Roman" w:hAnsi="Times New Roman" w:eastAsia="宋体" w:cs="Times New Roman"/>
          <w:snapToGrid/>
          <w:color w:val="auto"/>
          <w:kern w:val="2"/>
          <w:sz w:val="28"/>
          <w:szCs w:val="28"/>
          <w:u w:val="single"/>
          <w:lang w:eastAsia="zh-CN"/>
        </w:rPr>
        <w:t xml:space="preserve">云南赛农农业科技有限公司改性磷石膏综合利用项目   </w:t>
      </w:r>
    </w:p>
    <w:p w14:paraId="30D8F4F4">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建设单位（盖章）：</w:t>
      </w:r>
      <w:r>
        <w:rPr>
          <w:rFonts w:hint="eastAsia" w:ascii="Times New Roman" w:hAnsi="Times New Roman" w:eastAsia="宋体" w:cs="Times New Roman"/>
          <w:snapToGrid/>
          <w:color w:val="auto"/>
          <w:kern w:val="2"/>
          <w:sz w:val="28"/>
          <w:szCs w:val="28"/>
          <w:u w:val="single"/>
          <w:lang w:eastAsia="zh-CN"/>
        </w:rPr>
        <w:t xml:space="preserve">         云南赛农农业科技有限公司                      </w:t>
      </w:r>
    </w:p>
    <w:p w14:paraId="0E39F95A">
      <w:pPr>
        <w:widowControl w:val="0"/>
        <w:kinsoku/>
        <w:overflowPunct w:val="0"/>
        <w:autoSpaceDE/>
        <w:autoSpaceDN/>
        <w:adjustRightInd/>
        <w:snapToGrid/>
        <w:spacing w:line="360" w:lineRule="auto"/>
        <w:jc w:val="both"/>
        <w:textAlignment w:val="auto"/>
        <w:rPr>
          <w:rFonts w:ascii="Times New Roman" w:hAnsi="Times New Roman" w:eastAsia="宋体" w:cs="Times New Roman"/>
          <w:snapToGrid/>
          <w:color w:val="auto"/>
          <w:kern w:val="2"/>
          <w:sz w:val="28"/>
          <w:szCs w:val="28"/>
          <w:u w:val="single"/>
          <w:lang w:eastAsia="zh-CN"/>
        </w:rPr>
      </w:pPr>
      <w:r>
        <w:rPr>
          <w:rFonts w:hint="eastAsia" w:ascii="Times New Roman" w:hAnsi="Times New Roman" w:eastAsia="宋体" w:cs="Times New Roman"/>
          <w:snapToGrid/>
          <w:color w:val="auto"/>
          <w:kern w:val="2"/>
          <w:sz w:val="28"/>
          <w:szCs w:val="28"/>
          <w:lang w:eastAsia="zh-CN"/>
        </w:rPr>
        <w:t>编制日期：</w:t>
      </w:r>
      <w:r>
        <w:rPr>
          <w:rFonts w:hint="eastAsia" w:ascii="Times New Roman" w:hAnsi="Times New Roman" w:eastAsia="宋体" w:cs="Times New Roman"/>
          <w:snapToGrid/>
          <w:color w:val="auto"/>
          <w:kern w:val="2"/>
          <w:sz w:val="28"/>
          <w:szCs w:val="28"/>
          <w:u w:val="single"/>
          <w:lang w:eastAsia="zh-CN"/>
        </w:rPr>
        <w:t xml:space="preserve">                                 2026年</w:t>
      </w:r>
      <w:r>
        <w:rPr>
          <w:rFonts w:hint="eastAsia" w:cs="Times New Roman"/>
          <w:snapToGrid/>
          <w:color w:val="auto"/>
          <w:kern w:val="2"/>
          <w:sz w:val="28"/>
          <w:szCs w:val="28"/>
          <w:u w:val="single"/>
          <w:lang w:val="en-US" w:eastAsia="zh-CN"/>
        </w:rPr>
        <w:t>6</w:t>
      </w:r>
      <w:r>
        <w:rPr>
          <w:rFonts w:hint="eastAsia" w:ascii="Times New Roman" w:hAnsi="Times New Roman" w:eastAsia="宋体" w:cs="Times New Roman"/>
          <w:snapToGrid/>
          <w:color w:val="auto"/>
          <w:kern w:val="2"/>
          <w:sz w:val="28"/>
          <w:szCs w:val="28"/>
          <w:u w:val="single"/>
          <w:lang w:eastAsia="zh-CN"/>
        </w:rPr>
        <w:t xml:space="preserve">月                                         </w:t>
      </w:r>
    </w:p>
    <w:p w14:paraId="611FBAD3">
      <w:pPr>
        <w:spacing w:line="360" w:lineRule="auto"/>
        <w:jc w:val="center"/>
        <w:rPr>
          <w:rFonts w:ascii="Times New Roman" w:hAnsi="Times New Roman" w:eastAsia="宋体" w:cs="Times New Roman"/>
          <w:color w:val="auto"/>
          <w:sz w:val="36"/>
          <w:szCs w:val="36"/>
          <w:u w:val="single"/>
          <w:lang w:eastAsia="zh-CN"/>
        </w:rPr>
      </w:pPr>
    </w:p>
    <w:p w14:paraId="194F1549">
      <w:pPr>
        <w:spacing w:line="360" w:lineRule="auto"/>
        <w:jc w:val="center"/>
        <w:rPr>
          <w:rFonts w:ascii="Times New Roman" w:hAnsi="Times New Roman" w:eastAsia="宋体" w:cs="Times New Roman"/>
          <w:color w:val="auto"/>
          <w:sz w:val="36"/>
          <w:szCs w:val="36"/>
          <w:u w:val="single"/>
          <w:lang w:eastAsia="zh-CN"/>
        </w:rPr>
      </w:pPr>
    </w:p>
    <w:p w14:paraId="09F042D3">
      <w:pPr>
        <w:widowControl w:val="0"/>
        <w:kinsoku/>
        <w:autoSpaceDE/>
        <w:autoSpaceDN/>
        <w:adjustRightInd/>
        <w:spacing w:line="360" w:lineRule="auto"/>
        <w:jc w:val="center"/>
        <w:textAlignment w:val="auto"/>
        <w:rPr>
          <w:rFonts w:ascii="Times New Roman" w:hAnsi="Times New Roman" w:eastAsia="宋体" w:cs="Times New Roman"/>
          <w:snapToGrid/>
          <w:color w:val="auto"/>
          <w:kern w:val="2"/>
          <w:sz w:val="36"/>
          <w:szCs w:val="36"/>
          <w:lang w:eastAsia="zh-CN"/>
        </w:rPr>
      </w:pPr>
      <w:r>
        <w:rPr>
          <w:rFonts w:hint="eastAsia" w:ascii="Times New Roman" w:hAnsi="Times New Roman" w:eastAsia="宋体" w:cs="Times New Roman"/>
          <w:snapToGrid/>
          <w:color w:val="auto"/>
          <w:kern w:val="2"/>
          <w:sz w:val="36"/>
          <w:szCs w:val="36"/>
          <w:lang w:eastAsia="zh-CN"/>
        </w:rPr>
        <w:t>中华人民共和国生态环境部制</w:t>
      </w:r>
    </w:p>
    <w:p w14:paraId="6140600F">
      <w:pPr>
        <w:pStyle w:val="17"/>
        <w:spacing w:line="360" w:lineRule="auto"/>
        <w:ind w:firstLine="0" w:firstLineChars="0"/>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br w:type="page"/>
      </w:r>
    </w:p>
    <w:p w14:paraId="01F9BD2D">
      <w:pPr>
        <w:pStyle w:val="17"/>
        <w:ind w:firstLine="240"/>
        <w:rPr>
          <w:rFonts w:ascii="Times New Roman" w:hAnsi="Times New Roman" w:eastAsia="宋体" w:cs="Times New Roman"/>
          <w:color w:val="auto"/>
        </w:rPr>
        <w:sectPr>
          <w:footerReference r:id="rId3" w:type="default"/>
          <w:pgSz w:w="11906" w:h="16838"/>
          <w:pgMar w:top="1440" w:right="1800" w:bottom="1440" w:left="1800" w:header="851" w:footer="1077" w:gutter="0"/>
          <w:pgNumType w:start="3"/>
          <w:cols w:space="720" w:num="1"/>
          <w:docGrid w:linePitch="312" w:charSpace="0"/>
        </w:sectPr>
      </w:pPr>
    </w:p>
    <w:p w14:paraId="578292E4">
      <w:pPr>
        <w:spacing w:line="480" w:lineRule="auto"/>
        <w:jc w:val="center"/>
        <w:outlineLvl w:val="0"/>
        <w:rPr>
          <w:rFonts w:ascii="Times New Roman" w:hAnsi="Times New Roman" w:eastAsia="宋体" w:cs="Times New Roman"/>
          <w:b/>
          <w:bCs/>
          <w:color w:val="auto"/>
          <w:sz w:val="32"/>
          <w:szCs w:val="32"/>
        </w:rPr>
      </w:pPr>
      <w:bookmarkStart w:id="1" w:name="_Toc23136"/>
      <w:r>
        <w:rPr>
          <w:rFonts w:ascii="Times New Roman" w:hAnsi="Times New Roman" w:eastAsia="宋体" w:cs="Times New Roman"/>
          <w:b/>
          <w:bCs/>
          <w:color w:val="auto"/>
          <w:sz w:val="32"/>
          <w:szCs w:val="32"/>
        </w:rPr>
        <w:t>目  录</w:t>
      </w:r>
      <w:bookmarkEnd w:id="1"/>
    </w:p>
    <w:p w14:paraId="474A0A9F">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b/>
          <w:bCs/>
          <w:color w:val="auto"/>
          <w:sz w:val="28"/>
          <w:szCs w:val="28"/>
        </w:rPr>
        <w:fldChar w:fldCharType="begin"/>
      </w:r>
      <w:r>
        <w:rPr>
          <w:rFonts w:ascii="Times New Roman" w:hAnsi="Times New Roman" w:eastAsia="宋体" w:cs="Times New Roman"/>
          <w:b/>
          <w:bCs/>
          <w:color w:val="auto"/>
          <w:sz w:val="28"/>
          <w:szCs w:val="28"/>
        </w:rPr>
        <w:instrText xml:space="preserve">TOC \o "1-1" \h \u </w:instrText>
      </w:r>
      <w:r>
        <w:rPr>
          <w:rFonts w:ascii="Times New Roman" w:hAnsi="Times New Roman" w:eastAsia="宋体" w:cs="Times New Roman"/>
          <w:b/>
          <w:bCs/>
          <w:color w:val="auto"/>
          <w:sz w:val="28"/>
          <w:szCs w:val="28"/>
        </w:rPr>
        <w:fldChar w:fldCharType="separate"/>
      </w: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"_Toc21768" </w:instrText>
      </w:r>
      <w:r>
        <w:rPr>
          <w:rFonts w:ascii="Times New Roman" w:hAnsi="Times New Roman" w:eastAsia="宋体" w:cs="Times New Roman"/>
          <w:color w:val="auto"/>
        </w:rPr>
        <w:fldChar w:fldCharType="separate"/>
      </w:r>
      <w:r>
        <w:rPr>
          <w:rFonts w:hint="eastAsia" w:ascii="Times New Roman" w:hAnsi="Times New Roman" w:eastAsia="宋体" w:cs="Times New Roman"/>
          <w:bCs/>
          <w:color w:val="auto"/>
          <w:sz w:val="28"/>
          <w:szCs w:val="28"/>
        </w:rPr>
        <w:t>一、</w:t>
      </w:r>
      <w:r>
        <w:rPr>
          <w:rFonts w:ascii="Times New Roman" w:hAnsi="Times New Roman" w:eastAsia="宋体" w:cs="Times New Roman"/>
          <w:bCs/>
          <w:color w:val="auto"/>
          <w:sz w:val="28"/>
          <w:szCs w:val="28"/>
        </w:rPr>
        <w:t>建设项目基本情况</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_Toc21768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7E864EC6">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"_Toc15591"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二、建设项目工程分析</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_Toc15591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36</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0188FA0B">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"_Toc568"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三、区域环境质量现状、环境保护目标及评价标准</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_Toc568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59</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7EED3210">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"_Toc28206"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四、主要环境影响和保护措施</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_Toc28206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71</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6CA6873F">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"_Toc7808"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五、环境保护措施监督检查清单</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_Toc7808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105</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4B9F75CB">
      <w:pPr>
        <w:pStyle w:val="14"/>
        <w:tabs>
          <w:tab w:val="right" w:leader="dot" w:pos="8817"/>
        </w:tabs>
        <w:spacing w:line="480" w:lineRule="auto"/>
        <w:rPr>
          <w:rFonts w:ascii="Times New Roman" w:hAnsi="Times New Roman" w:eastAsia="宋体" w:cs="Times New Roman"/>
          <w:color w:val="auto"/>
          <w:sz w:val="28"/>
          <w:szCs w:val="28"/>
        </w:rPr>
      </w:pPr>
      <w:r>
        <w:rPr>
          <w:rFonts w:ascii="Times New Roman" w:hAnsi="Times New Roman" w:eastAsia="宋体" w:cs="Times New Roman"/>
          <w:color w:val="auto"/>
        </w:rPr>
        <w:fldChar w:fldCharType="begin"/>
      </w:r>
      <w:r>
        <w:rPr>
          <w:rFonts w:ascii="Times New Roman" w:hAnsi="Times New Roman" w:eastAsia="宋体" w:cs="Times New Roman"/>
          <w:color w:val="auto"/>
        </w:rPr>
        <w:instrText xml:space="preserve"> HYPERLINK \l "_Toc31004" </w:instrText>
      </w:r>
      <w:r>
        <w:rPr>
          <w:rFonts w:ascii="Times New Roman" w:hAnsi="Times New Roman" w:eastAsia="宋体" w:cs="Times New Roman"/>
          <w:color w:val="auto"/>
        </w:rPr>
        <w:fldChar w:fldCharType="separate"/>
      </w:r>
      <w:r>
        <w:rPr>
          <w:rFonts w:ascii="Times New Roman" w:hAnsi="Times New Roman" w:eastAsia="宋体" w:cs="Times New Roman"/>
          <w:bCs/>
          <w:color w:val="auto"/>
          <w:sz w:val="28"/>
          <w:szCs w:val="28"/>
        </w:rPr>
        <w:t>六、结论</w:t>
      </w:r>
      <w:r>
        <w:rPr>
          <w:rFonts w:ascii="Times New Roman" w:hAnsi="Times New Roman" w:eastAsia="宋体" w:cs="Times New Roman"/>
          <w:color w:val="auto"/>
          <w:sz w:val="28"/>
          <w:szCs w:val="28"/>
        </w:rPr>
        <w:tab/>
      </w:r>
      <w:r>
        <w:rPr>
          <w:rFonts w:ascii="Times New Roman" w:hAnsi="Times New Roman" w:eastAsia="宋体" w:cs="Times New Roman"/>
          <w:color w:val="auto"/>
          <w:sz w:val="28"/>
          <w:szCs w:val="28"/>
        </w:rPr>
        <w:fldChar w:fldCharType="begin"/>
      </w:r>
      <w:r>
        <w:rPr>
          <w:rFonts w:ascii="Times New Roman" w:hAnsi="Times New Roman" w:eastAsia="宋体" w:cs="Times New Roman"/>
          <w:color w:val="auto"/>
          <w:sz w:val="28"/>
          <w:szCs w:val="28"/>
        </w:rPr>
        <w:instrText xml:space="preserve"> PAGEREF _Toc31004 \h </w:instrText>
      </w:r>
      <w:r>
        <w:rPr>
          <w:rFonts w:ascii="Times New Roman" w:hAnsi="Times New Roman" w:eastAsia="宋体" w:cs="Times New Roman"/>
          <w:color w:val="auto"/>
          <w:sz w:val="28"/>
          <w:szCs w:val="28"/>
        </w:rPr>
        <w:fldChar w:fldCharType="separate"/>
      </w:r>
      <w:r>
        <w:rPr>
          <w:rFonts w:ascii="Times New Roman" w:hAnsi="Times New Roman" w:eastAsia="宋体" w:cs="Times New Roman"/>
          <w:color w:val="auto"/>
          <w:sz w:val="28"/>
          <w:szCs w:val="28"/>
        </w:rPr>
        <w:t>107</w:t>
      </w:r>
      <w:r>
        <w:rPr>
          <w:rFonts w:ascii="Times New Roman" w:hAnsi="Times New Roman" w:eastAsia="宋体" w:cs="Times New Roman"/>
          <w:color w:val="auto"/>
          <w:sz w:val="28"/>
          <w:szCs w:val="28"/>
        </w:rPr>
        <w:fldChar w:fldCharType="end"/>
      </w:r>
      <w:r>
        <w:rPr>
          <w:rFonts w:ascii="Times New Roman" w:hAnsi="Times New Roman" w:eastAsia="宋体" w:cs="Times New Roman"/>
          <w:color w:val="auto"/>
          <w:sz w:val="28"/>
          <w:szCs w:val="28"/>
        </w:rPr>
        <w:fldChar w:fldCharType="end"/>
      </w:r>
    </w:p>
    <w:p w14:paraId="788D8207">
      <w:pPr>
        <w:pStyle w:val="7"/>
        <w:spacing w:line="480" w:lineRule="auto"/>
        <w:rPr>
          <w:rFonts w:ascii="Times New Roman" w:hAnsi="Times New Roman" w:eastAsia="宋体" w:cs="Times New Roman"/>
          <w:color w:val="auto"/>
        </w:rPr>
        <w:sectPr>
          <w:footerReference r:id="rId4" w:type="default"/>
          <w:pgSz w:w="11906" w:h="16839"/>
          <w:pgMar w:top="1440" w:right="1800" w:bottom="1440" w:left="1800" w:header="0" w:footer="1078" w:gutter="0"/>
          <w:cols w:space="720" w:num="1"/>
        </w:sectPr>
      </w:pPr>
      <w:r>
        <w:rPr>
          <w:rFonts w:ascii="Times New Roman" w:hAnsi="Times New Roman" w:eastAsia="宋体" w:cs="Times New Roman"/>
          <w:bCs/>
          <w:color w:val="auto"/>
          <w:sz w:val="28"/>
          <w:szCs w:val="28"/>
        </w:rPr>
        <w:fldChar w:fldCharType="end"/>
      </w:r>
    </w:p>
    <w:p w14:paraId="4DBB16FD">
      <w:pPr>
        <w:pStyle w:val="7"/>
        <w:adjustRightInd/>
        <w:snapToGrid/>
        <w:spacing w:line="288" w:lineRule="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附表：</w:t>
      </w:r>
    </w:p>
    <w:p w14:paraId="1D6DB8E9">
      <w:pPr>
        <w:numPr>
          <w:ilvl w:val="0"/>
          <w:numId w:val="1"/>
        </w:numPr>
        <w:topLinePunct/>
        <w:adjustRightInd/>
        <w:snapToGrid/>
        <w:spacing w:line="288" w:lineRule="auto"/>
        <w:ind w:left="0" w:firstLine="0"/>
        <w:rPr>
          <w:rFonts w:ascii="Times New Roman" w:hAnsi="Times New Roman" w:eastAsia="宋体" w:cs="Times New Roman"/>
          <w:bCs/>
          <w:color w:val="auto"/>
          <w:sz w:val="24"/>
          <w:szCs w:val="28"/>
          <w:lang w:eastAsia="zh-CN"/>
        </w:rPr>
      </w:pPr>
      <w:r>
        <w:rPr>
          <w:rFonts w:hint="eastAsia" w:ascii="Times New Roman" w:hAnsi="Times New Roman" w:eastAsia="宋体" w:cs="Times New Roman"/>
          <w:bCs/>
          <w:color w:val="auto"/>
          <w:sz w:val="24"/>
          <w:szCs w:val="28"/>
          <w:lang w:eastAsia="zh-CN"/>
        </w:rPr>
        <w:t>建设项目污染物排放量汇总表</w:t>
      </w:r>
    </w:p>
    <w:p w14:paraId="155B83AF">
      <w:pPr>
        <w:pStyle w:val="7"/>
        <w:adjustRightInd/>
        <w:snapToGrid/>
        <w:spacing w:line="288" w:lineRule="auto"/>
        <w:rPr>
          <w:rFonts w:ascii="Times New Roman" w:hAnsi="Times New Roman" w:eastAsia="宋体" w:cs="Times New Roman"/>
          <w:b/>
          <w:bCs/>
          <w:color w:val="auto"/>
          <w:lang w:eastAsia="zh-CN"/>
        </w:rPr>
      </w:pPr>
    </w:p>
    <w:p w14:paraId="72D79D86">
      <w:pPr>
        <w:pStyle w:val="7"/>
        <w:adjustRightInd/>
        <w:snapToGrid/>
        <w:spacing w:line="288" w:lineRule="auto"/>
        <w:rPr>
          <w:rFonts w:ascii="Times New Roman" w:hAnsi="Times New Roman" w:eastAsia="宋体" w:cs="Times New Roman"/>
          <w:b/>
          <w:bCs/>
          <w:color w:val="auto"/>
        </w:rPr>
      </w:pPr>
      <w:r>
        <w:rPr>
          <w:rFonts w:ascii="Times New Roman" w:hAnsi="Times New Roman" w:eastAsia="宋体" w:cs="Times New Roman"/>
          <w:b/>
          <w:bCs/>
          <w:color w:val="auto"/>
        </w:rPr>
        <w:t>附件：</w:t>
      </w:r>
    </w:p>
    <w:p w14:paraId="54C30C6C">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委托书</w:t>
      </w:r>
    </w:p>
    <w:p w14:paraId="59C0770E">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技术服务合同</w:t>
      </w:r>
    </w:p>
    <w:p w14:paraId="47A43C89">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营业执照</w:t>
      </w:r>
    </w:p>
    <w:p w14:paraId="02B3358E">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投资备案证</w:t>
      </w:r>
    </w:p>
    <w:p w14:paraId="301A3DA3">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“三区三线”查询结果</w:t>
      </w:r>
    </w:p>
    <w:p w14:paraId="79BB60C5">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农村土地经营权出租合同</w:t>
      </w:r>
    </w:p>
    <w:p w14:paraId="247C4C25">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选址批复</w:t>
      </w:r>
    </w:p>
    <w:p w14:paraId="4F81F48B">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改性磷石膏检测报告</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工业固废类别</w:t>
      </w:r>
    </w:p>
    <w:p w14:paraId="5FCF64FE">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改性磷石膏产品合格证</w:t>
      </w:r>
    </w:p>
    <w:p w14:paraId="32623F8A">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项目环境质量现状监测</w:t>
      </w:r>
    </w:p>
    <w:p w14:paraId="7E2C4DBF">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中化云龙有限公司90万吨粉状改性磷石膏项目环境影响报告表的批复</w:t>
      </w:r>
    </w:p>
    <w:p w14:paraId="04AF9692">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类比一体化污水处理设施出水水质监测报告</w:t>
      </w:r>
    </w:p>
    <w:p w14:paraId="5F300E04">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进度</w:t>
      </w:r>
      <w:r>
        <w:rPr>
          <w:rFonts w:hint="eastAsia" w:ascii="Times New Roman" w:hAnsi="Times New Roman" w:eastAsia="宋体" w:cs="Times New Roman"/>
          <w:color w:val="auto"/>
          <w:lang w:eastAsia="zh-CN"/>
        </w:rPr>
        <w:t>控制</w:t>
      </w:r>
      <w:r>
        <w:rPr>
          <w:rFonts w:ascii="Times New Roman" w:hAnsi="Times New Roman" w:eastAsia="宋体" w:cs="Times New Roman"/>
          <w:color w:val="auto"/>
        </w:rPr>
        <w:t>表</w:t>
      </w:r>
    </w:p>
    <w:p w14:paraId="5196AB62">
      <w:pPr>
        <w:pStyle w:val="7"/>
        <w:numPr>
          <w:ilvl w:val="0"/>
          <w:numId w:val="2"/>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内部审核表</w:t>
      </w:r>
    </w:p>
    <w:p w14:paraId="1C39B914">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公示证明</w:t>
      </w:r>
    </w:p>
    <w:p w14:paraId="2876B6B4">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项目用地类型查询结果</w:t>
      </w:r>
    </w:p>
    <w:p w14:paraId="6D7DEC03">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建设项目环境影响评价公众意见表</w:t>
      </w:r>
    </w:p>
    <w:p w14:paraId="5FA56E24">
      <w:pPr>
        <w:pStyle w:val="7"/>
        <w:numPr>
          <w:ilvl w:val="0"/>
          <w:numId w:val="2"/>
        </w:numPr>
        <w:adjustRightInd/>
        <w:snapToGrid/>
        <w:spacing w:line="288" w:lineRule="auto"/>
        <w:ind w:left="0" w:firstLine="0"/>
        <w:rPr>
          <w:rFonts w:ascii="Times New Roman" w:hAnsi="Times New Roman" w:eastAsia="宋体" w:cs="Times New Roman"/>
          <w:color w:val="auto"/>
          <w:lang w:eastAsia="zh-CN"/>
        </w:rPr>
      </w:pPr>
      <w:r>
        <w:rPr>
          <w:rFonts w:hint="eastAsia" w:cs="Times New Roman"/>
          <w:color w:val="auto"/>
          <w:lang w:val="en-US" w:eastAsia="zh-CN"/>
        </w:rPr>
        <w:t>建设内容情况说明</w:t>
      </w:r>
    </w:p>
    <w:p w14:paraId="26E691B3">
      <w:pPr>
        <w:pStyle w:val="7"/>
        <w:numPr>
          <w:ilvl w:val="0"/>
          <w:numId w:val="2"/>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val="en-US" w:eastAsia="zh-CN"/>
        </w:rPr>
        <w:t>会议纪要及</w:t>
      </w:r>
      <w:r>
        <w:rPr>
          <w:rFonts w:hint="eastAsia" w:ascii="Times New Roman" w:hAnsi="Times New Roman" w:eastAsia="宋体" w:cs="Times New Roman"/>
          <w:color w:val="auto"/>
          <w:lang w:eastAsia="zh-CN"/>
        </w:rPr>
        <w:t>修改</w:t>
      </w:r>
      <w:r>
        <w:rPr>
          <w:rFonts w:hint="eastAsia" w:ascii="Times New Roman" w:hAnsi="Times New Roman" w:eastAsia="宋体" w:cs="Times New Roman"/>
          <w:color w:val="auto"/>
          <w:lang w:val="en-US" w:eastAsia="zh-CN"/>
        </w:rPr>
        <w:t>对照表</w:t>
      </w:r>
    </w:p>
    <w:p w14:paraId="7C49EDBC">
      <w:pPr>
        <w:pStyle w:val="7"/>
        <w:adjustRightInd/>
        <w:snapToGrid/>
        <w:spacing w:line="288" w:lineRule="auto"/>
        <w:rPr>
          <w:rFonts w:ascii="Times New Roman" w:hAnsi="Times New Roman" w:eastAsia="宋体" w:cs="Times New Roman"/>
          <w:b/>
          <w:bCs/>
          <w:color w:val="auto"/>
        </w:rPr>
      </w:pPr>
    </w:p>
    <w:p w14:paraId="3B3250E4">
      <w:pPr>
        <w:pStyle w:val="7"/>
        <w:adjustRightInd/>
        <w:snapToGrid/>
        <w:spacing w:line="288" w:lineRule="auto"/>
        <w:rPr>
          <w:rFonts w:ascii="Times New Roman" w:hAnsi="Times New Roman" w:eastAsia="宋体" w:cs="Times New Roman"/>
          <w:b/>
          <w:bCs/>
          <w:color w:val="auto"/>
        </w:rPr>
      </w:pPr>
      <w:r>
        <w:rPr>
          <w:rFonts w:ascii="Times New Roman" w:hAnsi="Times New Roman" w:eastAsia="宋体" w:cs="Times New Roman"/>
          <w:b/>
          <w:bCs/>
          <w:color w:val="auto"/>
        </w:rPr>
        <w:t>附图：</w:t>
      </w:r>
    </w:p>
    <w:p w14:paraId="1455FD98">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项目地理位置图</w:t>
      </w:r>
    </w:p>
    <w:p w14:paraId="41EE5DA0">
      <w:pPr>
        <w:pStyle w:val="7"/>
        <w:numPr>
          <w:ilvl w:val="0"/>
          <w:numId w:val="3"/>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bCs/>
          <w:color w:val="auto"/>
          <w:szCs w:val="28"/>
        </w:rPr>
        <w:t>项目周边关系示意图</w:t>
      </w:r>
    </w:p>
    <w:p w14:paraId="708A9FCF">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项目区域水系图</w:t>
      </w:r>
    </w:p>
    <w:p w14:paraId="1121BC7E">
      <w:pPr>
        <w:pStyle w:val="7"/>
        <w:numPr>
          <w:ilvl w:val="0"/>
          <w:numId w:val="3"/>
        </w:numPr>
        <w:adjustRightInd/>
        <w:snapToGrid/>
        <w:spacing w:line="288" w:lineRule="auto"/>
        <w:ind w:left="0" w:firstLine="0"/>
        <w:rPr>
          <w:rFonts w:ascii="Times New Roman" w:hAnsi="Times New Roman" w:eastAsia="宋体" w:cs="Times New Roman"/>
          <w:color w:val="auto"/>
        </w:rPr>
      </w:pPr>
      <w:r>
        <w:rPr>
          <w:rFonts w:ascii="Times New Roman" w:hAnsi="Times New Roman" w:eastAsia="宋体" w:cs="Times New Roman"/>
          <w:color w:val="auto"/>
        </w:rPr>
        <w:t>项目平面布置图</w:t>
      </w:r>
    </w:p>
    <w:p w14:paraId="5648DDA7">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bCs/>
          <w:color w:val="auto"/>
          <w:szCs w:val="28"/>
          <w:lang w:eastAsia="zh-CN"/>
        </w:rPr>
        <w:t>项目生态环境分区管控单元查询截图</w:t>
      </w:r>
    </w:p>
    <w:p w14:paraId="446C2C21">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项目与</w:t>
      </w:r>
      <w:r>
        <w:rPr>
          <w:rFonts w:hint="eastAsia" w:ascii="Times New Roman" w:hAnsi="Times New Roman" w:eastAsia="宋体" w:cs="Times New Roman"/>
          <w:color w:val="auto"/>
          <w:lang w:eastAsia="zh-CN"/>
        </w:rPr>
        <w:t>牛栏江水环境规划</w:t>
      </w:r>
      <w:r>
        <w:rPr>
          <w:rFonts w:ascii="Times New Roman" w:hAnsi="Times New Roman" w:eastAsia="宋体" w:cs="Times New Roman"/>
          <w:color w:val="auto"/>
          <w:lang w:eastAsia="zh-CN"/>
        </w:rPr>
        <w:t>位置</w:t>
      </w:r>
      <w:r>
        <w:rPr>
          <w:rFonts w:hint="eastAsia" w:ascii="Times New Roman" w:hAnsi="Times New Roman" w:eastAsia="宋体" w:cs="Times New Roman"/>
          <w:color w:val="auto"/>
          <w:lang w:eastAsia="zh-CN"/>
        </w:rPr>
        <w:t>关系</w:t>
      </w:r>
      <w:r>
        <w:rPr>
          <w:rFonts w:ascii="Times New Roman" w:hAnsi="Times New Roman" w:eastAsia="宋体" w:cs="Times New Roman"/>
          <w:color w:val="auto"/>
          <w:lang w:eastAsia="zh-CN"/>
        </w:rPr>
        <w:t>图</w:t>
      </w:r>
      <w:r>
        <w:rPr>
          <w:rFonts w:hint="eastAsia" w:ascii="Times New Roman" w:hAnsi="Times New Roman" w:eastAsia="宋体" w:cs="Times New Roman"/>
          <w:color w:val="auto"/>
          <w:lang w:eastAsia="zh-CN"/>
        </w:rPr>
        <w:t>（云南段）</w:t>
      </w:r>
    </w:p>
    <w:p w14:paraId="04E5CD60">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项目与牛栏江水环境规划位置关系图（寻甸段）</w:t>
      </w:r>
    </w:p>
    <w:p w14:paraId="7F04981D">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项目环境现状监测点位图</w:t>
      </w:r>
    </w:p>
    <w:p w14:paraId="6E4C923C">
      <w:pPr>
        <w:pStyle w:val="7"/>
        <w:numPr>
          <w:ilvl w:val="0"/>
          <w:numId w:val="3"/>
        </w:numPr>
        <w:adjustRightInd/>
        <w:snapToGrid/>
        <w:spacing w:line="288" w:lineRule="auto"/>
        <w:ind w:left="0" w:firstLine="0"/>
        <w:rPr>
          <w:rFonts w:ascii="Times New Roman" w:hAnsi="Times New Roman" w:eastAsia="宋体" w:cs="Times New Roman"/>
          <w:color w:val="auto"/>
        </w:rPr>
      </w:pPr>
      <w:r>
        <w:rPr>
          <w:rFonts w:hint="eastAsia" w:ascii="Times New Roman" w:hAnsi="Times New Roman" w:eastAsia="宋体" w:cs="Times New Roman"/>
          <w:color w:val="auto"/>
          <w:lang w:eastAsia="zh-CN"/>
        </w:rPr>
        <w:t>项目区域水文地质图</w:t>
      </w:r>
    </w:p>
    <w:p w14:paraId="0A92F1D3">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项目与寻甸特色产业园区金所片区位置关系图</w:t>
      </w:r>
    </w:p>
    <w:p w14:paraId="141D1F71">
      <w:pPr>
        <w:pStyle w:val="7"/>
        <w:numPr>
          <w:ilvl w:val="0"/>
          <w:numId w:val="3"/>
        </w:numPr>
        <w:adjustRightInd/>
        <w:snapToGrid/>
        <w:spacing w:line="288" w:lineRule="auto"/>
        <w:ind w:left="0" w:firstLine="0"/>
        <w:rPr>
          <w:rFonts w:ascii="Times New Roman" w:hAnsi="Times New Roman" w:eastAsia="宋体" w:cs="Times New Roman"/>
          <w:color w:val="auto"/>
          <w:lang w:eastAsia="zh-CN"/>
        </w:rPr>
      </w:pPr>
      <w:r>
        <w:rPr>
          <w:rFonts w:hint="eastAsia" w:cs="Times New Roman"/>
          <w:color w:val="auto"/>
          <w:lang w:val="en-US" w:eastAsia="zh-CN"/>
        </w:rPr>
        <w:t>项目分区防渗图</w:t>
      </w:r>
    </w:p>
    <w:p w14:paraId="4253E007">
      <w:pPr>
        <w:pStyle w:val="7"/>
        <w:numPr>
          <w:ilvl w:val="0"/>
          <w:numId w:val="3"/>
        </w:numPr>
        <w:adjustRightInd/>
        <w:snapToGrid/>
        <w:spacing w:line="288" w:lineRule="auto"/>
        <w:ind w:left="0" w:firstLine="0"/>
        <w:rPr>
          <w:rFonts w:ascii="Times New Roman" w:hAnsi="Times New Roman" w:eastAsia="宋体" w:cs="Times New Roman"/>
          <w:color w:val="auto"/>
          <w:sz w:val="24"/>
          <w:szCs w:val="24"/>
          <w:lang w:eastAsia="zh-CN"/>
        </w:rPr>
      </w:pPr>
      <w:r>
        <w:rPr>
          <w:rFonts w:hint="eastAsia" w:cs="Times New Roman"/>
          <w:color w:val="auto"/>
          <w:lang w:val="en-US" w:eastAsia="zh-CN"/>
        </w:rPr>
        <w:t>项目自行监测点位图</w:t>
      </w:r>
    </w:p>
    <w:p w14:paraId="53F92B97">
      <w:pPr>
        <w:pStyle w:val="7"/>
        <w:adjustRightInd/>
        <w:snapToGrid/>
        <w:spacing w:line="288" w:lineRule="auto"/>
        <w:rPr>
          <w:rFonts w:ascii="Times New Roman" w:hAnsi="Times New Roman" w:eastAsia="宋体" w:cs="Times New Roman"/>
          <w:color w:val="auto"/>
          <w:lang w:eastAsia="zh-CN"/>
        </w:rPr>
        <w:sectPr>
          <w:pgSz w:w="11906" w:h="16839"/>
          <w:pgMar w:top="1440" w:right="1800" w:bottom="1440" w:left="1800" w:header="0" w:footer="1078" w:gutter="0"/>
          <w:cols w:space="720" w:num="1"/>
        </w:sectPr>
      </w:pPr>
    </w:p>
    <w:p w14:paraId="1F561179">
      <w:pPr>
        <w:pStyle w:val="7"/>
        <w:numPr>
          <w:ilvl w:val="0"/>
          <w:numId w:val="4"/>
        </w:numPr>
        <w:jc w:val="center"/>
        <w:outlineLvl w:val="0"/>
        <w:rPr>
          <w:rFonts w:ascii="Times New Roman" w:hAnsi="Times New Roman" w:eastAsia="宋体" w:cs="Times New Roman"/>
          <w:b/>
          <w:bCs/>
          <w:color w:val="auto"/>
          <w:sz w:val="32"/>
          <w:szCs w:val="32"/>
        </w:rPr>
      </w:pPr>
      <w:bookmarkStart w:id="2" w:name="_Toc21768"/>
      <w:r>
        <w:rPr>
          <w:rFonts w:ascii="Times New Roman" w:hAnsi="Times New Roman" w:eastAsia="宋体" w:cs="Times New Roman"/>
          <w:b/>
          <w:bCs/>
          <w:color w:val="auto"/>
          <w:sz w:val="32"/>
          <w:szCs w:val="32"/>
        </w:rPr>
        <w:t>建设项目基本情况</w:t>
      </w:r>
      <w:bookmarkEnd w:id="2"/>
    </w:p>
    <w:tbl>
      <w:tblPr>
        <w:tblStyle w:val="19"/>
        <w:tblW w:w="907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82"/>
        <w:gridCol w:w="1143"/>
        <w:gridCol w:w="94"/>
        <w:gridCol w:w="2151"/>
        <w:gridCol w:w="2040"/>
        <w:gridCol w:w="3160"/>
      </w:tblGrid>
      <w:tr w14:paraId="4B16E5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43E921A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建设项目名称</w:t>
            </w:r>
          </w:p>
        </w:tc>
        <w:tc>
          <w:tcPr>
            <w:tcW w:w="7445" w:type="dxa"/>
            <w:gridSpan w:val="4"/>
            <w:tcBorders>
              <w:tl2br w:val="nil"/>
              <w:tr2bl w:val="nil"/>
            </w:tcBorders>
            <w:vAlign w:val="center"/>
          </w:tcPr>
          <w:p w14:paraId="61BDD811">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云南赛农农业科技有限公司改性磷石膏综合利用项目</w:t>
            </w:r>
          </w:p>
        </w:tc>
      </w:tr>
      <w:tr w14:paraId="1EE1B5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486CA45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项目代码</w:t>
            </w:r>
          </w:p>
        </w:tc>
        <w:tc>
          <w:tcPr>
            <w:tcW w:w="7445" w:type="dxa"/>
            <w:gridSpan w:val="4"/>
            <w:tcBorders>
              <w:tl2br w:val="nil"/>
              <w:tr2bl w:val="nil"/>
            </w:tcBorders>
            <w:vAlign w:val="center"/>
          </w:tcPr>
          <w:p w14:paraId="0AE8C532">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2507-530129-04-01-360249</w:t>
            </w:r>
          </w:p>
        </w:tc>
      </w:tr>
      <w:tr w14:paraId="0A10A2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3" w:hRule="atLeast"/>
          <w:jc w:val="center"/>
        </w:trPr>
        <w:tc>
          <w:tcPr>
            <w:tcW w:w="1625" w:type="dxa"/>
            <w:gridSpan w:val="2"/>
            <w:tcBorders>
              <w:tl2br w:val="nil"/>
              <w:tr2bl w:val="nil"/>
            </w:tcBorders>
            <w:tcMar>
              <w:top w:w="16" w:type="dxa"/>
              <w:left w:w="16" w:type="dxa"/>
              <w:right w:w="16" w:type="dxa"/>
            </w:tcMar>
            <w:vAlign w:val="center"/>
          </w:tcPr>
          <w:p w14:paraId="5406757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建设单位联系人</w:t>
            </w:r>
          </w:p>
        </w:tc>
        <w:tc>
          <w:tcPr>
            <w:tcW w:w="2245" w:type="dxa"/>
            <w:gridSpan w:val="2"/>
            <w:tcBorders>
              <w:tl2br w:val="nil"/>
              <w:tr2bl w:val="nil"/>
            </w:tcBorders>
            <w:vAlign w:val="center"/>
          </w:tcPr>
          <w:p w14:paraId="16D64E73">
            <w:pPr>
              <w:kinsoku/>
              <w:overflowPunct w:val="0"/>
              <w:autoSpaceDE/>
              <w:autoSpaceDN/>
              <w:jc w:val="center"/>
              <w:rPr>
                <w:rFonts w:ascii="Times New Roman" w:hAnsi="Times New Roman" w:eastAsia="宋体" w:cs="Times New Roman"/>
                <w:color w:val="auto"/>
                <w:sz w:val="24"/>
                <w:szCs w:val="24"/>
                <w:lang w:eastAsia="zh-CN"/>
              </w:rPr>
            </w:pPr>
          </w:p>
        </w:tc>
        <w:tc>
          <w:tcPr>
            <w:tcW w:w="2040" w:type="dxa"/>
            <w:tcBorders>
              <w:tl2br w:val="nil"/>
              <w:tr2bl w:val="nil"/>
            </w:tcBorders>
            <w:vAlign w:val="center"/>
          </w:tcPr>
          <w:p w14:paraId="368C45E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联系方式</w:t>
            </w:r>
          </w:p>
        </w:tc>
        <w:tc>
          <w:tcPr>
            <w:tcW w:w="3160" w:type="dxa"/>
            <w:tcBorders>
              <w:tl2br w:val="nil"/>
              <w:tr2bl w:val="nil"/>
            </w:tcBorders>
            <w:vAlign w:val="center"/>
          </w:tcPr>
          <w:p w14:paraId="3E637F1F">
            <w:pPr>
              <w:kinsoku/>
              <w:overflowPunct w:val="0"/>
              <w:autoSpaceDE/>
              <w:autoSpaceDN/>
              <w:jc w:val="center"/>
              <w:rPr>
                <w:rFonts w:ascii="Times New Roman" w:hAnsi="Times New Roman" w:eastAsia="宋体" w:cs="Times New Roman"/>
                <w:color w:val="auto"/>
                <w:sz w:val="24"/>
                <w:szCs w:val="24"/>
                <w:lang w:eastAsia="zh-CN"/>
              </w:rPr>
            </w:pPr>
            <w:bookmarkStart w:id="15" w:name="_GoBack"/>
            <w:bookmarkEnd w:id="15"/>
          </w:p>
        </w:tc>
      </w:tr>
      <w:tr w14:paraId="7EDA2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3B472FB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建设地点</w:t>
            </w:r>
          </w:p>
        </w:tc>
        <w:tc>
          <w:tcPr>
            <w:tcW w:w="7445" w:type="dxa"/>
            <w:gridSpan w:val="4"/>
            <w:tcBorders>
              <w:tl2br w:val="nil"/>
              <w:tr2bl w:val="nil"/>
            </w:tcBorders>
            <w:vAlign w:val="center"/>
          </w:tcPr>
          <w:p w14:paraId="34FD9216">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云南省昆明市寻甸回族彝族自治县金所街道办事处泽铁村委会栽开居民小组</w:t>
            </w:r>
          </w:p>
        </w:tc>
      </w:tr>
      <w:tr w14:paraId="6493FE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124A5CFD">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地理坐标</w:t>
            </w:r>
          </w:p>
        </w:tc>
        <w:tc>
          <w:tcPr>
            <w:tcW w:w="7445" w:type="dxa"/>
            <w:gridSpan w:val="4"/>
            <w:tcBorders>
              <w:tl2br w:val="nil"/>
              <w:tr2bl w:val="nil"/>
            </w:tcBorders>
            <w:vAlign w:val="center"/>
          </w:tcPr>
          <w:p w14:paraId="49DDFF32">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东经103°11′11.131″，北纬25°31′24.737″</w:t>
            </w:r>
          </w:p>
        </w:tc>
      </w:tr>
      <w:tr w14:paraId="09AB1F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561" w:hRule="atLeast"/>
          <w:jc w:val="center"/>
        </w:trPr>
        <w:tc>
          <w:tcPr>
            <w:tcW w:w="1625" w:type="dxa"/>
            <w:gridSpan w:val="2"/>
            <w:tcBorders>
              <w:tl2br w:val="nil"/>
              <w:tr2bl w:val="nil"/>
            </w:tcBorders>
            <w:tcMar>
              <w:top w:w="16" w:type="dxa"/>
              <w:left w:w="16" w:type="dxa"/>
              <w:right w:w="16" w:type="dxa"/>
            </w:tcMar>
            <w:vAlign w:val="center"/>
          </w:tcPr>
          <w:p w14:paraId="1C8CC17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国民经济</w:t>
            </w:r>
          </w:p>
          <w:p w14:paraId="5EE726F5">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行业类别</w:t>
            </w:r>
          </w:p>
        </w:tc>
        <w:tc>
          <w:tcPr>
            <w:tcW w:w="2245" w:type="dxa"/>
            <w:gridSpan w:val="2"/>
            <w:tcBorders>
              <w:tl2br w:val="nil"/>
              <w:tr2bl w:val="nil"/>
            </w:tcBorders>
            <w:vAlign w:val="center"/>
          </w:tcPr>
          <w:p w14:paraId="64CE6356">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N7723固体废物治理</w:t>
            </w:r>
          </w:p>
        </w:tc>
        <w:tc>
          <w:tcPr>
            <w:tcW w:w="2040" w:type="dxa"/>
            <w:tcBorders>
              <w:tl2br w:val="nil"/>
              <w:tr2bl w:val="nil"/>
            </w:tcBorders>
            <w:vAlign w:val="center"/>
          </w:tcPr>
          <w:p w14:paraId="5CC5CE61">
            <w:pPr>
              <w:kinsoku/>
              <w:overflowPunct w:val="0"/>
              <w:autoSpaceDE/>
              <w:autoSpaceDN/>
              <w:jc w:val="center"/>
              <w:rPr>
                <w:rFonts w:ascii="Times New Roman" w:hAnsi="Times New Roman" w:eastAsia="宋体" w:cs="Times New Roman"/>
                <w:color w:val="auto"/>
                <w:sz w:val="24"/>
                <w:szCs w:val="24"/>
              </w:rPr>
            </w:pPr>
            <w:bookmarkStart w:id="3" w:name="_Hlk49843745"/>
            <w:r>
              <w:rPr>
                <w:rFonts w:ascii="Times New Roman" w:hAnsi="Times New Roman" w:eastAsia="宋体" w:cs="Times New Roman"/>
                <w:color w:val="auto"/>
                <w:sz w:val="24"/>
                <w:szCs w:val="24"/>
              </w:rPr>
              <w:t>建设项目</w:t>
            </w:r>
          </w:p>
          <w:p w14:paraId="2B8B4DE9">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行业类别</w:t>
            </w:r>
            <w:bookmarkEnd w:id="3"/>
          </w:p>
        </w:tc>
        <w:tc>
          <w:tcPr>
            <w:tcW w:w="3160" w:type="dxa"/>
            <w:tcBorders>
              <w:tl2br w:val="nil"/>
              <w:tr2bl w:val="nil"/>
            </w:tcBorders>
            <w:vAlign w:val="center"/>
          </w:tcPr>
          <w:p w14:paraId="1A38A1FD">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四十七、生态保护和环境治理业：103一般工业固体废物（含污水处理污泥）、建筑施工废弃物处置及综合利用</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其他</w:t>
            </w:r>
          </w:p>
        </w:tc>
      </w:tr>
      <w:tr w14:paraId="0002288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1625" w:type="dxa"/>
            <w:gridSpan w:val="2"/>
            <w:tcBorders>
              <w:tl2br w:val="nil"/>
              <w:tr2bl w:val="nil"/>
            </w:tcBorders>
            <w:tcMar>
              <w:top w:w="16" w:type="dxa"/>
              <w:left w:w="16" w:type="dxa"/>
              <w:right w:w="16" w:type="dxa"/>
            </w:tcMar>
            <w:vAlign w:val="center"/>
          </w:tcPr>
          <w:p w14:paraId="04D8115D">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建设性质</w:t>
            </w:r>
          </w:p>
        </w:tc>
        <w:tc>
          <w:tcPr>
            <w:tcW w:w="2245" w:type="dxa"/>
            <w:gridSpan w:val="2"/>
            <w:tcBorders>
              <w:tl2br w:val="nil"/>
              <w:tr2bl w:val="nil"/>
            </w:tcBorders>
            <w:vAlign w:val="center"/>
          </w:tcPr>
          <w:p w14:paraId="701ED49B">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lang w:eastAsia="zh-CN"/>
              </w:rPr>
              <w:t>新建（迁建）</w:t>
            </w:r>
          </w:p>
          <w:p w14:paraId="69CF2482">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改建</w:t>
            </w:r>
          </w:p>
          <w:p w14:paraId="4AB88623">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扩建</w:t>
            </w:r>
          </w:p>
          <w:p w14:paraId="23FED0AC">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技术改造</w:t>
            </w:r>
          </w:p>
        </w:tc>
        <w:tc>
          <w:tcPr>
            <w:tcW w:w="2040" w:type="dxa"/>
            <w:tcBorders>
              <w:tl2br w:val="nil"/>
              <w:tr2bl w:val="nil"/>
            </w:tcBorders>
            <w:vAlign w:val="center"/>
          </w:tcPr>
          <w:p w14:paraId="019815CE">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建设项目</w:t>
            </w:r>
          </w:p>
          <w:p w14:paraId="42891F9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申报情形</w:t>
            </w:r>
          </w:p>
        </w:tc>
        <w:tc>
          <w:tcPr>
            <w:tcW w:w="3160" w:type="dxa"/>
            <w:tcBorders>
              <w:tl2br w:val="nil"/>
              <w:tr2bl w:val="nil"/>
            </w:tcBorders>
            <w:vAlign w:val="center"/>
          </w:tcPr>
          <w:p w14:paraId="218E57C0">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lang w:eastAsia="zh-CN"/>
              </w:rPr>
              <w:t>首次申报项目</w:t>
            </w:r>
          </w:p>
          <w:p w14:paraId="6CC928E7">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不予批准后再次申报项目</w:t>
            </w:r>
          </w:p>
          <w:p w14:paraId="7C33230B">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超五年重新审核项目</w:t>
            </w:r>
          </w:p>
          <w:p w14:paraId="50D46A63">
            <w:pPr>
              <w:kinsoku/>
              <w:overflowPunct w:val="0"/>
              <w:autoSpaceDE/>
              <w:autoSpaceDN/>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lang w:eastAsia="zh-CN"/>
              </w:rPr>
              <w:t>重大变动重新报批项目</w:t>
            </w:r>
          </w:p>
        </w:tc>
      </w:tr>
      <w:tr w14:paraId="40A027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851" w:hRule="atLeast"/>
          <w:jc w:val="center"/>
        </w:trPr>
        <w:tc>
          <w:tcPr>
            <w:tcW w:w="1625" w:type="dxa"/>
            <w:gridSpan w:val="2"/>
            <w:tcBorders>
              <w:tl2br w:val="nil"/>
              <w:tr2bl w:val="nil"/>
            </w:tcBorders>
            <w:tcMar>
              <w:top w:w="16" w:type="dxa"/>
              <w:left w:w="16" w:type="dxa"/>
              <w:right w:w="16" w:type="dxa"/>
            </w:tcMar>
            <w:vAlign w:val="center"/>
          </w:tcPr>
          <w:p w14:paraId="6DD90D8B">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项目审批（核准/备案）部门（选填）</w:t>
            </w:r>
          </w:p>
        </w:tc>
        <w:tc>
          <w:tcPr>
            <w:tcW w:w="2245" w:type="dxa"/>
            <w:gridSpan w:val="2"/>
            <w:tcBorders>
              <w:tl2br w:val="nil"/>
              <w:tr2bl w:val="nil"/>
            </w:tcBorders>
            <w:vAlign w:val="center"/>
          </w:tcPr>
          <w:p w14:paraId="3AE9732D">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寻甸回族彝族自治县发展和改革局</w:t>
            </w:r>
          </w:p>
        </w:tc>
        <w:tc>
          <w:tcPr>
            <w:tcW w:w="2040" w:type="dxa"/>
            <w:tcBorders>
              <w:tl2br w:val="nil"/>
              <w:tr2bl w:val="nil"/>
            </w:tcBorders>
            <w:vAlign w:val="center"/>
          </w:tcPr>
          <w:p w14:paraId="28F4595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项目审批（核准/</w:t>
            </w:r>
          </w:p>
          <w:p w14:paraId="41145032">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备案）文号（选填）</w:t>
            </w:r>
          </w:p>
        </w:tc>
        <w:tc>
          <w:tcPr>
            <w:tcW w:w="3160" w:type="dxa"/>
            <w:tcBorders>
              <w:tl2br w:val="nil"/>
              <w:tr2bl w:val="nil"/>
            </w:tcBorders>
            <w:vAlign w:val="center"/>
          </w:tcPr>
          <w:p w14:paraId="43557617">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2507-530129-04-01-360249</w:t>
            </w:r>
          </w:p>
        </w:tc>
      </w:tr>
      <w:tr w14:paraId="5B6D1D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5B20B61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总投资（万元）</w:t>
            </w:r>
          </w:p>
        </w:tc>
        <w:tc>
          <w:tcPr>
            <w:tcW w:w="2245" w:type="dxa"/>
            <w:gridSpan w:val="2"/>
            <w:tcBorders>
              <w:tl2br w:val="nil"/>
              <w:tr2bl w:val="nil"/>
            </w:tcBorders>
            <w:vAlign w:val="center"/>
          </w:tcPr>
          <w:p w14:paraId="10F6F1BE">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1</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00</w:t>
            </w:r>
          </w:p>
        </w:tc>
        <w:tc>
          <w:tcPr>
            <w:tcW w:w="2040" w:type="dxa"/>
            <w:tcBorders>
              <w:tl2br w:val="nil"/>
              <w:tr2bl w:val="nil"/>
            </w:tcBorders>
            <w:tcMar>
              <w:top w:w="16" w:type="dxa"/>
              <w:left w:w="16" w:type="dxa"/>
              <w:right w:w="16" w:type="dxa"/>
            </w:tcMar>
            <w:vAlign w:val="center"/>
          </w:tcPr>
          <w:p w14:paraId="6CA4C7E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环保投资（万元）</w:t>
            </w:r>
          </w:p>
        </w:tc>
        <w:tc>
          <w:tcPr>
            <w:tcW w:w="3160" w:type="dxa"/>
            <w:tcBorders>
              <w:tl2br w:val="nil"/>
              <w:tr2bl w:val="nil"/>
            </w:tcBorders>
            <w:vAlign w:val="center"/>
          </w:tcPr>
          <w:p w14:paraId="08951C58">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72</w:t>
            </w:r>
          </w:p>
        </w:tc>
      </w:tr>
      <w:tr w14:paraId="35401B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0412C1C7">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环保投资占比（%）</w:t>
            </w:r>
          </w:p>
        </w:tc>
        <w:tc>
          <w:tcPr>
            <w:tcW w:w="2245" w:type="dxa"/>
            <w:gridSpan w:val="2"/>
            <w:tcBorders>
              <w:tl2br w:val="nil"/>
              <w:tr2bl w:val="nil"/>
            </w:tcBorders>
            <w:vAlign w:val="center"/>
          </w:tcPr>
          <w:p w14:paraId="5EA09AD3">
            <w:pPr>
              <w:kinsoku/>
              <w:overflowPunct w:val="0"/>
              <w:autoSpaceDE/>
              <w:autoSpaceDN/>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6.55</w:t>
            </w:r>
          </w:p>
        </w:tc>
        <w:tc>
          <w:tcPr>
            <w:tcW w:w="2040" w:type="dxa"/>
            <w:tcBorders>
              <w:tl2br w:val="nil"/>
              <w:tr2bl w:val="nil"/>
            </w:tcBorders>
            <w:tcMar>
              <w:top w:w="16" w:type="dxa"/>
              <w:left w:w="16" w:type="dxa"/>
              <w:right w:w="16" w:type="dxa"/>
            </w:tcMar>
            <w:vAlign w:val="center"/>
          </w:tcPr>
          <w:p w14:paraId="52607EF2">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施工工期</w:t>
            </w:r>
          </w:p>
        </w:tc>
        <w:tc>
          <w:tcPr>
            <w:tcW w:w="3160" w:type="dxa"/>
            <w:tcBorders>
              <w:tl2br w:val="nil"/>
              <w:tr2bl w:val="nil"/>
            </w:tcBorders>
            <w:vAlign w:val="center"/>
          </w:tcPr>
          <w:p w14:paraId="5AF2F223">
            <w:pPr>
              <w:kinsoku/>
              <w:overflowPunct w:val="0"/>
              <w:autoSpaceDE/>
              <w:autoSpaceDN/>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个月</w:t>
            </w:r>
          </w:p>
        </w:tc>
      </w:tr>
      <w:tr w14:paraId="63BC31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497" w:hRule="atLeast"/>
          <w:jc w:val="center"/>
        </w:trPr>
        <w:tc>
          <w:tcPr>
            <w:tcW w:w="1625" w:type="dxa"/>
            <w:gridSpan w:val="2"/>
            <w:tcBorders>
              <w:tl2br w:val="nil"/>
              <w:tr2bl w:val="nil"/>
            </w:tcBorders>
            <w:tcMar>
              <w:top w:w="16" w:type="dxa"/>
              <w:left w:w="16" w:type="dxa"/>
              <w:right w:w="16" w:type="dxa"/>
            </w:tcMar>
            <w:vAlign w:val="center"/>
          </w:tcPr>
          <w:p w14:paraId="777D476A">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是否开工建设</w:t>
            </w:r>
          </w:p>
        </w:tc>
        <w:tc>
          <w:tcPr>
            <w:tcW w:w="2245" w:type="dxa"/>
            <w:gridSpan w:val="2"/>
            <w:tcBorders>
              <w:tl2br w:val="nil"/>
              <w:tr2bl w:val="nil"/>
            </w:tcBorders>
            <w:vAlign w:val="center"/>
          </w:tcPr>
          <w:p w14:paraId="1C299D4E">
            <w:pPr>
              <w:kinsoku/>
              <w:overflowPunct w:val="0"/>
              <w:autoSpaceDE/>
              <w:autoSpaceDN/>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52"/>
            </w:r>
            <w:r>
              <w:rPr>
                <w:rFonts w:ascii="Times New Roman" w:hAnsi="Times New Roman" w:eastAsia="宋体" w:cs="Times New Roman"/>
                <w:color w:val="auto"/>
                <w:sz w:val="24"/>
                <w:szCs w:val="24"/>
              </w:rPr>
              <w:t>否</w:t>
            </w:r>
          </w:p>
          <w:p w14:paraId="03846D1E">
            <w:pPr>
              <w:kinsoku/>
              <w:overflowPunct w:val="0"/>
              <w:autoSpaceDE/>
              <w:autoSpaceDN/>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sym w:font="Wingdings 2" w:char="00A3"/>
            </w:r>
            <w:r>
              <w:rPr>
                <w:rFonts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lang w:eastAsia="zh-CN"/>
              </w:rPr>
              <w:t>：</w:t>
            </w:r>
          </w:p>
        </w:tc>
        <w:tc>
          <w:tcPr>
            <w:tcW w:w="2040" w:type="dxa"/>
            <w:tcBorders>
              <w:tl2br w:val="nil"/>
              <w:tr2bl w:val="nil"/>
            </w:tcBorders>
            <w:tcMar>
              <w:top w:w="16" w:type="dxa"/>
              <w:left w:w="16" w:type="dxa"/>
              <w:right w:w="16" w:type="dxa"/>
            </w:tcMar>
            <w:vAlign w:val="center"/>
          </w:tcPr>
          <w:p w14:paraId="0A5AB8B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用地（用海）</w:t>
            </w:r>
          </w:p>
          <w:p w14:paraId="556D33BF">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面积（m</w:t>
            </w:r>
            <w:r>
              <w:rPr>
                <w:rFonts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w:t>
            </w:r>
          </w:p>
        </w:tc>
        <w:tc>
          <w:tcPr>
            <w:tcW w:w="3160" w:type="dxa"/>
            <w:tcBorders>
              <w:tl2br w:val="nil"/>
              <w:tr2bl w:val="nil"/>
            </w:tcBorders>
            <w:vAlign w:val="center"/>
          </w:tcPr>
          <w:p w14:paraId="59671C79">
            <w:pPr>
              <w:kinsoku/>
              <w:overflowPunct w:val="0"/>
              <w:autoSpaceDE/>
              <w:autoSpaceDN/>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6666.6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（10亩）</w:t>
            </w:r>
          </w:p>
        </w:tc>
      </w:tr>
      <w:tr w14:paraId="470C58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2" w:hRule="atLeast"/>
          <w:jc w:val="center"/>
        </w:trPr>
        <w:tc>
          <w:tcPr>
            <w:tcW w:w="482" w:type="dxa"/>
            <w:tcBorders>
              <w:tl2br w:val="nil"/>
              <w:tr2bl w:val="nil"/>
            </w:tcBorders>
            <w:vAlign w:val="center"/>
          </w:tcPr>
          <w:p w14:paraId="45D67D31">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专项评价设置情况</w:t>
            </w:r>
          </w:p>
        </w:tc>
        <w:tc>
          <w:tcPr>
            <w:tcW w:w="8347" w:type="dxa"/>
            <w:gridSpan w:val="5"/>
            <w:tcBorders>
              <w:tl2br w:val="nil"/>
              <w:tr2bl w:val="nil"/>
            </w:tcBorders>
            <w:vAlign w:val="center"/>
          </w:tcPr>
          <w:p w14:paraId="508DA92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根据《建设项目环境影响报告表编制技术指南（污染影响类）（试行）》，本项目</w:t>
            </w:r>
            <w:r>
              <w:rPr>
                <w:rFonts w:hint="eastAsia" w:ascii="Times New Roman" w:hAnsi="Times New Roman" w:eastAsia="宋体" w:cs="Times New Roman"/>
                <w:color w:val="auto"/>
                <w:sz w:val="24"/>
                <w:szCs w:val="24"/>
                <w:lang w:eastAsia="zh-CN"/>
              </w:rPr>
              <w:t>无须设置</w:t>
            </w:r>
            <w:r>
              <w:rPr>
                <w:rFonts w:ascii="Times New Roman" w:hAnsi="Times New Roman" w:eastAsia="宋体" w:cs="Times New Roman"/>
                <w:color w:val="auto"/>
                <w:sz w:val="24"/>
                <w:szCs w:val="24"/>
                <w:lang w:eastAsia="zh-CN"/>
              </w:rPr>
              <w:t>专项评价，具体理由详见下表。</w:t>
            </w:r>
          </w:p>
          <w:p w14:paraId="659FFE29">
            <w:pPr>
              <w:kinsoku/>
              <w:overflowPunct w:val="0"/>
              <w:autoSpaceDE/>
              <w:autoSpaceDN/>
              <w:ind w:firstLine="482" w:firstLineChars="200"/>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表1-1项目与专项设置原则对比情况一览表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3026"/>
              <w:gridCol w:w="2858"/>
              <w:gridCol w:w="1131"/>
            </w:tblGrid>
            <w:tr w14:paraId="643A0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45E64A6E">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专项评价的类别</w:t>
                  </w:r>
                </w:p>
              </w:tc>
              <w:tc>
                <w:tcPr>
                  <w:tcW w:w="1803" w:type="pct"/>
                  <w:vAlign w:val="center"/>
                </w:tcPr>
                <w:p w14:paraId="2EC22824">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设置原则</w:t>
                  </w:r>
                </w:p>
              </w:tc>
              <w:tc>
                <w:tcPr>
                  <w:tcW w:w="1703" w:type="pct"/>
                  <w:vAlign w:val="center"/>
                </w:tcPr>
                <w:p w14:paraId="698AC02C">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本项目情况</w:t>
                  </w:r>
                </w:p>
              </w:tc>
              <w:tc>
                <w:tcPr>
                  <w:tcW w:w="674" w:type="pct"/>
                  <w:vAlign w:val="center"/>
                </w:tcPr>
                <w:p w14:paraId="0AFB42B0">
                  <w:pPr>
                    <w:pStyle w:val="31"/>
                    <w:kinsoku/>
                    <w:overflowPunct w:val="0"/>
                    <w:autoSpaceDE/>
                    <w:autoSpaceDN/>
                    <w:adjustRightInd/>
                    <w:snapToGrid/>
                    <w:rPr>
                      <w:rFonts w:ascii="Times New Roman" w:hAnsi="Times New Roman" w:eastAsia="宋体" w:cs="Times New Roman"/>
                      <w:b/>
                      <w:bCs/>
                      <w:color w:val="auto"/>
                    </w:rPr>
                  </w:pPr>
                  <w:r>
                    <w:rPr>
                      <w:rFonts w:ascii="Times New Roman" w:hAnsi="Times New Roman" w:eastAsia="宋体" w:cs="Times New Roman"/>
                      <w:b/>
                      <w:bCs/>
                      <w:color w:val="auto"/>
                    </w:rPr>
                    <w:t>是否设置专项</w:t>
                  </w:r>
                </w:p>
              </w:tc>
            </w:tr>
            <w:tr w14:paraId="0AB23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202783F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大气</w:t>
                  </w:r>
                </w:p>
              </w:tc>
              <w:tc>
                <w:tcPr>
                  <w:tcW w:w="1803" w:type="pct"/>
                  <w:vAlign w:val="center"/>
                </w:tcPr>
                <w:p w14:paraId="26FD8A58">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排放废气含有毒有害污染物、二噁英、苯并[a]芘、氰化物、氯气且厂界外500米范围内有环境空气保护目标的建设项目。</w:t>
                  </w:r>
                </w:p>
              </w:tc>
              <w:tc>
                <w:tcPr>
                  <w:tcW w:w="1703" w:type="pct"/>
                  <w:vAlign w:val="center"/>
                </w:tcPr>
                <w:p w14:paraId="67B12AFB">
                  <w:pPr>
                    <w:pStyle w:val="31"/>
                    <w:kinsoku/>
                    <w:overflowPunct w:val="0"/>
                    <w:autoSpaceDE/>
                    <w:autoSpaceDN/>
                    <w:adjustRightInd/>
                    <w:snapToGrid/>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废气污染物为颗粒物，不包含</w:t>
                  </w:r>
                  <w:r>
                    <w:rPr>
                      <w:rFonts w:ascii="Times New Roman" w:hAnsi="Times New Roman" w:eastAsia="宋体" w:cs="Times New Roman"/>
                      <w:color w:val="auto"/>
                      <w:kern w:val="21"/>
                      <w:lang w:eastAsia="zh-CN"/>
                    </w:rPr>
                    <w:t>有毒有害</w:t>
                  </w:r>
                  <w:r>
                    <w:rPr>
                      <w:rFonts w:ascii="Times New Roman" w:hAnsi="Times New Roman" w:eastAsia="宋体" w:cs="Times New Roman"/>
                      <w:color w:val="auto"/>
                      <w:lang w:eastAsia="zh-CN"/>
                    </w:rPr>
                    <w:t>污染物</w:t>
                  </w:r>
                  <w:r>
                    <w:rPr>
                      <w:rFonts w:hint="eastAsia" w:ascii="Times New Roman" w:hAnsi="Times New Roman" w:eastAsia="宋体" w:cs="Times New Roman"/>
                      <w:color w:val="auto"/>
                      <w:lang w:eastAsia="zh-CN"/>
                    </w:rPr>
                    <w:t>、</w:t>
                  </w:r>
                  <w:r>
                    <w:rPr>
                      <w:rFonts w:ascii="Times New Roman" w:hAnsi="Times New Roman" w:eastAsia="宋体" w:cs="Times New Roman"/>
                      <w:color w:val="auto"/>
                      <w:kern w:val="21"/>
                      <w:lang w:eastAsia="zh-CN"/>
                    </w:rPr>
                    <w:t>二噁英</w:t>
                  </w:r>
                  <w:r>
                    <w:rPr>
                      <w:rFonts w:hint="eastAsia" w:ascii="Times New Roman" w:hAnsi="Times New Roman" w:eastAsia="宋体" w:cs="Times New Roman"/>
                      <w:color w:val="auto"/>
                      <w:kern w:val="21"/>
                      <w:lang w:eastAsia="zh-CN"/>
                    </w:rPr>
                    <w:t>等</w:t>
                  </w:r>
                  <w:r>
                    <w:rPr>
                      <w:rFonts w:ascii="Times New Roman" w:hAnsi="Times New Roman" w:eastAsia="宋体" w:cs="Times New Roman"/>
                      <w:color w:val="auto"/>
                      <w:lang w:eastAsia="zh-CN"/>
                    </w:rPr>
                    <w:t>，不设置大气专项评价；</w:t>
                  </w:r>
                </w:p>
              </w:tc>
              <w:tc>
                <w:tcPr>
                  <w:tcW w:w="674" w:type="pct"/>
                  <w:vAlign w:val="center"/>
                </w:tcPr>
                <w:p w14:paraId="12CAD74C">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5CD1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72325C6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地表水</w:t>
                  </w:r>
                </w:p>
              </w:tc>
              <w:tc>
                <w:tcPr>
                  <w:tcW w:w="1803" w:type="pct"/>
                  <w:vAlign w:val="center"/>
                </w:tcPr>
                <w:p w14:paraId="11101AA3">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新增工业废水直排建设项目（槽罐车外送污水处理厂的除外）；新增废水直排的污水集中处理厂。</w:t>
                  </w:r>
                </w:p>
              </w:tc>
              <w:tc>
                <w:tcPr>
                  <w:tcW w:w="1703" w:type="pct"/>
                  <w:vAlign w:val="center"/>
                </w:tcPr>
                <w:p w14:paraId="31DAA7AC">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本项目不产生工业废水</w:t>
                  </w:r>
                  <w:r>
                    <w:rPr>
                      <w:rFonts w:hint="eastAsia" w:ascii="Times New Roman" w:hAnsi="Times New Roman" w:eastAsia="宋体" w:cs="Times New Roman"/>
                      <w:color w:val="auto"/>
                      <w:lang w:eastAsia="zh-CN"/>
                    </w:rPr>
                    <w:t>，无直排废水，</w:t>
                  </w:r>
                  <w:r>
                    <w:rPr>
                      <w:rFonts w:ascii="Times New Roman" w:hAnsi="Times New Roman" w:eastAsia="宋体" w:cs="Times New Roman"/>
                      <w:color w:val="auto"/>
                      <w:lang w:eastAsia="zh-CN"/>
                    </w:rPr>
                    <w:t>不设置地表水专项评价；</w:t>
                  </w:r>
                </w:p>
              </w:tc>
              <w:tc>
                <w:tcPr>
                  <w:tcW w:w="674" w:type="pct"/>
                  <w:vAlign w:val="center"/>
                </w:tcPr>
                <w:p w14:paraId="2C5F3DC3">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2EC7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616719D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环境风险</w:t>
                  </w:r>
                </w:p>
              </w:tc>
              <w:tc>
                <w:tcPr>
                  <w:tcW w:w="1803" w:type="pct"/>
                  <w:vAlign w:val="center"/>
                </w:tcPr>
                <w:p w14:paraId="4B56D785">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有毒有害和易燃易爆危险物质存储量超过临界量的建设项目。</w:t>
                  </w:r>
                </w:p>
              </w:tc>
              <w:tc>
                <w:tcPr>
                  <w:tcW w:w="1703" w:type="pct"/>
                  <w:vAlign w:val="center"/>
                </w:tcPr>
                <w:p w14:paraId="5D96ECAB">
                  <w:pPr>
                    <w:pStyle w:val="31"/>
                    <w:kinsoku/>
                    <w:overflowPunct w:val="0"/>
                    <w:autoSpaceDE/>
                    <w:autoSpaceDN/>
                    <w:adjustRightInd/>
                    <w:snapToGrid/>
                    <w:jc w:val="both"/>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w:t>
                  </w:r>
                  <w:r>
                    <w:rPr>
                      <w:rFonts w:hint="eastAsia" w:ascii="Times New Roman" w:hAnsi="Times New Roman" w:eastAsia="宋体" w:cs="Times New Roman"/>
                      <w:color w:val="auto"/>
                      <w:lang w:eastAsia="zh-CN"/>
                    </w:rPr>
                    <w:t>不</w:t>
                  </w:r>
                  <w:r>
                    <w:rPr>
                      <w:rFonts w:ascii="Times New Roman" w:hAnsi="Times New Roman" w:eastAsia="宋体" w:cs="Times New Roman"/>
                      <w:color w:val="auto"/>
                      <w:lang w:eastAsia="zh-CN"/>
                    </w:rPr>
                    <w:t>涉及有毒有害</w:t>
                  </w:r>
                  <w:r>
                    <w:rPr>
                      <w:rFonts w:hint="eastAsia" w:ascii="Times New Roman" w:hAnsi="Times New Roman" w:eastAsia="宋体" w:cs="Times New Roman"/>
                      <w:color w:val="auto"/>
                      <w:lang w:eastAsia="zh-CN"/>
                    </w:rPr>
                    <w:t>物质，</w:t>
                  </w:r>
                  <w:r>
                    <w:rPr>
                      <w:rFonts w:ascii="Times New Roman" w:hAnsi="Times New Roman" w:eastAsia="宋体" w:cs="Times New Roman"/>
                      <w:color w:val="auto"/>
                      <w:lang w:eastAsia="zh-CN"/>
                    </w:rPr>
                    <w:t>易燃易爆危险物质</w:t>
                  </w:r>
                  <w:r>
                    <w:rPr>
                      <w:rFonts w:hint="eastAsia" w:ascii="Times New Roman" w:hAnsi="Times New Roman" w:eastAsia="宋体" w:cs="Times New Roman"/>
                      <w:color w:val="auto"/>
                      <w:lang w:eastAsia="zh-CN"/>
                    </w:rPr>
                    <w:t>为废机油、废含油手套及抹布，</w:t>
                  </w:r>
                  <w:r>
                    <w:rPr>
                      <w:rFonts w:ascii="Times New Roman" w:hAnsi="Times New Roman" w:eastAsia="宋体" w:cs="Times New Roman"/>
                      <w:color w:val="auto"/>
                      <w:lang w:eastAsia="zh-CN"/>
                    </w:rPr>
                    <w:t>最大暂存量</w:t>
                  </w:r>
                  <w:r>
                    <w:rPr>
                      <w:rFonts w:hint="eastAsia" w:ascii="Times New Roman" w:hAnsi="Times New Roman" w:eastAsia="宋体" w:cs="Times New Roman"/>
                      <w:color w:val="auto"/>
                      <w:lang w:eastAsia="zh-CN"/>
                    </w:rPr>
                    <w:t>为0.1</w:t>
                  </w:r>
                  <w:r>
                    <w:rPr>
                      <w:rFonts w:hint="eastAsia" w:ascii="Times New Roman" w:hAnsi="Times New Roman" w:eastAsia="宋体" w:cs="Times New Roman"/>
                      <w:color w:val="auto"/>
                      <w:lang w:val="en-US" w:eastAsia="zh-CN"/>
                    </w:rPr>
                    <w:t>1</w:t>
                  </w:r>
                  <w:r>
                    <w:rPr>
                      <w:rFonts w:hint="eastAsia" w:ascii="Times New Roman" w:hAnsi="Times New Roman" w:eastAsia="宋体" w:cs="Times New Roman"/>
                      <w:color w:val="auto"/>
                      <w:lang w:eastAsia="zh-CN"/>
                    </w:rPr>
                    <w:t>t，</w:t>
                  </w:r>
                  <w:r>
                    <w:rPr>
                      <w:rFonts w:ascii="Times New Roman" w:hAnsi="Times New Roman" w:eastAsia="宋体" w:cs="Times New Roman"/>
                      <w:color w:val="auto"/>
                      <w:lang w:eastAsia="zh-CN"/>
                    </w:rPr>
                    <w:t>未超过临界量</w:t>
                  </w:r>
                  <w:r>
                    <w:rPr>
                      <w:rFonts w:hint="eastAsia" w:ascii="Times New Roman" w:hAnsi="Times New Roman" w:eastAsia="宋体" w:cs="Times New Roman"/>
                      <w:color w:val="auto"/>
                      <w:lang w:eastAsia="zh-CN"/>
                    </w:rPr>
                    <w:t>2500t，Q=0.0000</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4＜1</w:t>
                  </w:r>
                  <w:r>
                    <w:rPr>
                      <w:rFonts w:ascii="Times New Roman" w:hAnsi="Times New Roman" w:eastAsia="宋体" w:cs="Times New Roman"/>
                      <w:color w:val="auto"/>
                      <w:lang w:eastAsia="zh-CN"/>
                    </w:rPr>
                    <w:t>，不需要设置环境风险专项评价。</w:t>
                  </w:r>
                </w:p>
              </w:tc>
              <w:tc>
                <w:tcPr>
                  <w:tcW w:w="674" w:type="pct"/>
                  <w:vAlign w:val="center"/>
                </w:tcPr>
                <w:p w14:paraId="020256C8">
                  <w:pPr>
                    <w:pStyle w:val="31"/>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否</w:t>
                  </w:r>
                </w:p>
              </w:tc>
            </w:tr>
            <w:tr w14:paraId="44B5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486AB52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生态</w:t>
                  </w:r>
                </w:p>
              </w:tc>
              <w:tc>
                <w:tcPr>
                  <w:tcW w:w="1803" w:type="pct"/>
                  <w:vAlign w:val="center"/>
                </w:tcPr>
                <w:p w14:paraId="40B3C938">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取水口下游500米范围内有重要水生生物的自然产卵场、索饵场、越冬场和洄游通道的新增河道取水的污染类建设项目。</w:t>
                  </w:r>
                </w:p>
              </w:tc>
              <w:tc>
                <w:tcPr>
                  <w:tcW w:w="1703" w:type="pct"/>
                  <w:vAlign w:val="center"/>
                </w:tcPr>
                <w:p w14:paraId="4C3B4A73">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本项目不设置取水口。</w:t>
                  </w:r>
                </w:p>
              </w:tc>
              <w:tc>
                <w:tcPr>
                  <w:tcW w:w="674" w:type="pct"/>
                  <w:vAlign w:val="center"/>
                </w:tcPr>
                <w:p w14:paraId="19A40734">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r w14:paraId="73F8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9" w:type="pct"/>
                  <w:vAlign w:val="center"/>
                </w:tcPr>
                <w:p w14:paraId="7379A72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kern w:val="21"/>
                    </w:rPr>
                    <w:t>海洋</w:t>
                  </w:r>
                </w:p>
              </w:tc>
              <w:tc>
                <w:tcPr>
                  <w:tcW w:w="1803" w:type="pct"/>
                  <w:vAlign w:val="center"/>
                </w:tcPr>
                <w:p w14:paraId="1D0FABDD">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kern w:val="21"/>
                      <w:lang w:eastAsia="zh-CN"/>
                    </w:rPr>
                    <w:t>直接向海排放污染物的海洋工程建设项目。</w:t>
                  </w:r>
                </w:p>
              </w:tc>
              <w:tc>
                <w:tcPr>
                  <w:tcW w:w="1703" w:type="pct"/>
                  <w:vAlign w:val="center"/>
                </w:tcPr>
                <w:p w14:paraId="7D410570">
                  <w:pPr>
                    <w:pStyle w:val="31"/>
                    <w:kinsoku/>
                    <w:overflowPunct w:val="0"/>
                    <w:autoSpaceDE/>
                    <w:autoSpaceDN/>
                    <w:adjustRightInd/>
                    <w:snapToGrid/>
                    <w:jc w:val="left"/>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本项目不属于海洋工程。</w:t>
                  </w:r>
                </w:p>
              </w:tc>
              <w:tc>
                <w:tcPr>
                  <w:tcW w:w="674" w:type="pct"/>
                  <w:vAlign w:val="center"/>
                </w:tcPr>
                <w:p w14:paraId="427A96D1">
                  <w:pPr>
                    <w:pStyle w:val="31"/>
                    <w:kinsoku/>
                    <w:overflowPunct w:val="0"/>
                    <w:autoSpaceDE/>
                    <w:autoSpaceDN/>
                    <w:adjustRightInd/>
                    <w:snapToGrid/>
                    <w:rPr>
                      <w:rFonts w:ascii="Times New Roman" w:hAnsi="Times New Roman" w:eastAsia="宋体" w:cs="Times New Roman"/>
                      <w:color w:val="auto"/>
                    </w:rPr>
                  </w:pPr>
                  <w:r>
                    <w:rPr>
                      <w:rFonts w:ascii="Times New Roman" w:hAnsi="Times New Roman" w:eastAsia="宋体" w:cs="Times New Roman"/>
                      <w:color w:val="auto"/>
                    </w:rPr>
                    <w:t>否</w:t>
                  </w:r>
                </w:p>
              </w:tc>
            </w:tr>
          </w:tbl>
          <w:p w14:paraId="278F7F1E">
            <w:pPr>
              <w:kinsoku/>
              <w:overflowPunct w:val="0"/>
              <w:autoSpaceDE/>
              <w:autoSpaceDN/>
              <w:jc w:val="center"/>
              <w:rPr>
                <w:rFonts w:ascii="Times New Roman" w:hAnsi="Times New Roman" w:eastAsia="宋体" w:cs="Times New Roman"/>
                <w:color w:val="auto"/>
                <w:sz w:val="24"/>
                <w:szCs w:val="24"/>
                <w:lang w:eastAsia="zh-CN"/>
              </w:rPr>
            </w:pPr>
          </w:p>
        </w:tc>
      </w:tr>
      <w:tr w14:paraId="4B5BAF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3FB28FD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规划情况</w:t>
            </w:r>
          </w:p>
        </w:tc>
        <w:tc>
          <w:tcPr>
            <w:tcW w:w="7351" w:type="dxa"/>
            <w:gridSpan w:val="3"/>
            <w:tcBorders>
              <w:tl2br w:val="nil"/>
              <w:tr2bl w:val="nil"/>
            </w:tcBorders>
            <w:vAlign w:val="center"/>
          </w:tcPr>
          <w:p w14:paraId="4045A870">
            <w:pPr>
              <w:kinsoku/>
              <w:overflowPunct w:val="0"/>
              <w:autoSpaceDE/>
              <w:autoSpaceDN/>
              <w:spacing w:line="360"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《寻甸回族彝族自治县国土空间总体规划（2021-2035年）》</w:t>
            </w:r>
          </w:p>
        </w:tc>
      </w:tr>
      <w:tr w14:paraId="23D6656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1764A650">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规划环境影响评价情况</w:t>
            </w:r>
          </w:p>
        </w:tc>
        <w:tc>
          <w:tcPr>
            <w:tcW w:w="7351" w:type="dxa"/>
            <w:gridSpan w:val="3"/>
            <w:tcBorders>
              <w:tl2br w:val="nil"/>
              <w:tr2bl w:val="nil"/>
            </w:tcBorders>
            <w:vAlign w:val="center"/>
          </w:tcPr>
          <w:p w14:paraId="0B4CFEC4">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无</w:t>
            </w:r>
          </w:p>
        </w:tc>
      </w:tr>
      <w:tr w14:paraId="6EBC29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719" w:type="dxa"/>
            <w:gridSpan w:val="3"/>
            <w:tcBorders>
              <w:tl2br w:val="nil"/>
              <w:tr2bl w:val="nil"/>
            </w:tcBorders>
            <w:vAlign w:val="center"/>
          </w:tcPr>
          <w:p w14:paraId="72FD86E5">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规划及规划环境影响评价符合性分析</w:t>
            </w:r>
          </w:p>
        </w:tc>
        <w:tc>
          <w:tcPr>
            <w:tcW w:w="7351" w:type="dxa"/>
            <w:gridSpan w:val="3"/>
            <w:tcBorders>
              <w:tl2br w:val="nil"/>
              <w:tr2bl w:val="nil"/>
            </w:tcBorders>
            <w:vAlign w:val="center"/>
          </w:tcPr>
          <w:p w14:paraId="032CF4E8">
            <w:pPr>
              <w:kinsoku/>
              <w:overflowPunct w:val="0"/>
              <w:autoSpaceDE/>
              <w:autoSpaceDN/>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无</w:t>
            </w:r>
          </w:p>
        </w:tc>
      </w:tr>
      <w:tr w14:paraId="3E16D3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482" w:type="dxa"/>
            <w:tcBorders>
              <w:tl2br w:val="nil"/>
              <w:tr2bl w:val="nil"/>
            </w:tcBorders>
            <w:vAlign w:val="center"/>
          </w:tcPr>
          <w:p w14:paraId="43929B5B">
            <w:pPr>
              <w:kinsoku/>
              <w:overflowPunct w:val="0"/>
              <w:autoSpaceDE/>
              <w:autoSpaceDN/>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其他符合性分析</w:t>
            </w:r>
          </w:p>
        </w:tc>
        <w:tc>
          <w:tcPr>
            <w:tcW w:w="8347" w:type="dxa"/>
            <w:gridSpan w:val="5"/>
            <w:tcBorders>
              <w:tl2br w:val="nil"/>
              <w:tr2bl w:val="nil"/>
            </w:tcBorders>
            <w:vAlign w:val="center"/>
          </w:tcPr>
          <w:p w14:paraId="6A5EC527">
            <w:pPr>
              <w:kinsoku/>
              <w:overflowPunct w:val="0"/>
              <w:autoSpaceDE/>
              <w:autoSpaceDN/>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val="zh-CN" w:eastAsia="zh-CN"/>
              </w:rPr>
              <w:t>、</w:t>
            </w:r>
            <w:r>
              <w:rPr>
                <w:rFonts w:ascii="Times New Roman" w:hAnsi="Times New Roman" w:eastAsia="宋体" w:cs="Times New Roman"/>
                <w:b/>
                <w:bCs/>
                <w:color w:val="auto"/>
                <w:sz w:val="24"/>
                <w:szCs w:val="24"/>
                <w:lang w:eastAsia="zh-CN"/>
              </w:rPr>
              <w:t>产业政策符合性分析</w:t>
            </w:r>
          </w:p>
          <w:p w14:paraId="50BE53D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本项目为固体废物治理</w:t>
            </w: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lang w:eastAsia="zh-CN"/>
              </w:rPr>
              <w:t>，对照国家发展和改革委员会第49号令颁布的《产业结构调整指导目录（2024年本）》中的相关规定，项目属于鼓励类</w:t>
            </w:r>
            <w:r>
              <w:rPr>
                <w:rFonts w:hint="eastAsia" w:ascii="Times New Roman" w:hAnsi="Times New Roman" w:eastAsia="宋体" w:cs="Times New Roman"/>
                <w:color w:val="auto"/>
                <w:sz w:val="24"/>
                <w:szCs w:val="24"/>
                <w:lang w:eastAsia="zh-CN"/>
              </w:rPr>
              <w:t>“十一、石化化工，2、无机盐：磷石膏综合利用技术开发与应用”</w:t>
            </w:r>
            <w:r>
              <w:rPr>
                <w:rFonts w:ascii="Times New Roman" w:hAnsi="Times New Roman" w:eastAsia="宋体" w:cs="Times New Roman"/>
                <w:color w:val="auto"/>
                <w:sz w:val="24"/>
                <w:szCs w:val="24"/>
                <w:lang w:eastAsia="zh-CN"/>
              </w:rPr>
              <w:t>。符合国家有关法律和政策规定。</w:t>
            </w:r>
          </w:p>
          <w:p w14:paraId="30A4384D">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于2025年7月24日</w:t>
            </w:r>
            <w:r>
              <w:rPr>
                <w:rFonts w:ascii="Times New Roman" w:hAnsi="Times New Roman" w:eastAsia="宋体" w:cs="Times New Roman"/>
                <w:color w:val="auto"/>
                <w:sz w:val="24"/>
                <w:szCs w:val="24"/>
                <w:lang w:eastAsia="zh-CN"/>
              </w:rPr>
              <w:t>取得了寻甸回族彝族自治县发展和改革局出具的《云南省固定资产</w:t>
            </w:r>
            <w:r>
              <w:rPr>
                <w:rFonts w:hint="eastAsia" w:cs="Times New Roman"/>
                <w:color w:val="auto"/>
                <w:sz w:val="24"/>
                <w:szCs w:val="24"/>
                <w:lang w:val="en-US" w:eastAsia="zh-CN"/>
              </w:rPr>
              <w:t>投资</w:t>
            </w:r>
            <w:r>
              <w:rPr>
                <w:rFonts w:ascii="Times New Roman" w:hAnsi="Times New Roman" w:eastAsia="宋体" w:cs="Times New Roman"/>
                <w:color w:val="auto"/>
                <w:sz w:val="24"/>
                <w:szCs w:val="24"/>
                <w:lang w:eastAsia="zh-CN"/>
              </w:rPr>
              <w:t>项目备案证》（项目代码：2507-530129-04-01-360249）。</w:t>
            </w:r>
          </w:p>
          <w:p w14:paraId="2710B4D8">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综上，项目符合国家和地方现行的产业政策。</w:t>
            </w:r>
          </w:p>
          <w:p w14:paraId="46F69843">
            <w:pPr>
              <w:pStyle w:val="8"/>
              <w:widowControl/>
              <w:kinsoku/>
              <w:overflowPunct w:val="0"/>
              <w:autoSpaceDE/>
              <w:autoSpaceDN/>
              <w:spacing w:line="360" w:lineRule="auto"/>
              <w:ind w:firstLine="482" w:firstLineChars="200"/>
              <w:rPr>
                <w:rFonts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szCs w:val="24"/>
                <w:lang w:eastAsia="zh-CN"/>
              </w:rPr>
              <w:t>2、项目与《寻甸回族彝族自治县国土空间总体规划（2021-2035年）》的符合性分析</w:t>
            </w:r>
          </w:p>
          <w:p w14:paraId="7D3C1B5A">
            <w:pPr>
              <w:kinsoku/>
              <w:overflowPunct w:val="0"/>
              <w:autoSpaceDE/>
              <w:autoSpaceDN/>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《寻甸回族彝族自治县国土空间总体规划（2021-2035年）》于2025年3月6日取得昆明市人民政府关于《寻甸回族彝族自治县国土空间总体规划（2021-2035年）》的批复（昆政复〔2025〕12号）的批复。</w:t>
            </w:r>
          </w:p>
          <w:p w14:paraId="330EE85C">
            <w:pPr>
              <w:kinsoku/>
              <w:overflowPunct w:val="0"/>
              <w:autoSpaceDE/>
              <w:autoSpaceDN/>
              <w:spacing w:line="360" w:lineRule="auto"/>
              <w:ind w:firstLine="480" w:firstLineChars="200"/>
              <w:jc w:val="both"/>
              <w:rPr>
                <w:rFonts w:hint="eastAsia"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规划构建“一核一心、两轴三带、三区多点”的开发保护总体格局，本项目位于寻甸回族彝族自治县金所街道办事处泽铁村委会栽开居民小组，根据与规划国土空间总体格局图对比分析，项目区位于其中的综合发展</w:t>
            </w:r>
            <w:r>
              <w:rPr>
                <w:rFonts w:hint="eastAsia" w:ascii="Times New Roman" w:hAnsi="Times New Roman" w:eastAsia="宋体" w:cs="Times New Roman"/>
                <w:color w:val="auto"/>
                <w:sz w:val="24"/>
                <w:lang w:eastAsia="zh-CN"/>
              </w:rPr>
              <w:t>区。</w:t>
            </w:r>
          </w:p>
          <w:p w14:paraId="1502D65C">
            <w:pPr>
              <w:keepNext w:val="0"/>
              <w:keepLines w:val="0"/>
              <w:pageBreakBefore w:val="0"/>
              <w:widowControl/>
              <w:kinsoku/>
              <w:wordWrap/>
              <w:overflowPunct w:val="0"/>
              <w:topLinePunct w:val="0"/>
              <w:autoSpaceDE/>
              <w:autoSpaceDN/>
              <w:bidi w:val="0"/>
              <w:adjustRightInd w:val="0"/>
              <w:snapToGrid w:val="0"/>
              <w:spacing w:line="240" w:lineRule="auto"/>
              <w:ind w:firstLine="0" w:firstLineChars="0"/>
              <w:jc w:val="both"/>
              <w:textAlignment w:val="baseline"/>
              <w:rPr>
                <w:rFonts w:hint="eastAsia" w:ascii="Times New Roman" w:hAnsi="Times New Roman" w:eastAsia="宋体" w:cs="Times New Roman"/>
                <w:color w:val="auto"/>
                <w:sz w:val="24"/>
                <w:lang w:eastAsia="zh-CN"/>
              </w:rPr>
            </w:pPr>
            <w:r>
              <w:rPr>
                <w:rFonts w:ascii="Times New Roman" w:hAnsi="Times New Roman" w:eastAsia="宋体" w:cs="Times New Roman"/>
                <w:color w:val="auto"/>
              </w:rPr>
              <w:drawing>
                <wp:inline distT="0" distB="0" distL="114300" distR="114300">
                  <wp:extent cx="5361940" cy="4223385"/>
                  <wp:effectExtent l="0" t="0" r="10160" b="5715"/>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4"/>
                          <a:stretch>
                            <a:fillRect/>
                          </a:stretch>
                        </pic:blipFill>
                        <pic:spPr>
                          <a:xfrm>
                            <a:off x="0" y="0"/>
                            <a:ext cx="5361940" cy="4223385"/>
                          </a:xfrm>
                          <a:prstGeom prst="rect">
                            <a:avLst/>
                          </a:prstGeom>
                          <a:noFill/>
                          <a:ln>
                            <a:noFill/>
                          </a:ln>
                        </pic:spPr>
                      </pic:pic>
                    </a:graphicData>
                  </a:graphic>
                </wp:inline>
              </w:drawing>
            </w:r>
          </w:p>
          <w:p w14:paraId="1A7EFA0C">
            <w:pPr>
              <w:kinsoku/>
              <w:overflowPunct w:val="0"/>
              <w:autoSpaceDE/>
              <w:autoSpaceDN/>
              <w:jc w:val="center"/>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图1-1本项目与</w:t>
            </w:r>
            <w:r>
              <w:rPr>
                <w:rFonts w:ascii="Times New Roman" w:hAnsi="Times New Roman" w:eastAsia="宋体" w:cs="Times New Roman"/>
                <w:b/>
                <w:bCs/>
                <w:color w:val="auto"/>
                <w:sz w:val="24"/>
                <w:szCs w:val="24"/>
                <w:lang w:eastAsia="zh-CN"/>
              </w:rPr>
              <w:t>寻甸回族彝族自治县国土空间总体规划总体格局</w:t>
            </w:r>
            <w:r>
              <w:rPr>
                <w:rFonts w:hint="eastAsia" w:ascii="Times New Roman" w:hAnsi="Times New Roman" w:eastAsia="宋体" w:cs="Times New Roman"/>
                <w:b/>
                <w:bCs/>
                <w:color w:val="auto"/>
                <w:sz w:val="24"/>
                <w:szCs w:val="24"/>
                <w:lang w:val="en-US" w:eastAsia="zh-CN"/>
              </w:rPr>
              <w:t>位置关系图</w:t>
            </w:r>
          </w:p>
          <w:p w14:paraId="71C145C1">
            <w:pPr>
              <w:kinsoku/>
              <w:overflowPunct w:val="0"/>
              <w:autoSpaceDE/>
              <w:autoSpaceDN/>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w:t>
            </w:r>
            <w:r>
              <w:rPr>
                <w:rFonts w:hint="eastAsia" w:ascii="Times New Roman" w:hAnsi="Times New Roman" w:eastAsia="宋体" w:cs="Times New Roman"/>
                <w:color w:val="auto"/>
                <w:sz w:val="24"/>
                <w:lang w:eastAsia="zh-CN"/>
              </w:rPr>
              <w:t>寻甸回族彝族自治县</w:t>
            </w:r>
            <w:r>
              <w:rPr>
                <w:rFonts w:ascii="Times New Roman" w:hAnsi="Times New Roman" w:eastAsia="宋体" w:cs="Times New Roman"/>
                <w:color w:val="auto"/>
                <w:sz w:val="24"/>
                <w:lang w:eastAsia="zh-CN"/>
              </w:rPr>
              <w:t>自然资源局“三区三线”查询结果</w:t>
            </w:r>
            <w:r>
              <w:rPr>
                <w:rFonts w:hint="eastAsia" w:ascii="Times New Roman" w:hAnsi="Times New Roman" w:eastAsia="宋体" w:cs="Times New Roman"/>
                <w:color w:val="auto"/>
                <w:sz w:val="24"/>
                <w:lang w:eastAsia="zh-CN"/>
              </w:rPr>
              <w:t>（附件5）</w:t>
            </w:r>
            <w:r>
              <w:rPr>
                <w:rFonts w:ascii="Times New Roman" w:hAnsi="Times New Roman" w:eastAsia="宋体" w:cs="Times New Roman"/>
                <w:color w:val="auto"/>
                <w:sz w:val="24"/>
                <w:lang w:eastAsia="zh-CN"/>
              </w:rPr>
              <w:t>，本项目不涉及永久基本农田，未与生态保护红线重叠，不在城镇开发边界范围内，且项目已取得寻甸回族彝族自治县科学技术和工业信息化局关于《关于</w:t>
            </w:r>
            <w:r>
              <w:rPr>
                <w:rFonts w:hint="eastAsia" w:ascii="Times New Roman" w:hAnsi="Times New Roman" w:eastAsia="宋体" w:cs="Times New Roman"/>
                <w:color w:val="auto"/>
                <w:sz w:val="24"/>
                <w:lang w:eastAsia="zh-CN"/>
              </w:rPr>
              <w:t>云南赛农农业科技有限公司改性磷石膏综合利用</w:t>
            </w:r>
            <w:r>
              <w:rPr>
                <w:rFonts w:ascii="Times New Roman" w:hAnsi="Times New Roman" w:eastAsia="宋体" w:cs="Times New Roman"/>
                <w:color w:val="auto"/>
                <w:sz w:val="24"/>
                <w:lang w:eastAsia="zh-CN"/>
              </w:rPr>
              <w:t>项目不进工业园区选址的批复》（寻科工信复〔202</w:t>
            </w:r>
            <w:r>
              <w:rPr>
                <w:rFonts w:hint="eastAsia" w:ascii="Times New Roman" w:hAnsi="Times New Roman" w:eastAsia="宋体" w:cs="Times New Roman"/>
                <w:color w:val="auto"/>
                <w:sz w:val="24"/>
                <w:lang w:eastAsia="zh-CN"/>
              </w:rPr>
              <w:t>5</w:t>
            </w: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4</w:t>
            </w:r>
            <w:r>
              <w:rPr>
                <w:rFonts w:ascii="Times New Roman" w:hAnsi="Times New Roman" w:eastAsia="宋体" w:cs="Times New Roman"/>
                <w:color w:val="auto"/>
                <w:sz w:val="24"/>
                <w:lang w:eastAsia="zh-CN"/>
              </w:rPr>
              <w:t>号）</w:t>
            </w:r>
            <w:r>
              <w:rPr>
                <w:rFonts w:hint="eastAsia" w:ascii="Times New Roman" w:hAnsi="Times New Roman" w:eastAsia="宋体" w:cs="Times New Roman"/>
                <w:color w:val="auto"/>
                <w:sz w:val="24"/>
                <w:lang w:eastAsia="zh-CN"/>
              </w:rPr>
              <w:t>（附件7）</w:t>
            </w:r>
            <w:r>
              <w:rPr>
                <w:rFonts w:ascii="Times New Roman" w:hAnsi="Times New Roman" w:eastAsia="宋体" w:cs="Times New Roman"/>
                <w:color w:val="auto"/>
                <w:sz w:val="24"/>
                <w:lang w:eastAsia="zh-CN"/>
              </w:rPr>
              <w:t>，同意项目选址，本项目与</w:t>
            </w:r>
            <w:r>
              <w:rPr>
                <w:rFonts w:hint="eastAsia" w:ascii="Times New Roman" w:hAnsi="Times New Roman" w:eastAsia="宋体" w:cs="Times New Roman"/>
                <w:color w:val="auto"/>
                <w:sz w:val="24"/>
                <w:lang w:eastAsia="zh-CN"/>
              </w:rPr>
              <w:t>寻甸回族彝族自治县</w:t>
            </w:r>
            <w:r>
              <w:rPr>
                <w:rFonts w:ascii="Times New Roman" w:hAnsi="Times New Roman" w:eastAsia="宋体" w:cs="Times New Roman"/>
                <w:color w:val="auto"/>
                <w:sz w:val="24"/>
                <w:lang w:eastAsia="zh-CN"/>
              </w:rPr>
              <w:t>国土空间规划不冲突。</w:t>
            </w:r>
          </w:p>
          <w:p w14:paraId="3A201645">
            <w:pPr>
              <w:pStyle w:val="8"/>
              <w:widowControl/>
              <w:kinsoku/>
              <w:overflowPunct w:val="0"/>
              <w:autoSpaceDE/>
              <w:autoSpaceDN/>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kern w:val="0"/>
                <w:sz w:val="24"/>
                <w:szCs w:val="24"/>
                <w:lang w:eastAsia="zh-CN"/>
              </w:rPr>
              <w:t>3</w:t>
            </w:r>
            <w:r>
              <w:rPr>
                <w:rFonts w:ascii="Times New Roman" w:hAnsi="Times New Roman" w:eastAsia="宋体" w:cs="Times New Roman"/>
                <w:b/>
                <w:bCs/>
                <w:color w:val="auto"/>
                <w:kern w:val="0"/>
                <w:sz w:val="24"/>
                <w:szCs w:val="24"/>
                <w:lang w:eastAsia="zh-CN"/>
              </w:rPr>
              <w:t>、</w:t>
            </w:r>
            <w:bookmarkStart w:id="4" w:name="_Toc11005"/>
            <w:bookmarkStart w:id="5" w:name="_Toc1839"/>
            <w:bookmarkStart w:id="6" w:name="_Toc14631_WPSOffice_Level2"/>
            <w:r>
              <w:rPr>
                <w:rFonts w:ascii="Times New Roman" w:hAnsi="Times New Roman" w:eastAsia="宋体" w:cs="Times New Roman"/>
                <w:b/>
                <w:color w:val="auto"/>
                <w:sz w:val="24"/>
                <w:szCs w:val="24"/>
                <w:lang w:eastAsia="zh-CN"/>
              </w:rPr>
              <w:t>项目与《昆明市生态环境分区管控动态更新方案（2023年）》的符合性分析</w:t>
            </w:r>
          </w:p>
          <w:p w14:paraId="7C032623">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根据2024年11月1</w:t>
            </w: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日昆明市生态环境局关于印发《昆明市生态环境分区管控动态更新方案（2023年）》的通知可知，寻甸县共计10个管控单元，其中：3个优先保护单元，6个重点管控单元，1个一般管控单元</w:t>
            </w:r>
            <w:r>
              <w:rPr>
                <w:rFonts w:hint="eastAsia" w:ascii="Times New Roman" w:hAnsi="Times New Roman" w:eastAsia="宋体" w:cs="Times New Roman"/>
                <w:color w:val="auto"/>
                <w:sz w:val="24"/>
                <w:szCs w:val="24"/>
                <w:lang w:eastAsia="zh-CN"/>
              </w:rPr>
              <w:t>。</w:t>
            </w:r>
          </w:p>
          <w:p w14:paraId="1FDAFB16">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根据《昆明市环境管控单元分类图》和云南省生态环境分区管控公共查询平台查询，本项目位于寻甸回族彝族自治县金所街道办事处泽铁村委会栽开居民小组，属于</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寻甸回族彝族自治县一般管控单元ZH53012930001</w:t>
            </w:r>
            <w:r>
              <w:rPr>
                <w:rFonts w:hint="eastAsia" w:ascii="Times New Roman" w:hAnsi="Times New Roman" w:eastAsia="宋体" w:cs="Times New Roman"/>
                <w:color w:val="auto"/>
                <w:sz w:val="24"/>
                <w:szCs w:val="24"/>
                <w:lang w:eastAsia="zh-CN"/>
              </w:rPr>
              <w:t>”。</w:t>
            </w:r>
          </w:p>
          <w:p w14:paraId="2EDF43E6">
            <w:pPr>
              <w:kinsoku/>
              <w:overflowPunct w:val="0"/>
              <w:autoSpaceDE/>
              <w:autoSpaceDN/>
              <w:spacing w:line="360" w:lineRule="auto"/>
              <w:jc w:val="center"/>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drawing>
                <wp:inline distT="0" distB="0" distL="114300" distR="114300">
                  <wp:extent cx="3956685" cy="3910965"/>
                  <wp:effectExtent l="0" t="0" r="5715" b="13335"/>
                  <wp:docPr id="6" name="图片 6" descr="分区管控-管控单元截图2025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分区管控-管控单元截图20250814"/>
                          <pic:cNvPicPr>
                            <a:picLocks noChangeAspect="1"/>
                          </pic:cNvPicPr>
                        </pic:nvPicPr>
                        <pic:blipFill>
                          <a:blip r:embed="rId15"/>
                          <a:stretch>
                            <a:fillRect/>
                          </a:stretch>
                        </pic:blipFill>
                        <pic:spPr>
                          <a:xfrm>
                            <a:off x="0" y="0"/>
                            <a:ext cx="3956685" cy="3910965"/>
                          </a:xfrm>
                          <a:prstGeom prst="rect">
                            <a:avLst/>
                          </a:prstGeom>
                        </pic:spPr>
                      </pic:pic>
                    </a:graphicData>
                  </a:graphic>
                </wp:inline>
              </w:drawing>
            </w:r>
          </w:p>
          <w:p w14:paraId="463C9E47">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图1-</w:t>
            </w:r>
            <w:r>
              <w:rPr>
                <w:rFonts w:hint="eastAsia" w:ascii="Times New Roman" w:hAnsi="Times New Roman" w:eastAsia="宋体" w:cs="Times New Roman"/>
                <w:b/>
                <w:bCs/>
                <w:color w:val="auto"/>
                <w:sz w:val="24"/>
                <w:szCs w:val="24"/>
                <w:lang w:val="en-US" w:eastAsia="zh-CN"/>
              </w:rPr>
              <w:t>2</w:t>
            </w:r>
            <w:r>
              <w:rPr>
                <w:rFonts w:ascii="Times New Roman" w:hAnsi="Times New Roman" w:eastAsia="宋体" w:cs="Times New Roman"/>
                <w:b/>
                <w:bCs/>
                <w:color w:val="auto"/>
                <w:sz w:val="24"/>
                <w:szCs w:val="24"/>
                <w:lang w:eastAsia="zh-CN"/>
              </w:rPr>
              <w:t xml:space="preserve"> 项目生态环境分区管控查询结果</w:t>
            </w:r>
          </w:p>
          <w:p w14:paraId="1E90EDD3">
            <w:pPr>
              <w:kinsoku/>
              <w:overflowPunct w:val="0"/>
              <w:autoSpaceDE/>
              <w:autoSpaceDN/>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项目与昆明市生态环境分区管控动态更新方案符合性分析如表1-</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所示。</w:t>
            </w:r>
          </w:p>
          <w:p w14:paraId="39007DF0">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项目与昆明市生态环境分区管控动态更新方案（2023年）符合性分析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3663"/>
              <w:gridCol w:w="3554"/>
              <w:gridCol w:w="719"/>
            </w:tblGrid>
            <w:tr w14:paraId="6119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62EC2233">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要求</w:t>
                  </w:r>
                </w:p>
              </w:tc>
              <w:tc>
                <w:tcPr>
                  <w:tcW w:w="3440" w:type="dxa"/>
                  <w:vAlign w:val="center"/>
                </w:tcPr>
                <w:p w14:paraId="17E8D95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项目情况</w:t>
                  </w:r>
                </w:p>
              </w:tc>
              <w:tc>
                <w:tcPr>
                  <w:tcW w:w="696" w:type="dxa"/>
                  <w:vAlign w:val="center"/>
                </w:tcPr>
                <w:p w14:paraId="5AE6BE23">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rPr>
                  </w:pPr>
                  <w:r>
                    <w:rPr>
                      <w:rFonts w:ascii="Times New Roman" w:hAnsi="Times New Roman" w:eastAsia="宋体" w:cs="Times New Roman"/>
                      <w:b/>
                      <w:bCs/>
                      <w:color w:val="auto"/>
                    </w:rPr>
                    <w:t>符合情况</w:t>
                  </w:r>
                </w:p>
              </w:tc>
            </w:tr>
            <w:tr w14:paraId="3565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1F1CF813">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（一）空间布局约束</w:t>
                  </w:r>
                </w:p>
              </w:tc>
            </w:tr>
            <w:tr w14:paraId="29ADA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19E6B1D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1.根据《昆明市国土空间总体规划（2021—2035年）》进行空间管控。</w:t>
                  </w:r>
                </w:p>
                <w:p w14:paraId="42404B6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2.牛栏江流域内，严格按照《云南省牛栏江保护条例》相关要求对水环境进行分区管控。</w:t>
                  </w:r>
                </w:p>
                <w:p w14:paraId="379AB71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3.滇池流域内，严格按照《云南省滇池湖滨生态红线及湖泊生态黄线“两线”划定方案》相关要求进行分区管控。</w:t>
                  </w:r>
                </w:p>
                <w:p w14:paraId="456FD2E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4.阳宗海流域内，严格按照《云南省阳宗海湖滨生态红线及湖泊生态黄线“两线”划定方案》相关要求进行分区管控。</w:t>
                  </w:r>
                </w:p>
              </w:tc>
              <w:tc>
                <w:tcPr>
                  <w:tcW w:w="3440" w:type="dxa"/>
                  <w:vAlign w:val="center"/>
                </w:tcPr>
                <w:p w14:paraId="6DFB2CC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根据寻甸回族彝族自治县自然资源局出具的“三区三线”查询结果（附件5），本项目不涉及永久基本农田，未与生态保护红线重叠，不在城镇开发边界范围内；根据寻甸回族彝族自治县科学技术和工业信息化局关于本项目不进工业园区选址的批复（附件7），同意本项目选址于云南省昆明市寻甸县金所街道办事处泽铁社区居委会栽开村083号工业用地，因此本项目符合国土空间管控；</w:t>
                  </w:r>
                </w:p>
                <w:p w14:paraId="57F0C87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2、本项目周边地表水为项目</w:t>
                  </w:r>
                  <w:r>
                    <w:rPr>
                      <w:rFonts w:hint="eastAsia" w:ascii="Times New Roman" w:hAnsi="Times New Roman" w:eastAsia="宋体" w:cs="Times New Roman"/>
                      <w:color w:val="auto"/>
                      <w:lang w:eastAsia="zh-CN"/>
                    </w:rPr>
                    <w:t>东北侧1050</w:t>
                  </w:r>
                  <w:r>
                    <w:rPr>
                      <w:rFonts w:ascii="Times New Roman" w:hAnsi="Times New Roman" w:eastAsia="宋体" w:cs="Times New Roman"/>
                      <w:color w:val="auto"/>
                      <w:lang w:eastAsia="zh-CN"/>
                    </w:rPr>
                    <w:t>m的</w:t>
                  </w:r>
                  <w:r>
                    <w:rPr>
                      <w:rFonts w:hint="eastAsia" w:ascii="Times New Roman" w:hAnsi="Times New Roman" w:eastAsia="宋体" w:cs="Times New Roman"/>
                      <w:color w:val="auto"/>
                      <w:lang w:eastAsia="zh-CN"/>
                    </w:rPr>
                    <w:t>潘所海</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属于牛栏江流域的重点污染控制区；本项目符合《</w:t>
                  </w:r>
                  <w:r>
                    <w:rPr>
                      <w:rFonts w:ascii="Times New Roman" w:hAnsi="Times New Roman" w:eastAsia="宋体" w:cs="Times New Roman"/>
                      <w:color w:val="auto"/>
                      <w:lang w:eastAsia="zh-CN"/>
                    </w:rPr>
                    <w:t>云南省牛栏江保护条例》相关</w:t>
                  </w:r>
                  <w:r>
                    <w:rPr>
                      <w:rFonts w:hint="eastAsia" w:ascii="Times New Roman" w:hAnsi="Times New Roman" w:eastAsia="宋体" w:cs="Times New Roman"/>
                      <w:color w:val="auto"/>
                      <w:lang w:eastAsia="zh-CN"/>
                    </w:rPr>
                    <w:t>管控</w:t>
                  </w:r>
                  <w:r>
                    <w:rPr>
                      <w:rFonts w:ascii="Times New Roman" w:hAnsi="Times New Roman" w:eastAsia="宋体" w:cs="Times New Roman"/>
                      <w:color w:val="auto"/>
                      <w:lang w:eastAsia="zh-CN"/>
                    </w:rPr>
                    <w:t>要求</w:t>
                  </w:r>
                  <w:r>
                    <w:rPr>
                      <w:rFonts w:hint="eastAsia" w:ascii="Times New Roman" w:hAnsi="Times New Roman" w:eastAsia="宋体" w:cs="Times New Roman"/>
                      <w:color w:val="auto"/>
                      <w:lang w:eastAsia="zh-CN"/>
                    </w:rPr>
                    <w:t>；</w:t>
                  </w:r>
                </w:p>
                <w:p w14:paraId="4B4794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r>
                    <w:rPr>
                      <w:rFonts w:ascii="Times New Roman" w:hAnsi="Times New Roman" w:eastAsia="宋体" w:cs="Times New Roman"/>
                      <w:color w:val="auto"/>
                      <w:lang w:eastAsia="zh-CN"/>
                    </w:rPr>
                    <w:t>项目不涉及滇池流域</w:t>
                  </w:r>
                  <w:r>
                    <w:rPr>
                      <w:rFonts w:hint="eastAsia" w:ascii="Times New Roman" w:hAnsi="Times New Roman" w:eastAsia="宋体" w:cs="Times New Roman"/>
                      <w:color w:val="auto"/>
                      <w:lang w:eastAsia="zh-CN"/>
                    </w:rPr>
                    <w:t>；</w:t>
                  </w:r>
                </w:p>
                <w:p w14:paraId="140DB5A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ascii="Times New Roman" w:hAnsi="Times New Roman" w:eastAsia="宋体" w:cs="Times New Roman"/>
                      <w:color w:val="auto"/>
                      <w:lang w:eastAsia="zh-CN"/>
                    </w:rPr>
                    <w:t>项目不涉及阳宗海流域</w:t>
                  </w:r>
                  <w:r>
                    <w:rPr>
                      <w:rFonts w:hint="eastAsia" w:ascii="Times New Roman" w:hAnsi="Times New Roman" w:eastAsia="宋体" w:cs="Times New Roman"/>
                      <w:color w:val="auto"/>
                      <w:lang w:eastAsia="zh-CN"/>
                    </w:rPr>
                    <w:t>。</w:t>
                  </w:r>
                </w:p>
              </w:tc>
              <w:tc>
                <w:tcPr>
                  <w:tcW w:w="696" w:type="dxa"/>
                  <w:vAlign w:val="center"/>
                </w:tcPr>
                <w:p w14:paraId="6CFFBAC9">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788A0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05891F7F">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（二）污染排放管控</w:t>
                  </w:r>
                </w:p>
              </w:tc>
            </w:tr>
            <w:tr w14:paraId="40B99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6307A70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1.到2025年，昆明市地表水国、省控断面达到或好于</w:t>
                  </w:r>
                  <w:r>
                    <w:rPr>
                      <w:rFonts w:hint="eastAsia" w:ascii="Times New Roman" w:hAnsi="Times New Roman" w:eastAsia="宋体" w:cs="Times New Roman"/>
                      <w:color w:val="auto"/>
                      <w:lang w:eastAsia="zh-CN"/>
                    </w:rPr>
                    <w:t>Ⅲ类</w:t>
                  </w:r>
                  <w:r>
                    <w:rPr>
                      <w:rFonts w:ascii="Times New Roman" w:hAnsi="Times New Roman" w:eastAsia="宋体" w:cs="Times New Roman"/>
                      <w:color w:val="auto"/>
                      <w:lang w:eastAsia="zh-CN"/>
                    </w:rPr>
                    <w:t>水体比例应达到81.5%；滇池草海水质稳定达到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、外海水质达到</w:t>
                  </w:r>
                  <w:r>
                    <w:rPr>
                      <w:rFonts w:hint="eastAsia" w:ascii="Times New Roman" w:hAnsi="Times New Roman" w:eastAsia="宋体" w:cs="Times New Roman"/>
                      <w:color w:val="auto"/>
                      <w:lang w:eastAsia="zh-CN"/>
                    </w:rPr>
                    <w:t>Ⅳ类</w:t>
                  </w:r>
                  <w:r>
                    <w:rPr>
                      <w:rFonts w:ascii="Times New Roman" w:hAnsi="Times New Roman" w:eastAsia="宋体" w:cs="Times New Roman"/>
                      <w:color w:val="auto"/>
                      <w:lang w:eastAsia="zh-CN"/>
                    </w:rPr>
                    <w:t>（COD≤40mg/L），阳宗海水质稳定达到Ⅲ类水标准，县级及以上集中式饮用水水源地水质达标率100%。化学需氧量重点工程减排量10243t，氨氮重点工程减排量1009t。</w:t>
                  </w:r>
                </w:p>
                <w:p w14:paraId="37A011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2.到2025年，昆明市环境空气质量优良天数比例应达到99.1%，城市细颗粒物（PM2.5）平均浓度应达到24</w:t>
                  </w:r>
                  <w:r>
                    <w:rPr>
                      <w:rFonts w:ascii="Times New Roman" w:hAnsi="Times New Roman" w:eastAsia="宋体" w:cs="Times New Roman"/>
                      <w:color w:val="auto"/>
                    </w:rPr>
                    <w:t>μ</w:t>
                  </w:r>
                  <w:r>
                    <w:rPr>
                      <w:rFonts w:ascii="Times New Roman" w:hAnsi="Times New Roman" w:eastAsia="宋体" w:cs="Times New Roman"/>
                      <w:color w:val="auto"/>
                      <w:lang w:eastAsia="zh-CN"/>
                    </w:rPr>
                    <w:t>g/m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；氮氧化物重点工程减排量2237t，挥发性有机物重点工程减排量1684t。</w:t>
                  </w:r>
                </w:p>
                <w:p w14:paraId="12C111A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14:paraId="13CEB64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4.建立完善源头、过程和末端的VOCs全过程控制体系，实施VOCs排放总量控制。</w:t>
                  </w:r>
                </w:p>
                <w:p w14:paraId="7C341C6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5.推进农业废弃物综合利用，2025年底前综合利用率达90%以上。</w:t>
                  </w:r>
                </w:p>
                <w:p w14:paraId="7633A93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14:paraId="36EF633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14:paraId="18BD424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14:paraId="2FA4010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9.推动昆明市磷石膏综合利用率2023年达到52%，2024年达到64%，2025年确保达到73%，力争达到75%；到2025年底，中心城区污泥无害化处置率达到95%以上，县城污泥无害化处置率达到90%以上。</w:t>
                  </w:r>
                </w:p>
              </w:tc>
              <w:tc>
                <w:tcPr>
                  <w:tcW w:w="3440" w:type="dxa"/>
                  <w:vAlign w:val="center"/>
                </w:tcPr>
                <w:p w14:paraId="41C8003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1、项目涉及地表水为</w:t>
                  </w:r>
                  <w:r>
                    <w:rPr>
                      <w:rFonts w:hint="eastAsia" w:ascii="Times New Roman" w:hAnsi="Times New Roman" w:eastAsia="宋体" w:cs="Times New Roman"/>
                      <w:color w:val="auto"/>
                      <w:lang w:eastAsia="zh-CN"/>
                    </w:rPr>
                    <w:t>东北侧1050</w:t>
                  </w:r>
                  <w:r>
                    <w:rPr>
                      <w:rFonts w:ascii="Times New Roman" w:hAnsi="Times New Roman" w:eastAsia="宋体" w:cs="Times New Roman"/>
                      <w:color w:val="auto"/>
                      <w:lang w:eastAsia="zh-CN"/>
                    </w:rPr>
                    <w:t>m的</w:t>
                  </w:r>
                  <w:r>
                    <w:rPr>
                      <w:rFonts w:hint="eastAsia" w:ascii="Times New Roman" w:hAnsi="Times New Roman" w:eastAsia="宋体" w:cs="Times New Roman"/>
                      <w:color w:val="auto"/>
                      <w:lang w:eastAsia="zh-CN"/>
                    </w:rPr>
                    <w:t>潘所海</w:t>
                  </w:r>
                  <w:r>
                    <w:rPr>
                      <w:rFonts w:ascii="Times New Roman" w:hAnsi="Times New Roman" w:eastAsia="宋体" w:cs="Times New Roman"/>
                      <w:color w:val="auto"/>
                      <w:lang w:eastAsia="zh-CN"/>
                    </w:rPr>
                    <w:t>，属金沙江水系牛栏江流域，</w:t>
                  </w:r>
                  <w:r>
                    <w:rPr>
                      <w:rFonts w:hint="eastAsia" w:ascii="Times New Roman" w:hAnsi="Times New Roman" w:eastAsia="宋体" w:cs="Times New Roman"/>
                      <w:color w:val="auto"/>
                      <w:lang w:eastAsia="zh-CN"/>
                    </w:rPr>
                    <w:t>不涉及滇池、阳宗海</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本项目不产生生产废水，生活废水经化粪池+一体化污水处理设施处理后回用于厂区</w:t>
                  </w:r>
                  <w:r>
                    <w:rPr>
                      <w:rFonts w:hint="eastAsia" w:ascii="Times New Roman" w:hAnsi="Times New Roman" w:eastAsia="宋体" w:cs="Times New Roman"/>
                      <w:bCs/>
                      <w:color w:val="auto"/>
                      <w:lang w:eastAsia="zh-CN"/>
                    </w:rPr>
                    <w:t>绿化及降尘</w:t>
                  </w:r>
                  <w:r>
                    <w:rPr>
                      <w:rFonts w:hint="eastAsia" w:ascii="Times New Roman" w:hAnsi="Times New Roman" w:eastAsia="宋体" w:cs="Times New Roman"/>
                      <w:color w:val="auto"/>
                      <w:lang w:eastAsia="zh-CN"/>
                    </w:rPr>
                    <w:t>，不外排。</w:t>
                  </w:r>
                </w:p>
                <w:p w14:paraId="30BE4C2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2、项目区域</w:t>
                  </w:r>
                  <w:r>
                    <w:rPr>
                      <w:rFonts w:ascii="Times New Roman" w:hAnsi="Times New Roman" w:eastAsia="宋体" w:cs="Times New Roman"/>
                      <w:color w:val="auto"/>
                      <w:lang w:eastAsia="zh-CN" w:bidi="ar"/>
                    </w:rPr>
                    <w:t>所在地功能区划属环境空气质量二类区，根据《寻甸县环境质量公报（202</w:t>
                  </w:r>
                  <w:r>
                    <w:rPr>
                      <w:rFonts w:hint="eastAsia" w:ascii="Times New Roman" w:hAnsi="Times New Roman" w:eastAsia="宋体" w:cs="Times New Roman"/>
                      <w:color w:val="auto"/>
                      <w:lang w:val="en-US" w:eastAsia="zh-CN" w:bidi="ar"/>
                    </w:rPr>
                    <w:t>5</w:t>
                  </w:r>
                  <w:r>
                    <w:rPr>
                      <w:rFonts w:ascii="Times New Roman" w:hAnsi="Times New Roman" w:eastAsia="宋体" w:cs="Times New Roman"/>
                      <w:color w:val="auto"/>
                      <w:lang w:eastAsia="zh-CN" w:bidi="ar"/>
                    </w:rPr>
                    <w:t>年</w:t>
                  </w:r>
                  <w:r>
                    <w:rPr>
                      <w:rFonts w:hint="eastAsia" w:ascii="Times New Roman" w:hAnsi="Times New Roman" w:eastAsia="宋体" w:cs="Times New Roman"/>
                      <w:color w:val="auto"/>
                      <w:lang w:eastAsia="zh-CN" w:bidi="ar"/>
                    </w:rPr>
                    <w:t>一</w:t>
                  </w:r>
                  <w:r>
                    <w:rPr>
                      <w:rFonts w:ascii="Times New Roman" w:hAnsi="Times New Roman" w:eastAsia="宋体" w:cs="Times New Roman"/>
                      <w:color w:val="auto"/>
                      <w:lang w:eastAsia="zh-CN" w:bidi="ar"/>
                    </w:rPr>
                    <w:t>季度</w:t>
                  </w:r>
                  <w:r>
                    <w:rPr>
                      <w:rFonts w:hint="eastAsia" w:ascii="Times New Roman" w:hAnsi="Times New Roman" w:eastAsia="宋体" w:cs="Times New Roman"/>
                      <w:color w:val="auto"/>
                      <w:lang w:eastAsia="zh-CN" w:bidi="ar"/>
                    </w:rPr>
                    <w:t>～</w:t>
                  </w:r>
                  <w:r>
                    <w:rPr>
                      <w:rFonts w:ascii="Times New Roman" w:hAnsi="Times New Roman" w:eastAsia="宋体" w:cs="Times New Roman"/>
                      <w:color w:val="auto"/>
                      <w:lang w:eastAsia="zh-CN" w:bidi="ar"/>
                    </w:rPr>
                    <w:t>202</w:t>
                  </w:r>
                  <w:r>
                    <w:rPr>
                      <w:rFonts w:hint="eastAsia" w:ascii="Times New Roman" w:hAnsi="Times New Roman" w:eastAsia="宋体" w:cs="Times New Roman"/>
                      <w:color w:val="auto"/>
                      <w:lang w:val="en-US" w:eastAsia="zh-CN" w:bidi="ar"/>
                    </w:rPr>
                    <w:t>5</w:t>
                  </w:r>
                  <w:r>
                    <w:rPr>
                      <w:rFonts w:ascii="Times New Roman" w:hAnsi="Times New Roman" w:eastAsia="宋体" w:cs="Times New Roman"/>
                      <w:color w:val="auto"/>
                      <w:lang w:eastAsia="zh-CN" w:bidi="ar"/>
                    </w:rPr>
                    <w:t>年</w:t>
                  </w:r>
                  <w:r>
                    <w:rPr>
                      <w:rFonts w:hint="eastAsia" w:ascii="Times New Roman" w:hAnsi="Times New Roman" w:eastAsia="宋体" w:cs="Times New Roman"/>
                      <w:color w:val="auto"/>
                      <w:lang w:eastAsia="zh-CN" w:bidi="ar"/>
                    </w:rPr>
                    <w:t>四</w:t>
                  </w:r>
                  <w:r>
                    <w:rPr>
                      <w:rFonts w:ascii="Times New Roman" w:hAnsi="Times New Roman" w:eastAsia="宋体" w:cs="Times New Roman"/>
                      <w:color w:val="auto"/>
                      <w:lang w:eastAsia="zh-CN" w:bidi="ar"/>
                    </w:rPr>
                    <w:t>季度）》，寻甸县环境空气质量自动监测点位有效监测天数3</w:t>
                  </w:r>
                  <w:r>
                    <w:rPr>
                      <w:rFonts w:hint="eastAsia" w:ascii="Times New Roman" w:hAnsi="Times New Roman" w:eastAsia="宋体" w:cs="Times New Roman"/>
                      <w:color w:val="auto"/>
                      <w:lang w:eastAsia="zh-CN" w:bidi="ar"/>
                    </w:rPr>
                    <w:t>6</w:t>
                  </w:r>
                  <w:r>
                    <w:rPr>
                      <w:rFonts w:hint="eastAsia" w:ascii="Times New Roman" w:hAnsi="Times New Roman" w:eastAsia="宋体" w:cs="Times New Roman"/>
                      <w:color w:val="auto"/>
                      <w:lang w:val="en-US" w:eastAsia="zh-CN" w:bidi="ar"/>
                    </w:rPr>
                    <w:t>0</w:t>
                  </w:r>
                  <w:r>
                    <w:rPr>
                      <w:rFonts w:ascii="Times New Roman" w:hAnsi="Times New Roman" w:eastAsia="宋体" w:cs="Times New Roman"/>
                      <w:color w:val="auto"/>
                      <w:lang w:eastAsia="zh-CN" w:bidi="ar"/>
                    </w:rPr>
                    <w:t>天，优良天数3</w:t>
                  </w:r>
                  <w:r>
                    <w:rPr>
                      <w:rFonts w:hint="eastAsia" w:ascii="Times New Roman" w:hAnsi="Times New Roman" w:eastAsia="宋体" w:cs="Times New Roman"/>
                      <w:color w:val="auto"/>
                      <w:lang w:val="en-US" w:eastAsia="zh-CN" w:bidi="ar"/>
                    </w:rPr>
                    <w:t>57</w:t>
                  </w:r>
                  <w:r>
                    <w:rPr>
                      <w:rFonts w:ascii="Times New Roman" w:hAnsi="Times New Roman" w:eastAsia="宋体" w:cs="Times New Roman"/>
                      <w:color w:val="auto"/>
                      <w:lang w:eastAsia="zh-CN" w:bidi="ar"/>
                    </w:rPr>
                    <w:t>天，优良率</w:t>
                  </w:r>
                  <w:r>
                    <w:rPr>
                      <w:rFonts w:hint="eastAsia" w:ascii="Times New Roman" w:hAnsi="Times New Roman" w:eastAsia="宋体" w:cs="Times New Roman"/>
                      <w:color w:val="auto"/>
                      <w:lang w:val="en-US" w:eastAsia="zh-CN" w:bidi="ar"/>
                    </w:rPr>
                    <w:t>99.17</w:t>
                  </w:r>
                  <w:r>
                    <w:rPr>
                      <w:rFonts w:ascii="Times New Roman" w:hAnsi="Times New Roman" w:eastAsia="宋体" w:cs="Times New Roman"/>
                      <w:color w:val="auto"/>
                      <w:lang w:eastAsia="zh-CN" w:bidi="ar"/>
                    </w:rPr>
                    <w:t>%，项目所在区域环境空气质量</w:t>
                  </w:r>
                  <w:r>
                    <w:rPr>
                      <w:rFonts w:hint="eastAsia" w:ascii="Times New Roman" w:hAnsi="Times New Roman" w:eastAsia="宋体" w:cs="Times New Roman"/>
                      <w:color w:val="auto"/>
                      <w:lang w:val="en-US" w:eastAsia="zh-CN" w:bidi="ar"/>
                    </w:rPr>
                    <w:t>基本</w:t>
                  </w:r>
                  <w:r>
                    <w:rPr>
                      <w:rFonts w:ascii="Times New Roman" w:hAnsi="Times New Roman" w:eastAsia="宋体" w:cs="Times New Roman"/>
                      <w:color w:val="auto"/>
                      <w:lang w:eastAsia="zh-CN" w:bidi="ar"/>
                    </w:rPr>
                    <w:t>能达到《环境空气质量标准》（GB3095-20</w:t>
                  </w:r>
                  <w:r>
                    <w:rPr>
                      <w:rFonts w:hint="eastAsia" w:ascii="Times New Roman" w:hAnsi="Times New Roman" w:eastAsia="宋体" w:cs="Times New Roman"/>
                      <w:color w:val="auto"/>
                      <w:lang w:eastAsia="zh-CN" w:bidi="ar"/>
                    </w:rPr>
                    <w:t>12</w:t>
                  </w:r>
                  <w:r>
                    <w:rPr>
                      <w:rFonts w:ascii="Times New Roman" w:hAnsi="Times New Roman" w:eastAsia="宋体" w:cs="Times New Roman"/>
                      <w:color w:val="auto"/>
                      <w:lang w:eastAsia="zh-CN" w:bidi="ar"/>
                    </w:rPr>
                    <w:t>）中二级标准</w:t>
                  </w:r>
                  <w:r>
                    <w:rPr>
                      <w:rFonts w:hint="eastAsia" w:ascii="Times New Roman" w:hAnsi="Times New Roman" w:eastAsia="宋体" w:cs="Times New Roman"/>
                      <w:color w:val="auto"/>
                      <w:lang w:eastAsia="zh-CN" w:bidi="ar"/>
                    </w:rPr>
                    <w:t>，</w:t>
                  </w:r>
                  <w:r>
                    <w:rPr>
                      <w:rFonts w:hint="eastAsia" w:ascii="Times New Roman" w:hAnsi="Times New Roman" w:eastAsia="宋体" w:cs="Times New Roman"/>
                      <w:color w:val="auto"/>
                      <w:lang w:val="en-US" w:eastAsia="zh-CN" w:bidi="ar"/>
                    </w:rPr>
                    <w:t>项目区属于环境质量达标区</w:t>
                  </w:r>
                  <w:r>
                    <w:rPr>
                      <w:rFonts w:ascii="Times New Roman" w:hAnsi="Times New Roman" w:eastAsia="宋体" w:cs="Times New Roman"/>
                      <w:color w:val="auto"/>
                      <w:lang w:eastAsia="zh-CN" w:bidi="ar"/>
                    </w:rPr>
                    <w:t>。项目生产过程不涉及氮氧化物</w:t>
                  </w:r>
                  <w:r>
                    <w:rPr>
                      <w:rFonts w:hint="eastAsia" w:ascii="Times New Roman" w:hAnsi="Times New Roman" w:eastAsia="宋体" w:cs="Times New Roman"/>
                      <w:color w:val="auto"/>
                      <w:lang w:eastAsia="zh-CN" w:bidi="ar"/>
                    </w:rPr>
                    <w:t>。</w:t>
                  </w:r>
                </w:p>
                <w:p w14:paraId="0F7C30C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3、项目不属于钢铁企业，生产过程不使用锅炉</w:t>
                  </w:r>
                  <w:r>
                    <w:rPr>
                      <w:rFonts w:hint="eastAsia" w:ascii="Times New Roman" w:hAnsi="Times New Roman" w:eastAsia="宋体" w:cs="Times New Roman"/>
                      <w:color w:val="auto"/>
                      <w:lang w:eastAsia="zh-CN" w:bidi="ar"/>
                    </w:rPr>
                    <w:t>。</w:t>
                  </w:r>
                </w:p>
                <w:p w14:paraId="2A6866D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4、项目生产过程不涉及VOCs</w:t>
                  </w:r>
                  <w:r>
                    <w:rPr>
                      <w:rFonts w:hint="eastAsia" w:ascii="Times New Roman" w:hAnsi="Times New Roman" w:eastAsia="宋体" w:cs="Times New Roman"/>
                      <w:color w:val="auto"/>
                      <w:lang w:eastAsia="zh-CN" w:bidi="ar"/>
                    </w:rPr>
                    <w:t>。</w:t>
                  </w:r>
                </w:p>
                <w:p w14:paraId="023DF51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5、项目</w:t>
                  </w:r>
                  <w:r>
                    <w:rPr>
                      <w:rFonts w:hint="eastAsia" w:cs="Times New Roman"/>
                      <w:color w:val="auto"/>
                      <w:lang w:val="en-US" w:eastAsia="zh-CN" w:bidi="ar"/>
                    </w:rPr>
                    <w:t>不涉及</w:t>
                  </w:r>
                  <w:r>
                    <w:rPr>
                      <w:rFonts w:ascii="Times New Roman" w:hAnsi="Times New Roman" w:eastAsia="宋体" w:cs="Times New Roman"/>
                      <w:color w:val="auto"/>
                      <w:lang w:eastAsia="zh-CN"/>
                    </w:rPr>
                    <w:t>农业废弃物综合利用</w:t>
                  </w:r>
                  <w:r>
                    <w:rPr>
                      <w:rFonts w:ascii="Times New Roman" w:hAnsi="Times New Roman" w:eastAsia="宋体" w:cs="Times New Roman"/>
                      <w:color w:val="auto"/>
                      <w:lang w:eastAsia="zh-CN" w:bidi="ar"/>
                    </w:rPr>
                    <w:t>；</w:t>
                  </w:r>
                </w:p>
                <w:p w14:paraId="1DF0229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6、项目不涉及滇池流域</w:t>
                  </w:r>
                  <w:r>
                    <w:rPr>
                      <w:rFonts w:hint="eastAsia" w:ascii="Times New Roman" w:hAnsi="Times New Roman" w:eastAsia="宋体" w:cs="Times New Roman"/>
                      <w:color w:val="auto"/>
                      <w:lang w:eastAsia="zh-CN" w:bidi="ar"/>
                    </w:rPr>
                    <w:t>。</w:t>
                  </w:r>
                </w:p>
                <w:p w14:paraId="206AB26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7、项目不涉及阳宗海流域</w:t>
                  </w:r>
                  <w:r>
                    <w:rPr>
                      <w:rFonts w:hint="eastAsia" w:ascii="Times New Roman" w:hAnsi="Times New Roman" w:eastAsia="宋体" w:cs="Times New Roman"/>
                      <w:color w:val="auto"/>
                      <w:lang w:eastAsia="zh-CN" w:bidi="ar"/>
                    </w:rPr>
                    <w:t>。</w:t>
                  </w:r>
                </w:p>
                <w:p w14:paraId="384BCE59">
                  <w:pPr>
                    <w:widowControl/>
                    <w:numPr>
                      <w:ilvl w:val="0"/>
                      <w:numId w:val="5"/>
                    </w:numPr>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项目</w:t>
                  </w:r>
                  <w:r>
                    <w:rPr>
                      <w:rFonts w:hint="eastAsia" w:ascii="Times New Roman" w:hAnsi="Times New Roman" w:eastAsia="宋体" w:cs="Times New Roman"/>
                      <w:color w:val="auto"/>
                      <w:lang w:eastAsia="zh-CN" w:bidi="ar"/>
                    </w:rPr>
                    <w:t>不属于</w:t>
                  </w:r>
                  <w:r>
                    <w:rPr>
                      <w:rFonts w:ascii="Times New Roman" w:hAnsi="Times New Roman" w:eastAsia="宋体" w:cs="Times New Roman"/>
                      <w:color w:val="auto"/>
                      <w:lang w:eastAsia="zh-CN"/>
                    </w:rPr>
                    <w:t>磷石膏生产企业，</w:t>
                  </w:r>
                  <w:r>
                    <w:rPr>
                      <w:rFonts w:hint="eastAsia" w:ascii="Times New Roman" w:hAnsi="Times New Roman" w:eastAsia="宋体" w:cs="Times New Roman"/>
                      <w:color w:val="auto"/>
                      <w:lang w:eastAsia="zh-CN"/>
                    </w:rPr>
                    <w:t>本项目为改性</w:t>
                  </w:r>
                  <w:r>
                    <w:rPr>
                      <w:rFonts w:ascii="Times New Roman" w:hAnsi="Times New Roman" w:eastAsia="宋体" w:cs="Times New Roman"/>
                      <w:color w:val="auto"/>
                      <w:lang w:eastAsia="zh-CN"/>
                    </w:rPr>
                    <w:t>磷石膏</w:t>
                  </w:r>
                  <w:r>
                    <w:rPr>
                      <w:rFonts w:hint="eastAsia" w:ascii="Times New Roman" w:hAnsi="Times New Roman" w:eastAsia="宋体" w:cs="Times New Roman"/>
                      <w:color w:val="auto"/>
                      <w:lang w:eastAsia="zh-CN"/>
                    </w:rPr>
                    <w:t>综合</w:t>
                  </w:r>
                  <w:r>
                    <w:rPr>
                      <w:rFonts w:ascii="Times New Roman" w:hAnsi="Times New Roman" w:eastAsia="宋体" w:cs="Times New Roman"/>
                      <w:color w:val="auto"/>
                      <w:lang w:eastAsia="zh-CN"/>
                    </w:rPr>
                    <w:t>利用</w:t>
                  </w:r>
                  <w:r>
                    <w:rPr>
                      <w:rFonts w:hint="eastAsia" w:ascii="Times New Roman" w:hAnsi="Times New Roman" w:eastAsia="宋体" w:cs="Times New Roman"/>
                      <w:color w:val="auto"/>
                      <w:lang w:eastAsia="zh-CN"/>
                    </w:rPr>
                    <w:t>，有利于</w:t>
                  </w:r>
                  <w:r>
                    <w:rPr>
                      <w:rFonts w:ascii="Times New Roman" w:hAnsi="Times New Roman" w:eastAsia="宋体" w:cs="Times New Roman"/>
                      <w:color w:val="auto"/>
                      <w:lang w:eastAsia="zh-CN"/>
                    </w:rPr>
                    <w:t>降低磷石膏污染隐患；</w:t>
                  </w:r>
                </w:p>
                <w:p w14:paraId="4F380280">
                  <w:pPr>
                    <w:widowControl/>
                    <w:numPr>
                      <w:ilvl w:val="0"/>
                      <w:numId w:val="5"/>
                    </w:numPr>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本项目为改性</w:t>
                  </w:r>
                  <w:r>
                    <w:rPr>
                      <w:rFonts w:ascii="Times New Roman" w:hAnsi="Times New Roman" w:eastAsia="宋体" w:cs="Times New Roman"/>
                      <w:color w:val="auto"/>
                      <w:lang w:eastAsia="zh-CN"/>
                    </w:rPr>
                    <w:t>磷石膏</w:t>
                  </w:r>
                  <w:r>
                    <w:rPr>
                      <w:rFonts w:hint="eastAsia" w:ascii="Times New Roman" w:hAnsi="Times New Roman" w:eastAsia="宋体" w:cs="Times New Roman"/>
                      <w:color w:val="auto"/>
                      <w:lang w:eastAsia="zh-CN"/>
                    </w:rPr>
                    <w:t>综合</w:t>
                  </w:r>
                  <w:r>
                    <w:rPr>
                      <w:rFonts w:ascii="Times New Roman" w:hAnsi="Times New Roman" w:eastAsia="宋体" w:cs="Times New Roman"/>
                      <w:color w:val="auto"/>
                      <w:lang w:eastAsia="zh-CN"/>
                    </w:rPr>
                    <w:t>利用</w:t>
                  </w:r>
                  <w:r>
                    <w:rPr>
                      <w:rFonts w:hint="eastAsia" w:ascii="Times New Roman" w:hAnsi="Times New Roman" w:eastAsia="宋体" w:cs="Times New Roman"/>
                      <w:color w:val="auto"/>
                      <w:lang w:eastAsia="zh-CN"/>
                    </w:rPr>
                    <w:t>，有利于提高昆明市</w:t>
                  </w:r>
                  <w:r>
                    <w:rPr>
                      <w:rFonts w:ascii="Times New Roman" w:hAnsi="Times New Roman" w:eastAsia="宋体" w:cs="Times New Roman"/>
                      <w:color w:val="auto"/>
                      <w:lang w:eastAsia="zh-CN"/>
                    </w:rPr>
                    <w:t>磷石膏综合利用率；</w:t>
                  </w:r>
                </w:p>
              </w:tc>
              <w:tc>
                <w:tcPr>
                  <w:tcW w:w="696" w:type="dxa"/>
                  <w:vAlign w:val="center"/>
                </w:tcPr>
                <w:p w14:paraId="32C4BDFF">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0E43D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2BC06087">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（三）环境风险防控</w:t>
                  </w:r>
                </w:p>
              </w:tc>
            </w:tr>
            <w:tr w14:paraId="03A5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5B172D5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加大放射性物质、电磁辐射、危险废物、医疗废物、尾矿库渣场、危险化学品、重金属等风险要素防控力度，全过程监控风险要素产生、使用、储存、运输、处理处置，实现智能化预警与报警，有效降低各类环境风险。</w:t>
                  </w:r>
                </w:p>
                <w:p w14:paraId="23329AF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2.针对持久性有机污染物、内分泌干扰物等新污染物，制定实施新污染物治理行动方案，开展新污染物筛查与评估，建立清单，开展化学物质生产使用信息调查，实施调查监测和环境风险评估。</w:t>
                  </w:r>
                </w:p>
                <w:p w14:paraId="677029C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开展重点区域、重点领域环境风险调查评估，加强源头预防、过程管控、末端治理；建设环境应急技术库和物资库，推动各地更新扩充应急物资和防护装备，提升环境应急指挥信息化水平，完善环境应急管理体系。</w:t>
                  </w:r>
                </w:p>
                <w:p w14:paraId="54FFCA0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4.开展“千吨万人”农村饮用水水源保护区环境风险排查整治，加强农村水源水质监测。</w:t>
                  </w:r>
                </w:p>
                <w:p w14:paraId="73F554D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14:paraId="25C58D9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6.严格新（改、扩）建尾矿库环境准入，健全尾矿库环境监管清单，加强尾矿库分类分级环境监管。严格落实《云南省尾矿库专项整治工作实施方案》。</w:t>
                  </w:r>
                </w:p>
              </w:tc>
              <w:tc>
                <w:tcPr>
                  <w:tcW w:w="3440" w:type="dxa"/>
                  <w:vAlign w:val="center"/>
                </w:tcPr>
                <w:p w14:paraId="26D56B2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1、项目生产过程主要涉及废机油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，项目设置危废暂存间，严格按照《危险废物贮存污染控制标准》（GB18597-2023）要求建设危废暂存间，废机油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收集后暂存于危废暂存间内，定期交由有资质的单位处置；</w:t>
                  </w:r>
                </w:p>
                <w:p w14:paraId="647D028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本</w:t>
                  </w:r>
                  <w:r>
                    <w:rPr>
                      <w:rFonts w:ascii="Times New Roman" w:hAnsi="Times New Roman" w:eastAsia="宋体" w:cs="Times New Roman"/>
                      <w:color w:val="auto"/>
                      <w:lang w:eastAsia="zh-CN"/>
                    </w:rPr>
                    <w:t>项目生产过程不涉及持久性有机污染物、内分泌干扰物等新污染物；</w:t>
                  </w:r>
                </w:p>
                <w:p w14:paraId="2AD6A779">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3、项目位于云南省昆明市寻甸回族彝族自治县金所街道办事处泽铁村委会栽开居民小组，不属于工业园区内，未划定重点区域、重点领域环境风险，周边不涉及环境敏感区，项目涉及的风险物质主要为废机油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，项目设置危废暂间，严格按照《危险废物贮存污染控制标准》（GB18597-2023）要求建设危废暂存间，废机油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收集后暂存于危废暂存间内，定期交由有资质的单位处置；项目建设完成后</w:t>
                  </w:r>
                  <w:r>
                    <w:rPr>
                      <w:rFonts w:hint="eastAsia" w:ascii="Times New Roman" w:hAnsi="Times New Roman" w:eastAsia="宋体" w:cs="Times New Roman"/>
                      <w:color w:val="auto"/>
                      <w:lang w:val="en-US" w:eastAsia="zh-CN"/>
                    </w:rPr>
                    <w:t>将</w:t>
                  </w:r>
                  <w:r>
                    <w:rPr>
                      <w:rFonts w:ascii="Times New Roman" w:hAnsi="Times New Roman" w:eastAsia="宋体" w:cs="Times New Roman"/>
                      <w:color w:val="auto"/>
                      <w:lang w:eastAsia="zh-CN"/>
                    </w:rPr>
                    <w:t>按照</w:t>
                  </w:r>
                  <w:r>
                    <w:rPr>
                      <w:rFonts w:hint="eastAsia" w:ascii="Times New Roman" w:hAnsi="Times New Roman" w:eastAsia="宋体" w:cs="Times New Roman"/>
                      <w:color w:val="auto"/>
                      <w:lang w:val="en-US" w:eastAsia="zh-CN"/>
                    </w:rPr>
                    <w:t>相关</w:t>
                  </w:r>
                  <w:r>
                    <w:rPr>
                      <w:rFonts w:ascii="Times New Roman" w:hAnsi="Times New Roman" w:eastAsia="宋体" w:cs="Times New Roman"/>
                      <w:color w:val="auto"/>
                      <w:lang w:eastAsia="zh-CN"/>
                    </w:rPr>
                    <w:t>要求编制环境突发事件应急预案，完善环境应急管理体系</w:t>
                  </w:r>
                  <w:r>
                    <w:rPr>
                      <w:rFonts w:hint="eastAsia" w:ascii="Times New Roman" w:hAnsi="Times New Roman" w:eastAsia="宋体" w:cs="Times New Roman"/>
                      <w:color w:val="auto"/>
                      <w:lang w:eastAsia="zh-CN"/>
                    </w:rPr>
                    <w:t>；</w:t>
                  </w:r>
                </w:p>
                <w:p w14:paraId="07E389C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4、项目区域不涉及“千吨万人”农村饮用水水源保护区；</w:t>
                  </w:r>
                </w:p>
                <w:p w14:paraId="3F2A43D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5、项目主要</w:t>
                  </w:r>
                  <w:r>
                    <w:rPr>
                      <w:rFonts w:hint="eastAsia" w:ascii="Times New Roman" w:hAnsi="Times New Roman" w:eastAsia="宋体" w:cs="Times New Roman"/>
                      <w:color w:val="auto"/>
                      <w:lang w:val="en-US" w:eastAsia="zh-CN"/>
                    </w:rPr>
                    <w:t>风险物质为</w:t>
                  </w:r>
                  <w:r>
                    <w:rPr>
                      <w:rFonts w:ascii="Times New Roman" w:hAnsi="Times New Roman" w:eastAsia="宋体" w:cs="Times New Roman"/>
                      <w:color w:val="auto"/>
                      <w:lang w:eastAsia="zh-CN"/>
                    </w:rPr>
                    <w:t>废机油</w:t>
                  </w:r>
                  <w:r>
                    <w:rPr>
                      <w:rFonts w:hint="eastAsia" w:ascii="Times New Roman" w:hAnsi="Times New Roman" w:eastAsia="宋体" w:cs="Times New Roman"/>
                      <w:color w:val="auto"/>
                      <w:lang w:eastAsia="zh-CN"/>
                    </w:rPr>
                    <w:t>、</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灭火主要使用二氧化碳及干粉灭火器，不产生事故废水</w:t>
                  </w:r>
                  <w:r>
                    <w:rPr>
                      <w:rFonts w:ascii="Times New Roman" w:hAnsi="Times New Roman" w:eastAsia="宋体" w:cs="Times New Roman"/>
                      <w:color w:val="auto"/>
                      <w:lang w:eastAsia="zh-CN"/>
                    </w:rPr>
                    <w:t>；</w:t>
                  </w:r>
                </w:p>
                <w:p w14:paraId="53790B5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6、项目建设不涉及尾矿库建设；</w:t>
                  </w:r>
                </w:p>
              </w:tc>
              <w:tc>
                <w:tcPr>
                  <w:tcW w:w="696" w:type="dxa"/>
                  <w:vAlign w:val="center"/>
                </w:tcPr>
                <w:p w14:paraId="65B59F1D">
                  <w:pPr>
                    <w:widowControl/>
                    <w:kinsoku/>
                    <w:overflowPunct w:val="0"/>
                    <w:autoSpaceDE/>
                    <w:autoSpaceDN/>
                    <w:adjustRightInd/>
                    <w:snapToGrid/>
                    <w:spacing w:line="240" w:lineRule="auto"/>
                    <w:ind w:leftChars="0" w:rightChars="0"/>
                    <w:rPr>
                      <w:rFonts w:ascii="Times New Roman" w:hAnsi="Times New Roman" w:eastAsia="宋体" w:cs="Times New Roman"/>
                      <w:color w:val="auto"/>
                    </w:rPr>
                  </w:pPr>
                  <w:r>
                    <w:rPr>
                      <w:rFonts w:ascii="Times New Roman" w:hAnsi="Times New Roman" w:eastAsia="宋体" w:cs="Times New Roman"/>
                      <w:color w:val="auto"/>
                    </w:rPr>
                    <w:t>符合</w:t>
                  </w:r>
                </w:p>
              </w:tc>
            </w:tr>
            <w:tr w14:paraId="10319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11AC0B1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（四）资源开发效率要求</w:t>
                  </w:r>
                </w:p>
              </w:tc>
            </w:tr>
            <w:tr w14:paraId="4A27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985" w:type="dxa"/>
                  <w:gridSpan w:val="2"/>
                  <w:vAlign w:val="center"/>
                </w:tcPr>
                <w:p w14:paraId="596366E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1.到2025年，基本建成与经济社会高质量发展和生态文明建设要求相适应、与由全面建成小康社会向基本实现现代化迈进起步期相协同的水安全保障体系。</w:t>
                  </w:r>
                </w:p>
                <w:p w14:paraId="556F66F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2.节水型生产和生活方式初步建立，用水效率和效益显著提高，全社会节水意识明显增强，新时代节水型社会基本建成。全市用水总量控制在35.48亿m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以内，万元GDP用水量较2020年下降10%，万元工业增加值用水量较2020年下降10%，农田灌溉水有效利用系数提高到0.55以上。</w:t>
                  </w:r>
                </w:p>
                <w:p w14:paraId="2DCDCA4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3.万元工业增加值用水量≤30（立方米/万元）。</w:t>
                  </w:r>
                </w:p>
                <w:p w14:paraId="4AD6CB2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①2025年底前，全市单位地区生产总值能源消耗较2020年下降14%，能源消费总量得到合理控制。</w:t>
                  </w:r>
                </w:p>
                <w:p w14:paraId="2D3BA50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②单位GDP能源消耗累计下降23.6%，不低于省级下达目标。</w:t>
                  </w:r>
                </w:p>
                <w:p w14:paraId="6437CB6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③对照国家有关高耗能行业重点领域能效标杆水平，实施钢铁、有色金属、冶炼等17个高耗能行业节能降碳改造升级，加快提升重点行业、企业能效水平。</w:t>
                  </w:r>
                </w:p>
                <w:p w14:paraId="4B83D70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4.加强节能监察和探索用能预算管理，实施电机、变压器等重点用能设备能效提升三年行动，推广先进节能技术。</w:t>
                  </w:r>
                </w:p>
                <w:p w14:paraId="1BDE38B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5.到2025年，钢铁行业全面完成超低排放改造。</w:t>
                  </w:r>
                </w:p>
                <w:p w14:paraId="373264E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6.加快推进有色、化工、印染、烟草等行业清洁生产和工业废水资源化利用。</w:t>
                  </w:r>
                </w:p>
                <w:p w14:paraId="2356A48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7.到2025年，全市新建大型及以上数据中心绿色低碳等级达到4A以上，电源使用效率（PUE）达到1.3以下，逐步组织电源使用效率超过1.5的数据中心进行节能降碳改造。</w:t>
                  </w:r>
                </w:p>
                <w:p w14:paraId="4DF28D0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8.“十四五”期间，全市规模以上工业单位增加值能耗下降14.5%，万元工业增加值用水量下降12%。</w:t>
                  </w:r>
                </w:p>
                <w:p w14:paraId="6D1867E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9.到2025年，通过实施节能降碳提升工程，钢铁、电解铝、水泥、平板玻璃、炼油、乙烯、合成氨、电石等重点行业产能和数据中心达到能效标杆水平的比例超过30%。</w:t>
                  </w:r>
                </w:p>
                <w:p w14:paraId="5C5620F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10.公共机构单位建筑面积碳排放量比2020年下降7%。</w:t>
                  </w:r>
                </w:p>
                <w:p w14:paraId="6F3C8CA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11.非化石能源消费占一次能源消费比重达到40%以上，完成省级下达目标。</w:t>
                  </w:r>
                </w:p>
                <w:p w14:paraId="00ED07D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12.单位GDP二氧化碳排放累计下降23%，不低于省级下达目标。</w:t>
                  </w:r>
                </w:p>
                <w:p w14:paraId="205176E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13.严把新上项目的碳排放关，严格环境影响评价审批，加强固定资产投资项目节能审查，推动新建“两高一低”项目能效水平应提尽提。</w:t>
                  </w:r>
                </w:p>
                <w:p w14:paraId="704C3D0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14.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14:paraId="37CF616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15.加快淘汰落后和低端低效产能退出。</w:t>
                  </w:r>
                </w:p>
                <w:p w14:paraId="29D93CE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16.指导金融机构加强“两高一低”项目贷前审核。</w:t>
                  </w:r>
                </w:p>
              </w:tc>
              <w:tc>
                <w:tcPr>
                  <w:tcW w:w="3440" w:type="dxa"/>
                  <w:vAlign w:val="center"/>
                </w:tcPr>
                <w:p w14:paraId="0E03685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1、项目</w:t>
                  </w:r>
                  <w:r>
                    <w:rPr>
                      <w:rFonts w:hint="eastAsia" w:cs="Times New Roman"/>
                      <w:color w:val="auto"/>
                      <w:lang w:val="en-US" w:eastAsia="zh-CN"/>
                    </w:rPr>
                    <w:t>使用改性磷石膏生产路基材料，属于固体废弃物综合利用</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有利于推动寻甸县</w:t>
                  </w:r>
                  <w:r>
                    <w:rPr>
                      <w:rFonts w:ascii="Times New Roman" w:hAnsi="Times New Roman" w:eastAsia="宋体" w:cs="Times New Roman"/>
                      <w:color w:val="auto"/>
                      <w:lang w:eastAsia="zh-CN"/>
                    </w:rPr>
                    <w:t>经济社会高质量发展；</w:t>
                  </w:r>
                </w:p>
                <w:p w14:paraId="33C7222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2、项目</w:t>
                  </w:r>
                  <w:r>
                    <w:rPr>
                      <w:rFonts w:hint="eastAsia" w:ascii="Times New Roman" w:hAnsi="Times New Roman" w:eastAsia="宋体" w:cs="Times New Roman"/>
                      <w:color w:val="auto"/>
                      <w:lang w:eastAsia="zh-CN"/>
                    </w:rPr>
                    <w:t>不产生生产废水，</w:t>
                  </w:r>
                  <w:r>
                    <w:rPr>
                      <w:rFonts w:ascii="Times New Roman" w:hAnsi="Times New Roman" w:eastAsia="宋体" w:cs="Times New Roman"/>
                      <w:color w:val="auto"/>
                      <w:lang w:eastAsia="zh-CN"/>
                    </w:rPr>
                    <w:t>生活废水</w:t>
                  </w:r>
                  <w:r>
                    <w:rPr>
                      <w:rFonts w:hint="eastAsia" w:ascii="Times New Roman" w:hAnsi="Times New Roman" w:eastAsia="宋体" w:cs="Times New Roman"/>
                      <w:color w:val="auto"/>
                      <w:lang w:eastAsia="zh-CN"/>
                    </w:rPr>
                    <w:t>经化粪池+一体化污水处理设施处理后回用于厂内绿化及降尘</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不外排</w:t>
                  </w:r>
                  <w:r>
                    <w:rPr>
                      <w:rFonts w:ascii="Times New Roman" w:hAnsi="Times New Roman" w:eastAsia="宋体" w:cs="Times New Roman"/>
                      <w:color w:val="auto"/>
                      <w:lang w:eastAsia="zh-CN"/>
                    </w:rPr>
                    <w:t>；</w:t>
                  </w:r>
                </w:p>
                <w:p w14:paraId="797539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3、项目属于</w:t>
                  </w:r>
                  <w:r>
                    <w:rPr>
                      <w:rFonts w:hint="eastAsia" w:ascii="Times New Roman" w:hAnsi="Times New Roman" w:eastAsia="宋体" w:cs="Times New Roman"/>
                      <w:color w:val="auto"/>
                      <w:lang w:eastAsia="zh-CN"/>
                    </w:rPr>
                    <w:t>改性磷石膏综合利用</w:t>
                  </w: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，不属于高耗能行业</w:t>
                  </w:r>
                  <w:r>
                    <w:rPr>
                      <w:rFonts w:ascii="Times New Roman" w:hAnsi="Times New Roman" w:eastAsia="宋体" w:cs="Times New Roman"/>
                      <w:color w:val="auto"/>
                      <w:lang w:eastAsia="zh-CN"/>
                    </w:rPr>
                    <w:t>，不使用化石燃料等高能耗能源，</w:t>
                  </w:r>
                  <w:r>
                    <w:rPr>
                      <w:rFonts w:hint="eastAsia" w:ascii="Times New Roman" w:hAnsi="Times New Roman" w:eastAsia="宋体" w:cs="Times New Roman"/>
                      <w:color w:val="auto"/>
                      <w:lang w:eastAsia="zh-CN"/>
                    </w:rPr>
                    <w:t>使用电</w:t>
                  </w:r>
                  <w:r>
                    <w:rPr>
                      <w:rFonts w:ascii="Times New Roman" w:hAnsi="Times New Roman" w:eastAsia="宋体" w:cs="Times New Roman"/>
                      <w:color w:val="auto"/>
                      <w:lang w:eastAsia="zh-CN"/>
                    </w:rPr>
                    <w:t>能</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有效降低能耗水平；</w:t>
                  </w:r>
                </w:p>
                <w:p w14:paraId="2121863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4、项目主要</w:t>
                  </w:r>
                  <w:r>
                    <w:rPr>
                      <w:rFonts w:hint="eastAsia" w:ascii="Times New Roman" w:hAnsi="Times New Roman" w:eastAsia="宋体" w:cs="Times New Roman"/>
                      <w:color w:val="auto"/>
                      <w:lang w:eastAsia="zh-CN"/>
                    </w:rPr>
                    <w:t>是密闭皮带、搅拌机使用电能</w:t>
                  </w:r>
                  <w:r>
                    <w:rPr>
                      <w:rFonts w:ascii="Times New Roman" w:hAnsi="Times New Roman" w:eastAsia="宋体" w:cs="Times New Roman"/>
                      <w:color w:val="auto"/>
                      <w:lang w:eastAsia="zh-CN"/>
                    </w:rPr>
                    <w:t>，用电量较低</w:t>
                  </w:r>
                  <w:r>
                    <w:rPr>
                      <w:rFonts w:hint="eastAsia" w:ascii="Times New Roman" w:hAnsi="Times New Roman" w:eastAsia="宋体" w:cs="Times New Roman"/>
                      <w:color w:val="auto"/>
                      <w:lang w:eastAsia="zh-CN"/>
                    </w:rPr>
                    <w:t>，采购时选用高能效比的设备</w:t>
                  </w:r>
                  <w:r>
                    <w:rPr>
                      <w:rFonts w:ascii="Times New Roman" w:hAnsi="Times New Roman" w:eastAsia="宋体" w:cs="Times New Roman"/>
                      <w:color w:val="auto"/>
                      <w:lang w:eastAsia="zh-CN"/>
                    </w:rPr>
                    <w:t>；</w:t>
                  </w:r>
                </w:p>
                <w:p w14:paraId="1E25E61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5、项目不涉及钢铁行业；</w:t>
                  </w:r>
                </w:p>
                <w:p w14:paraId="2EF89D2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6、</w:t>
                  </w:r>
                  <w:r>
                    <w:rPr>
                      <w:rFonts w:hint="eastAsia" w:ascii="Times New Roman" w:hAnsi="Times New Roman" w:eastAsia="宋体" w:cs="Times New Roman"/>
                      <w:color w:val="auto"/>
                      <w:lang w:eastAsia="zh-CN"/>
                    </w:rPr>
                    <w:t>项</w:t>
                  </w:r>
                  <w:r>
                    <w:rPr>
                      <w:rFonts w:ascii="Times New Roman" w:hAnsi="Times New Roman" w:eastAsia="宋体" w:cs="Times New Roman"/>
                      <w:color w:val="auto"/>
                      <w:lang w:eastAsia="zh-CN"/>
                    </w:rPr>
                    <w:t>目不涉及有色、化工、印染、烟草等行业；</w:t>
                  </w:r>
                </w:p>
                <w:p w14:paraId="12B0CB3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7、项目建设不涉及数据中心建设；</w:t>
                  </w:r>
                </w:p>
                <w:p w14:paraId="2371AB3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8、项目建设不属于规模以上工业单位；</w:t>
                  </w:r>
                </w:p>
                <w:p w14:paraId="5AC3395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9、项目不涉及钢铁、电解铝、水泥、平板玻璃、炼油、乙烯、合成氨、电石等重点行业产能；</w:t>
                  </w:r>
                </w:p>
                <w:p w14:paraId="0E7AE9C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10、项目不属于公共机构单位；</w:t>
                  </w:r>
                </w:p>
                <w:p w14:paraId="1C67AC8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11、项目生产过程不涉及使用化石能源；</w:t>
                  </w:r>
                </w:p>
                <w:p w14:paraId="5053393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12、项目不涉及重工业加工、高能耗企业</w:t>
                  </w:r>
                  <w:r>
                    <w:rPr>
                      <w:rFonts w:hint="eastAsia" w:ascii="Times New Roman" w:hAnsi="Times New Roman" w:eastAsia="宋体" w:cs="Times New Roman"/>
                      <w:color w:val="auto"/>
                      <w:lang w:eastAsia="zh-CN"/>
                    </w:rPr>
                    <w:t>；项目不使用化石燃料，生产过程中主要污染物为颗粒物，</w:t>
                  </w:r>
                  <w:r>
                    <w:rPr>
                      <w:rFonts w:ascii="Times New Roman" w:hAnsi="Times New Roman" w:eastAsia="宋体" w:cs="Times New Roman"/>
                      <w:color w:val="auto"/>
                      <w:lang w:eastAsia="zh-CN"/>
                    </w:rPr>
                    <w:t>碳排放量较低；</w:t>
                  </w:r>
                </w:p>
                <w:p w14:paraId="23C7FD2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13、项目主要使用的能源为电能，属于清洁能源，项目</w:t>
                  </w:r>
                  <w:r>
                    <w:rPr>
                      <w:rFonts w:hint="eastAsia" w:ascii="Times New Roman" w:hAnsi="Times New Roman" w:eastAsia="宋体" w:cs="Times New Roman"/>
                      <w:color w:val="auto"/>
                      <w:lang w:eastAsia="zh-CN"/>
                    </w:rPr>
                    <w:t>不属于“两高一低”项目</w:t>
                  </w:r>
                  <w:r>
                    <w:rPr>
                      <w:rFonts w:ascii="Times New Roman" w:hAnsi="Times New Roman" w:eastAsia="宋体" w:cs="Times New Roman"/>
                      <w:color w:val="auto"/>
                      <w:lang w:eastAsia="zh-CN"/>
                    </w:rPr>
                    <w:t>；</w:t>
                  </w:r>
                </w:p>
                <w:p w14:paraId="4A4898A4">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14、项目不</w:t>
                  </w:r>
                  <w:r>
                    <w:rPr>
                      <w:rFonts w:hint="eastAsia" w:ascii="Times New Roman" w:hAnsi="Times New Roman" w:eastAsia="宋体" w:cs="Times New Roman"/>
                      <w:color w:val="auto"/>
                      <w:lang w:eastAsia="zh-CN"/>
                    </w:rPr>
                    <w:t>属于</w:t>
                  </w:r>
                  <w:r>
                    <w:rPr>
                      <w:rFonts w:ascii="Times New Roman" w:hAnsi="Times New Roman" w:eastAsia="宋体" w:cs="Times New Roman"/>
                      <w:color w:val="auto"/>
                      <w:lang w:eastAsia="zh-CN"/>
                    </w:rPr>
                    <w:t>六大高耗能行业；</w:t>
                  </w:r>
                </w:p>
                <w:p w14:paraId="5E1497A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15、项目不涉及落后和低端低效产能；</w:t>
                  </w:r>
                </w:p>
                <w:p w14:paraId="5709E35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16、项目不属于“两高一低”项目</w:t>
                  </w:r>
                  <w:r>
                    <w:rPr>
                      <w:rFonts w:hint="eastAsia" w:ascii="Times New Roman" w:hAnsi="Times New Roman" w:eastAsia="宋体" w:cs="Times New Roman"/>
                      <w:color w:val="auto"/>
                      <w:lang w:eastAsia="zh-CN"/>
                    </w:rPr>
                    <w:t>。</w:t>
                  </w:r>
                </w:p>
              </w:tc>
              <w:tc>
                <w:tcPr>
                  <w:tcW w:w="696" w:type="dxa"/>
                  <w:vAlign w:val="center"/>
                </w:tcPr>
                <w:p w14:paraId="31635101">
                  <w:pPr>
                    <w:widowControl/>
                    <w:kinsoku/>
                    <w:overflowPunct w:val="0"/>
                    <w:autoSpaceDE/>
                    <w:autoSpaceDN/>
                    <w:spacing w:line="480" w:lineRule="atLeast"/>
                    <w:rPr>
                      <w:rFonts w:ascii="Times New Roman" w:hAnsi="Times New Roman" w:eastAsia="宋体" w:cs="Times New Roman"/>
                      <w:color w:val="auto"/>
                      <w:lang w:eastAsia="zh-CN"/>
                    </w:rPr>
                  </w:pPr>
                </w:p>
              </w:tc>
            </w:tr>
            <w:tr w14:paraId="302D9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21" w:type="dxa"/>
                  <w:gridSpan w:val="4"/>
                  <w:vAlign w:val="center"/>
                </w:tcPr>
                <w:p w14:paraId="65029C2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寻甸回族彝族自治县一般管控单元</w:t>
                  </w:r>
                </w:p>
              </w:tc>
            </w:tr>
            <w:tr w14:paraId="60BA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5FEB0346">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空间布局约束</w:t>
                  </w:r>
                </w:p>
              </w:tc>
              <w:tc>
                <w:tcPr>
                  <w:tcW w:w="3546" w:type="dxa"/>
                  <w:vAlign w:val="center"/>
                </w:tcPr>
                <w:p w14:paraId="55E97A55">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1.禁止在林地、河湖管理范围内新建、改建、扩建房地产开发项目。</w:t>
                  </w:r>
                </w:p>
                <w:p w14:paraId="7906E9EA">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2.禁止围湖造田和侵占江河滩地。</w:t>
                  </w:r>
                </w:p>
                <w:p w14:paraId="1948AA73">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3.禁止企业向滩涂、沼泽、荒地等未利用地非法排污、倾倒有毒有害物质。</w:t>
                  </w:r>
                </w:p>
              </w:tc>
              <w:tc>
                <w:tcPr>
                  <w:tcW w:w="3440" w:type="dxa"/>
                  <w:vAlign w:val="center"/>
                </w:tcPr>
                <w:p w14:paraId="13BFBBBF">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1"/>
                      <w:szCs w:val="21"/>
                      <w:lang w:eastAsia="zh-CN"/>
                    </w:rPr>
                  </w:pPr>
                  <w:r>
                    <w:rPr>
                      <w:rFonts w:ascii="Times New Roman" w:hAnsi="Times New Roman" w:eastAsia="宋体" w:cs="Times New Roman"/>
                      <w:color w:val="auto"/>
                      <w:spacing w:val="1"/>
                      <w:szCs w:val="21"/>
                      <w:lang w:eastAsia="zh-CN"/>
                    </w:rPr>
                    <w:t>1、项目</w:t>
                  </w:r>
                  <w:r>
                    <w:rPr>
                      <w:rFonts w:hint="eastAsia" w:ascii="Times New Roman" w:hAnsi="Times New Roman" w:eastAsia="宋体" w:cs="Times New Roman"/>
                      <w:color w:val="auto"/>
                      <w:spacing w:val="1"/>
                      <w:szCs w:val="21"/>
                      <w:lang w:eastAsia="zh-CN"/>
                    </w:rPr>
                    <w:t>不涉及</w:t>
                  </w:r>
                  <w:r>
                    <w:rPr>
                      <w:rFonts w:ascii="Times New Roman" w:hAnsi="Times New Roman" w:eastAsia="宋体" w:cs="Times New Roman"/>
                      <w:color w:val="auto"/>
                      <w:spacing w:val="4"/>
                      <w:szCs w:val="21"/>
                      <w:lang w:eastAsia="zh-CN"/>
                    </w:rPr>
                    <w:t>新建、改建、扩建房地产开发项目</w:t>
                  </w:r>
                  <w:r>
                    <w:rPr>
                      <w:rFonts w:hint="eastAsia" w:ascii="Times New Roman" w:hAnsi="Times New Roman" w:eastAsia="宋体" w:cs="Times New Roman"/>
                      <w:color w:val="auto"/>
                      <w:spacing w:val="4"/>
                      <w:szCs w:val="21"/>
                      <w:lang w:eastAsia="zh-CN"/>
                    </w:rPr>
                    <w:t>。</w:t>
                  </w:r>
                </w:p>
                <w:p w14:paraId="3D924A2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1"/>
                      <w:szCs w:val="21"/>
                      <w:lang w:eastAsia="zh-CN"/>
                    </w:rPr>
                    <w:t>2、</w:t>
                  </w:r>
                  <w:r>
                    <w:rPr>
                      <w:rFonts w:hint="eastAsia" w:ascii="Times New Roman" w:hAnsi="Times New Roman" w:eastAsia="宋体" w:cs="Times New Roman"/>
                      <w:color w:val="auto"/>
                      <w:spacing w:val="1"/>
                      <w:szCs w:val="21"/>
                      <w:lang w:eastAsia="zh-CN"/>
                    </w:rPr>
                    <w:t>项目不涉及</w:t>
                  </w:r>
                  <w:r>
                    <w:rPr>
                      <w:rFonts w:ascii="Times New Roman" w:hAnsi="Times New Roman" w:eastAsia="宋体" w:cs="Times New Roman"/>
                      <w:color w:val="auto"/>
                      <w:spacing w:val="4"/>
                      <w:szCs w:val="21"/>
                      <w:lang w:eastAsia="zh-CN"/>
                    </w:rPr>
                    <w:t>围湖造田和侵占江河滩地。</w:t>
                  </w:r>
                </w:p>
                <w:p w14:paraId="30349E9A">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ascii="Times New Roman" w:hAnsi="Times New Roman" w:eastAsia="宋体" w:cs="Times New Roman"/>
                      <w:color w:val="auto"/>
                      <w:spacing w:val="1"/>
                      <w:szCs w:val="21"/>
                      <w:lang w:eastAsia="zh-CN"/>
                    </w:rPr>
                    <w:t>3、</w:t>
                  </w:r>
                  <w:r>
                    <w:rPr>
                      <w:rFonts w:hint="eastAsia" w:ascii="Times New Roman" w:hAnsi="Times New Roman" w:eastAsia="宋体" w:cs="Times New Roman"/>
                      <w:color w:val="auto"/>
                      <w:spacing w:val="1"/>
                      <w:szCs w:val="21"/>
                      <w:lang w:eastAsia="zh-CN"/>
                    </w:rPr>
                    <w:t>本项目固废处置率100%，不涉及</w:t>
                  </w:r>
                  <w:r>
                    <w:rPr>
                      <w:rFonts w:ascii="Times New Roman" w:hAnsi="Times New Roman" w:eastAsia="宋体" w:cs="Times New Roman"/>
                      <w:color w:val="auto"/>
                      <w:spacing w:val="1"/>
                      <w:szCs w:val="21"/>
                      <w:lang w:eastAsia="zh-CN"/>
                    </w:rPr>
                    <w:t>向滩涂、沼泽、荒地等未利用地非法排污、倾倒有毒有害物质</w:t>
                  </w:r>
                  <w:r>
                    <w:rPr>
                      <w:rFonts w:hint="eastAsia" w:ascii="Times New Roman" w:hAnsi="Times New Roman" w:eastAsia="宋体" w:cs="Times New Roman"/>
                      <w:color w:val="auto"/>
                      <w:spacing w:val="1"/>
                      <w:szCs w:val="21"/>
                      <w:lang w:eastAsia="zh-CN"/>
                    </w:rPr>
                    <w:t>。</w:t>
                  </w:r>
                </w:p>
              </w:tc>
              <w:tc>
                <w:tcPr>
                  <w:tcW w:w="696" w:type="dxa"/>
                  <w:vAlign w:val="center"/>
                </w:tcPr>
                <w:p w14:paraId="6DB55641">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082A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7F196127">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污染物排放管控</w:t>
                  </w:r>
                </w:p>
              </w:tc>
              <w:tc>
                <w:tcPr>
                  <w:tcW w:w="3546" w:type="dxa"/>
                  <w:vAlign w:val="center"/>
                </w:tcPr>
                <w:p w14:paraId="0BB11D17">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1.严格控制“两高”行业新增产能，新、改、扩建项目要实行产能等量或减量置换。</w:t>
                  </w:r>
                </w:p>
                <w:p w14:paraId="24B5C204">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2.严格用地准入，工业用地及商业用地供地前，自然资源部门需对拟供地块进行土壤环境状况调查，评估环境污染风险后方可供地。</w:t>
                  </w:r>
                </w:p>
                <w:p w14:paraId="6BE0D1F1">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3.禁止使用炸鱼、毒鱼、电鱼等破坏渔业资源方法进行捕捞。</w:t>
                  </w:r>
                </w:p>
                <w:p w14:paraId="2AE2F720">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4.禁止在禁渔区、禁渔期进行捕捞。禁止使用小于最小网目尺寸的网具进行捕捞，未依法取得捕捞许可证擅自捕捞。</w:t>
                  </w:r>
                </w:p>
              </w:tc>
              <w:tc>
                <w:tcPr>
                  <w:tcW w:w="3440" w:type="dxa"/>
                  <w:vAlign w:val="center"/>
                </w:tcPr>
                <w:p w14:paraId="602F41B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1.本项目不属于“两高”行业</w:t>
                  </w:r>
                  <w:r>
                    <w:rPr>
                      <w:rFonts w:ascii="Times New Roman" w:hAnsi="Times New Roman" w:eastAsia="宋体" w:cs="Times New Roman"/>
                      <w:color w:val="auto"/>
                      <w:szCs w:val="21"/>
                      <w:lang w:eastAsia="zh-CN" w:bidi="ar"/>
                    </w:rPr>
                    <w:t>。</w:t>
                  </w:r>
                </w:p>
                <w:p w14:paraId="0FF9FBEE">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2.本项目用地为</w:t>
                  </w:r>
                  <w:r>
                    <w:rPr>
                      <w:rFonts w:hint="eastAsia" w:ascii="Times New Roman" w:hAnsi="Times New Roman" w:eastAsia="宋体" w:cs="Times New Roman"/>
                      <w:color w:val="auto"/>
                      <w:szCs w:val="21"/>
                      <w:lang w:eastAsia="zh-CN"/>
                    </w:rPr>
                    <w:t>现有工业用地，不涉及新增工业用地。</w:t>
                  </w:r>
                </w:p>
                <w:p w14:paraId="04428E24">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bidi="ar"/>
                    </w:rPr>
                  </w:pPr>
                  <w:r>
                    <w:rPr>
                      <w:rFonts w:hint="eastAsia" w:ascii="Times New Roman" w:hAnsi="Times New Roman" w:eastAsia="宋体" w:cs="Times New Roman"/>
                      <w:color w:val="auto"/>
                      <w:szCs w:val="21"/>
                      <w:lang w:eastAsia="zh-CN" w:bidi="ar"/>
                    </w:rPr>
                    <w:t>3.本项目不涉及鱼类捕捞。</w:t>
                  </w:r>
                </w:p>
                <w:p w14:paraId="0853A2CB">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bidi="ar"/>
                    </w:rPr>
                    <w:t>4.本项目不涉及鱼类捕捞。</w:t>
                  </w:r>
                </w:p>
              </w:tc>
              <w:tc>
                <w:tcPr>
                  <w:tcW w:w="696" w:type="dxa"/>
                  <w:vAlign w:val="center"/>
                </w:tcPr>
                <w:p w14:paraId="0B990391">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符合</w:t>
                  </w:r>
                </w:p>
              </w:tc>
            </w:tr>
            <w:tr w14:paraId="75DED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dxa"/>
                  <w:vAlign w:val="center"/>
                </w:tcPr>
                <w:p w14:paraId="616B648A">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rPr>
                  </w:pPr>
                  <w:r>
                    <w:rPr>
                      <w:rFonts w:ascii="Times New Roman" w:hAnsi="Times New Roman" w:eastAsia="宋体" w:cs="Times New Roman"/>
                      <w:color w:val="auto"/>
                      <w:szCs w:val="21"/>
                    </w:rPr>
                    <w:t>环境风险防控</w:t>
                  </w:r>
                </w:p>
              </w:tc>
              <w:tc>
                <w:tcPr>
                  <w:tcW w:w="3546" w:type="dxa"/>
                  <w:vAlign w:val="center"/>
                </w:tcPr>
                <w:p w14:paraId="6FFCDDB1">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1.严格限制《环境保护综合名录》（2021年版）中“高污染、高环境风险”产品与工艺装备。</w:t>
                  </w:r>
                </w:p>
                <w:p w14:paraId="52D1CE27">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pacing w:val="4"/>
                      <w:szCs w:val="21"/>
                      <w:lang w:eastAsia="zh-CN"/>
                    </w:rPr>
                  </w:pPr>
                  <w:r>
                    <w:rPr>
                      <w:rFonts w:ascii="Times New Roman" w:hAnsi="Times New Roman" w:eastAsia="宋体" w:cs="Times New Roman"/>
                      <w:color w:val="auto"/>
                      <w:spacing w:val="4"/>
                      <w:szCs w:val="21"/>
                      <w:lang w:eastAsia="zh-CN"/>
                    </w:rPr>
                    <w:t>2.禁止使用剧毒、高残留以及可能二次中毒的农药。</w:t>
                  </w:r>
                </w:p>
                <w:p w14:paraId="55DE9BF0">
                  <w:pPr>
                    <w:pStyle w:val="36"/>
                    <w:widowControl/>
                    <w:tabs>
                      <w:tab w:val="left" w:pos="4404"/>
                    </w:tabs>
                    <w:kinsoku/>
                    <w:overflowPunct w:val="0"/>
                    <w:autoSpaceDE/>
                    <w:autoSpaceDN/>
                    <w:adjustRightInd/>
                    <w:snapToGrid/>
                    <w:spacing w:line="240" w:lineRule="auto"/>
                    <w:ind w:leftChars="0" w:rightChars="0"/>
                    <w:jc w:val="both"/>
                    <w:rPr>
                      <w:rFonts w:ascii="Times New Roman" w:hAnsi="Times New Roman" w:eastAsia="宋体" w:cs="Times New Roman"/>
                      <w:color w:val="auto"/>
                      <w:szCs w:val="21"/>
                      <w:lang w:eastAsia="zh-CN"/>
                    </w:rPr>
                  </w:pPr>
                  <w:r>
                    <w:rPr>
                      <w:rFonts w:ascii="Times New Roman" w:hAnsi="Times New Roman" w:eastAsia="宋体" w:cs="Times New Roman"/>
                      <w:color w:val="auto"/>
                      <w:spacing w:val="4"/>
                      <w:szCs w:val="21"/>
                      <w:lang w:eastAsia="zh-CN"/>
                    </w:rPr>
                    <w:t>3.严格污染场地开发利用和流转审批，在影响健康地块修复达标之前，禁止建设居民区、学校、医疗和养老机构。</w:t>
                  </w:r>
                </w:p>
              </w:tc>
              <w:tc>
                <w:tcPr>
                  <w:tcW w:w="3440" w:type="dxa"/>
                  <w:vAlign w:val="center"/>
                </w:tcPr>
                <w:p w14:paraId="581123FF">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hint="eastAsia" w:ascii="Times New Roman" w:hAnsi="Times New Roman" w:eastAsia="宋体" w:cs="Times New Roman"/>
                      <w:color w:val="auto"/>
                      <w:spacing w:val="4"/>
                      <w:szCs w:val="21"/>
                      <w:lang w:eastAsia="zh-CN"/>
                    </w:rPr>
                    <w:t>1.</w:t>
                  </w:r>
                  <w:r>
                    <w:rPr>
                      <w:rFonts w:ascii="Times New Roman" w:hAnsi="Times New Roman" w:eastAsia="宋体" w:cs="Times New Roman"/>
                      <w:color w:val="auto"/>
                      <w:spacing w:val="4"/>
                      <w:szCs w:val="21"/>
                      <w:lang w:eastAsia="zh-CN"/>
                    </w:rPr>
                    <w:t>项目不涉及《环境保护综合名录》（2021年版）中“高污染、高环境风险”产品与工艺装备</w:t>
                  </w:r>
                  <w:r>
                    <w:rPr>
                      <w:rFonts w:hint="eastAsia" w:ascii="Times New Roman" w:hAnsi="Times New Roman" w:eastAsia="宋体" w:cs="Times New Roman"/>
                      <w:color w:val="auto"/>
                      <w:spacing w:val="4"/>
                      <w:szCs w:val="21"/>
                      <w:lang w:eastAsia="zh-CN"/>
                    </w:rPr>
                    <w:t>。</w:t>
                  </w:r>
                </w:p>
                <w:p w14:paraId="249ED75D">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pacing w:val="4"/>
                      <w:szCs w:val="21"/>
                      <w:lang w:eastAsia="zh-CN"/>
                    </w:rPr>
                  </w:pPr>
                  <w:r>
                    <w:rPr>
                      <w:rFonts w:hint="eastAsia" w:ascii="Times New Roman" w:hAnsi="Times New Roman" w:eastAsia="宋体" w:cs="Times New Roman"/>
                      <w:color w:val="auto"/>
                      <w:spacing w:val="4"/>
                      <w:szCs w:val="21"/>
                      <w:lang w:eastAsia="zh-CN"/>
                    </w:rPr>
                    <w:t>2.项目不涉及使用</w:t>
                  </w:r>
                  <w:r>
                    <w:rPr>
                      <w:rFonts w:ascii="Times New Roman" w:hAnsi="Times New Roman" w:eastAsia="宋体" w:cs="Times New Roman"/>
                      <w:color w:val="auto"/>
                      <w:spacing w:val="4"/>
                      <w:szCs w:val="21"/>
                      <w:lang w:eastAsia="zh-CN"/>
                    </w:rPr>
                    <w:t>剧毒、高残留以及可能二次中毒的农药</w:t>
                  </w:r>
                  <w:r>
                    <w:rPr>
                      <w:rFonts w:hint="eastAsia" w:ascii="Times New Roman" w:hAnsi="Times New Roman" w:eastAsia="宋体" w:cs="Times New Roman"/>
                      <w:color w:val="auto"/>
                      <w:spacing w:val="4"/>
                      <w:szCs w:val="21"/>
                      <w:lang w:eastAsia="zh-CN"/>
                    </w:rPr>
                    <w:t>。</w:t>
                  </w:r>
                </w:p>
                <w:p w14:paraId="7CB8C992">
                  <w:pPr>
                    <w:pStyle w:val="36"/>
                    <w:widowControl/>
                    <w:tabs>
                      <w:tab w:val="left" w:pos="4404"/>
                    </w:tabs>
                    <w:kinsoku/>
                    <w:overflowPunct w:val="0"/>
                    <w:autoSpaceDE/>
                    <w:autoSpaceDN/>
                    <w:adjustRightInd/>
                    <w:snapToGrid/>
                    <w:spacing w:line="240" w:lineRule="auto"/>
                    <w:ind w:leftChars="0" w:rightChars="0"/>
                    <w:jc w:val="left"/>
                    <w:rPr>
                      <w:rFonts w:ascii="Times New Roman" w:hAnsi="Times New Roman" w:eastAsia="宋体" w:cs="Times New Roman"/>
                      <w:color w:val="auto"/>
                      <w:szCs w:val="21"/>
                      <w:lang w:eastAsia="zh-CN"/>
                    </w:rPr>
                  </w:pPr>
                  <w:r>
                    <w:rPr>
                      <w:rFonts w:hint="eastAsia" w:ascii="Times New Roman" w:hAnsi="Times New Roman" w:eastAsia="宋体" w:cs="Times New Roman"/>
                      <w:color w:val="auto"/>
                      <w:spacing w:val="4"/>
                      <w:szCs w:val="21"/>
                      <w:lang w:eastAsia="zh-CN"/>
                    </w:rPr>
                    <w:t>3.本项目不涉及建设</w:t>
                  </w:r>
                  <w:r>
                    <w:rPr>
                      <w:rFonts w:ascii="Times New Roman" w:hAnsi="Times New Roman" w:eastAsia="宋体" w:cs="Times New Roman"/>
                      <w:color w:val="auto"/>
                      <w:spacing w:val="4"/>
                      <w:szCs w:val="21"/>
                      <w:lang w:eastAsia="zh-CN"/>
                    </w:rPr>
                    <w:t>居民区、学校、医疗和养老机构</w:t>
                  </w:r>
                  <w:r>
                    <w:rPr>
                      <w:rFonts w:hint="eastAsia" w:ascii="Times New Roman" w:hAnsi="Times New Roman" w:eastAsia="宋体" w:cs="Times New Roman"/>
                      <w:color w:val="auto"/>
                      <w:spacing w:val="4"/>
                      <w:szCs w:val="21"/>
                      <w:lang w:eastAsia="zh-CN"/>
                    </w:rPr>
                    <w:t>。</w:t>
                  </w:r>
                </w:p>
              </w:tc>
              <w:tc>
                <w:tcPr>
                  <w:tcW w:w="696" w:type="dxa"/>
                  <w:vAlign w:val="center"/>
                </w:tcPr>
                <w:p w14:paraId="5819EE7B">
                  <w:pPr>
                    <w:pStyle w:val="36"/>
                    <w:widowControl/>
                    <w:tabs>
                      <w:tab w:val="left" w:pos="4404"/>
                    </w:tabs>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ascii="Times New Roman" w:hAnsi="Times New Roman" w:eastAsia="宋体" w:cs="Times New Roman"/>
                      <w:color w:val="auto"/>
                      <w:szCs w:val="21"/>
                      <w:lang w:eastAsia="zh-CN"/>
                    </w:rPr>
                    <w:t>符合</w:t>
                  </w:r>
                </w:p>
              </w:tc>
            </w:tr>
          </w:tbl>
          <w:p w14:paraId="01AC7967">
            <w:pPr>
              <w:kinsoku/>
              <w:overflowPunct w:val="0"/>
              <w:autoSpaceDE/>
              <w:autoSpaceDN/>
              <w:spacing w:line="360" w:lineRule="auto"/>
              <w:ind w:firstLine="480" w:firstLineChars="200"/>
              <w:jc w:val="both"/>
              <w:rPr>
                <w:rFonts w:ascii="Times New Roman" w:hAnsi="Times New Roman" w:eastAsia="宋体" w:cs="Times New Roman"/>
                <w:b/>
                <w:bCs/>
                <w:color w:val="auto"/>
                <w:sz w:val="24"/>
                <w:lang w:eastAsia="zh-CN"/>
              </w:rPr>
            </w:pPr>
            <w:r>
              <w:rPr>
                <w:rFonts w:ascii="Times New Roman" w:hAnsi="Times New Roman" w:eastAsia="宋体" w:cs="Times New Roman"/>
                <w:color w:val="auto"/>
                <w:sz w:val="24"/>
                <w:lang w:eastAsia="zh-CN"/>
              </w:rPr>
              <w:t>综上所述，本项目的建设符合《昆明市生态环境分区管控动态更新方案（2023年）》的相关要求。</w:t>
            </w:r>
          </w:p>
          <w:bookmarkEnd w:id="4"/>
          <w:bookmarkEnd w:id="5"/>
          <w:bookmarkEnd w:id="6"/>
          <w:p w14:paraId="50BA0B01">
            <w:pPr>
              <w:kinsoku/>
              <w:overflowPunct w:val="0"/>
              <w:autoSpaceDE/>
              <w:autoSpaceDN/>
              <w:spacing w:line="360" w:lineRule="auto"/>
              <w:ind w:firstLine="482"/>
              <w:jc w:val="both"/>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4、与《云南省牛栏江保护条例》符合性分析</w:t>
            </w:r>
          </w:p>
          <w:p w14:paraId="0C45141D">
            <w:pPr>
              <w:pStyle w:val="34"/>
              <w:kinsoku/>
              <w:overflowPunct w:val="0"/>
              <w:autoSpaceDE/>
              <w:autoSpaceDN/>
              <w:ind w:firstLine="482"/>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根据《云南省牛栏江保护条例》</w:t>
            </w:r>
            <w:r>
              <w:rPr>
                <w:rStyle w:val="35"/>
                <w:rFonts w:hint="eastAsia" w:ascii="Times New Roman" w:hAnsi="Times New Roman" w:eastAsia="宋体" w:cs="Times New Roman"/>
                <w:color w:val="auto"/>
                <w:sz w:val="24"/>
              </w:rPr>
              <w:t>，牛栏江德泽水库坝址以上集水区域为牛栏江流域上游保护区，牛栏江德泽水库坝址以下集水区域为牛栏江流域下游保护区。</w:t>
            </w:r>
            <w:r>
              <w:rPr>
                <w:rStyle w:val="35"/>
                <w:rFonts w:ascii="Times New Roman" w:hAnsi="Times New Roman" w:eastAsia="宋体" w:cs="Times New Roman"/>
                <w:color w:val="auto"/>
                <w:sz w:val="24"/>
              </w:rPr>
              <w:t>牛栏江流域上游保护区划分为水源保护核心区、重点污染控制区和重点水源涵养区</w:t>
            </w:r>
            <w:r>
              <w:rPr>
                <w:rStyle w:val="35"/>
                <w:rFonts w:hint="eastAsia" w:cs="Times New Roman"/>
                <w:color w:val="auto"/>
                <w:sz w:val="24"/>
              </w:rPr>
              <w:t>，牛栏江流域下游保护区划分为污染控制区和水源涵养区。</w:t>
            </w:r>
          </w:p>
          <w:p w14:paraId="5121527C">
            <w:pPr>
              <w:pStyle w:val="34"/>
              <w:kinsoku/>
              <w:overflowPunct w:val="0"/>
              <w:autoSpaceDE/>
              <w:autoSpaceDN/>
              <w:ind w:firstLine="482"/>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14:paraId="0666307F">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14:paraId="195F3CA0">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（三）重点水源涵养区为流域范围内除水源保护核心区、重点污染控制区以外的集水区域。</w:t>
            </w:r>
          </w:p>
          <w:p w14:paraId="75A57A59">
            <w:pPr>
              <w:pStyle w:val="34"/>
              <w:kinsoku/>
              <w:overflowPunct w:val="0"/>
              <w:autoSpaceDE/>
              <w:autoSpaceDN/>
              <w:jc w:val="both"/>
              <w:rPr>
                <w:rStyle w:val="35"/>
                <w:rFonts w:ascii="Times New Roman" w:hAnsi="Times New Roman" w:eastAsia="宋体" w:cs="Times New Roman"/>
                <w:color w:val="auto"/>
                <w:sz w:val="24"/>
              </w:rPr>
            </w:pPr>
            <w:r>
              <w:rPr>
                <w:rStyle w:val="35"/>
                <w:rFonts w:ascii="Times New Roman" w:hAnsi="Times New Roman" w:eastAsia="宋体" w:cs="Times New Roman"/>
                <w:color w:val="auto"/>
                <w:sz w:val="24"/>
              </w:rPr>
              <w:t>本项目位于云南省昆明市寻甸回族彝族自治县金所街道办事处泽铁村委会栽开居民小组，根据牛栏江水系功能规划图可知，项目区属于</w:t>
            </w:r>
            <w:r>
              <w:rPr>
                <w:rStyle w:val="35"/>
                <w:rFonts w:hint="eastAsia" w:cs="Times New Roman"/>
                <w:color w:val="auto"/>
                <w:sz w:val="24"/>
              </w:rPr>
              <w:t>“</w:t>
            </w:r>
            <w:r>
              <w:rPr>
                <w:rStyle w:val="35"/>
                <w:rFonts w:hint="eastAsia" w:ascii="Times New Roman" w:hAnsi="Times New Roman" w:eastAsia="宋体" w:cs="Times New Roman"/>
                <w:color w:val="auto"/>
                <w:sz w:val="24"/>
              </w:rPr>
              <w:t>上游保护区</w:t>
            </w:r>
            <w:r>
              <w:rPr>
                <w:rStyle w:val="35"/>
                <w:rFonts w:hint="eastAsia" w:cs="Times New Roman"/>
                <w:color w:val="auto"/>
                <w:sz w:val="24"/>
              </w:rPr>
              <w:t>—</w:t>
            </w:r>
            <w:r>
              <w:rPr>
                <w:rStyle w:val="35"/>
                <w:rFonts w:ascii="Times New Roman" w:hAnsi="Times New Roman" w:eastAsia="宋体" w:cs="Times New Roman"/>
                <w:color w:val="auto"/>
                <w:sz w:val="24"/>
              </w:rPr>
              <w:t>重点污染控制区</w:t>
            </w:r>
            <w:r>
              <w:rPr>
                <w:rStyle w:val="35"/>
                <w:rFonts w:hint="eastAsia" w:cs="Times New Roman"/>
                <w:color w:val="auto"/>
                <w:sz w:val="24"/>
              </w:rPr>
              <w:t>”</w:t>
            </w:r>
            <w:r>
              <w:rPr>
                <w:rStyle w:val="35"/>
                <w:rFonts w:ascii="Times New Roman" w:hAnsi="Times New Roman" w:eastAsia="宋体" w:cs="Times New Roman"/>
                <w:color w:val="auto"/>
                <w:sz w:val="24"/>
              </w:rPr>
              <w:t>。根据《云南省牛栏江保护条例》第三十</w:t>
            </w:r>
            <w:r>
              <w:rPr>
                <w:rStyle w:val="35"/>
                <w:rFonts w:hint="eastAsia" w:cs="Times New Roman"/>
                <w:color w:val="auto"/>
                <w:sz w:val="24"/>
              </w:rPr>
              <w:t>二条、第</w:t>
            </w:r>
            <w:r>
              <w:rPr>
                <w:rStyle w:val="35"/>
                <w:rFonts w:ascii="Times New Roman" w:hAnsi="Times New Roman" w:eastAsia="宋体" w:cs="Times New Roman"/>
                <w:color w:val="auto"/>
                <w:sz w:val="24"/>
              </w:rPr>
              <w:t>三十三条</w:t>
            </w:r>
            <w:r>
              <w:rPr>
                <w:rStyle w:val="35"/>
                <w:rFonts w:hint="eastAsia" w:cs="Times New Roman"/>
                <w:color w:val="auto"/>
                <w:sz w:val="24"/>
              </w:rPr>
              <w:t>、</w:t>
            </w:r>
            <w:r>
              <w:rPr>
                <w:rStyle w:val="35"/>
                <w:rFonts w:hint="eastAsia" w:cs="Times New Roman"/>
                <w:color w:val="auto"/>
                <w:sz w:val="24"/>
                <w:lang w:val="en-US"/>
              </w:rPr>
              <w:t>第三十六条</w:t>
            </w:r>
            <w:r>
              <w:rPr>
                <w:rStyle w:val="35"/>
                <w:rFonts w:ascii="Times New Roman" w:hAnsi="Times New Roman" w:eastAsia="宋体" w:cs="Times New Roman"/>
                <w:color w:val="auto"/>
                <w:sz w:val="24"/>
              </w:rPr>
              <w:t>规定分析项目符合性。</w:t>
            </w:r>
          </w:p>
          <w:p w14:paraId="68539952">
            <w:pPr>
              <w:kinsoku/>
              <w:overflowPunct w:val="0"/>
              <w:autoSpaceDE/>
              <w:autoSpaceDN/>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建设内容与《云南省牛栏江保护条例》符合性分析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226"/>
              <w:gridCol w:w="3170"/>
              <w:gridCol w:w="717"/>
            </w:tblGrid>
            <w:tr w14:paraId="4F9D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6A2DDBB1">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hint="eastAsia" w:cs="Times New Roman"/>
                      <w:b/>
                      <w:bCs/>
                      <w:color w:val="auto"/>
                      <w:sz w:val="21"/>
                      <w:szCs w:val="21"/>
                      <w:lang w:val="en-US"/>
                    </w:rPr>
                    <w:t>条款</w:t>
                  </w:r>
                </w:p>
              </w:tc>
              <w:tc>
                <w:tcPr>
                  <w:tcW w:w="1922" w:type="pct"/>
                  <w:vAlign w:val="center"/>
                </w:tcPr>
                <w:p w14:paraId="7C520DA2">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禁止行为</w:t>
                  </w:r>
                </w:p>
              </w:tc>
              <w:tc>
                <w:tcPr>
                  <w:tcW w:w="1889" w:type="pct"/>
                  <w:vAlign w:val="center"/>
                </w:tcPr>
                <w:p w14:paraId="72E1F51D">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建设内容</w:t>
                  </w:r>
                </w:p>
              </w:tc>
              <w:tc>
                <w:tcPr>
                  <w:tcW w:w="427" w:type="pct"/>
                  <w:vAlign w:val="center"/>
                </w:tcPr>
                <w:p w14:paraId="61853DB6">
                  <w:pPr>
                    <w:pStyle w:val="7"/>
                    <w:kinsoku/>
                    <w:overflowPunct w:val="0"/>
                    <w:autoSpaceDE/>
                    <w:autoSpaceDN/>
                    <w:adjustRightInd/>
                    <w:snapToGrid/>
                    <w:jc w:val="center"/>
                    <w:rPr>
                      <w:rStyle w:val="35"/>
                      <w:rFonts w:ascii="Times New Roman" w:hAnsi="Times New Roman" w:eastAsia="宋体" w:cs="Times New Roman"/>
                      <w:b/>
                      <w:bCs/>
                      <w:color w:val="auto"/>
                      <w:sz w:val="21"/>
                      <w:szCs w:val="21"/>
                    </w:rPr>
                  </w:pPr>
                  <w:r>
                    <w:rPr>
                      <w:rStyle w:val="35"/>
                      <w:rFonts w:ascii="Times New Roman" w:hAnsi="Times New Roman" w:eastAsia="宋体" w:cs="Times New Roman"/>
                      <w:b/>
                      <w:bCs/>
                      <w:color w:val="auto"/>
                      <w:sz w:val="21"/>
                      <w:szCs w:val="21"/>
                    </w:rPr>
                    <w:t>符合性</w:t>
                  </w:r>
                </w:p>
              </w:tc>
            </w:tr>
            <w:tr w14:paraId="3E08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761" w:type="pct"/>
                  <w:vMerge w:val="restart"/>
                  <w:vAlign w:val="center"/>
                </w:tcPr>
                <w:p w14:paraId="64EFB807">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hint="eastAsia" w:ascii="Times New Roman" w:hAnsi="Times New Roman" w:eastAsia="宋体" w:cs="Times New Roman"/>
                      <w:color w:val="auto"/>
                      <w:sz w:val="21"/>
                      <w:szCs w:val="21"/>
                    </w:rPr>
                    <w:t>第三十二条 重点水源涵养区内禁止下列行为：</w:t>
                  </w:r>
                </w:p>
              </w:tc>
              <w:tc>
                <w:tcPr>
                  <w:tcW w:w="1922" w:type="pct"/>
                  <w:vAlign w:val="center"/>
                </w:tcPr>
                <w:p w14:paraId="5B73E25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（一）盗伐、滥伐林木和破坏草地；</w:t>
                  </w:r>
                </w:p>
              </w:tc>
              <w:tc>
                <w:tcPr>
                  <w:tcW w:w="1889" w:type="pct"/>
                  <w:vAlign w:val="center"/>
                </w:tcPr>
                <w:p w14:paraId="07BF4933">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w:t>
                  </w:r>
                  <w:r>
                    <w:rPr>
                      <w:rStyle w:val="35"/>
                      <w:rFonts w:hint="eastAsia" w:ascii="Times New Roman" w:hAnsi="Times New Roman" w:eastAsia="宋体" w:cs="Times New Roman"/>
                      <w:color w:val="auto"/>
                      <w:sz w:val="21"/>
                      <w:szCs w:val="21"/>
                    </w:rPr>
                    <w:t>租用</w:t>
                  </w:r>
                  <w:r>
                    <w:rPr>
                      <w:rStyle w:val="35"/>
                      <w:rFonts w:ascii="Times New Roman" w:hAnsi="Times New Roman" w:eastAsia="宋体" w:cs="Times New Roman"/>
                      <w:color w:val="auto"/>
                      <w:sz w:val="21"/>
                      <w:szCs w:val="21"/>
                    </w:rPr>
                    <w:t>泽铁村委会栽开居民小组083号工业用地</w:t>
                  </w:r>
                  <w:r>
                    <w:rPr>
                      <w:rFonts w:ascii="Times New Roman" w:hAnsi="Times New Roman" w:eastAsia="宋体" w:cs="Times New Roman"/>
                      <w:color w:val="auto"/>
                      <w:sz w:val="21"/>
                      <w:szCs w:val="21"/>
                      <w:lang w:eastAsia="zh-CN"/>
                    </w:rPr>
                    <w:t>，不存在盗伐、滥伐林木和破坏草地行为</w:t>
                  </w:r>
                  <w:r>
                    <w:rPr>
                      <w:rStyle w:val="35"/>
                      <w:rFonts w:ascii="Times New Roman" w:hAnsi="Times New Roman" w:eastAsia="宋体" w:cs="Times New Roman"/>
                      <w:color w:val="auto"/>
                      <w:sz w:val="21"/>
                      <w:szCs w:val="21"/>
                    </w:rPr>
                    <w:t>。</w:t>
                  </w:r>
                </w:p>
              </w:tc>
              <w:tc>
                <w:tcPr>
                  <w:tcW w:w="427" w:type="pct"/>
                  <w:vAlign w:val="center"/>
                </w:tcPr>
                <w:p w14:paraId="5067ED56">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3345E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763FFBD2">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0FACA0D3">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（二）使用高毒、高残留农药；</w:t>
                  </w:r>
                </w:p>
              </w:tc>
              <w:tc>
                <w:tcPr>
                  <w:tcW w:w="1889" w:type="pct"/>
                  <w:vAlign w:val="center"/>
                </w:tcPr>
                <w:p w14:paraId="6CA28A1A">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hint="eastAsia" w:ascii="Times New Roman" w:hAnsi="Times New Roman" w:eastAsia="宋体" w:cs="Times New Roman"/>
                      <w:color w:val="auto"/>
                      <w:sz w:val="21"/>
                      <w:szCs w:val="21"/>
                    </w:rPr>
                    <w:t>本项目</w:t>
                  </w:r>
                  <w:r>
                    <w:rPr>
                      <w:rStyle w:val="35"/>
                      <w:rFonts w:ascii="Times New Roman" w:hAnsi="Times New Roman" w:eastAsia="宋体" w:cs="Times New Roman"/>
                      <w:color w:val="auto"/>
                      <w:sz w:val="21"/>
                      <w:szCs w:val="21"/>
                    </w:rPr>
                    <w:t>不涉及</w:t>
                  </w:r>
                  <w:r>
                    <w:rPr>
                      <w:rStyle w:val="35"/>
                      <w:rFonts w:hint="eastAsia" w:ascii="Times New Roman" w:hAnsi="Times New Roman" w:eastAsia="宋体" w:cs="Times New Roman"/>
                      <w:color w:val="auto"/>
                      <w:sz w:val="21"/>
                      <w:szCs w:val="21"/>
                    </w:rPr>
                    <w:t>使用高毒高残留农药</w:t>
                  </w:r>
                  <w:r>
                    <w:rPr>
                      <w:rStyle w:val="35"/>
                      <w:rFonts w:ascii="Times New Roman" w:hAnsi="Times New Roman" w:eastAsia="宋体" w:cs="Times New Roman"/>
                      <w:color w:val="auto"/>
                      <w:sz w:val="21"/>
                      <w:szCs w:val="21"/>
                    </w:rPr>
                    <w:t>。</w:t>
                  </w:r>
                </w:p>
              </w:tc>
              <w:tc>
                <w:tcPr>
                  <w:tcW w:w="427" w:type="pct"/>
                  <w:vAlign w:val="center"/>
                </w:tcPr>
                <w:p w14:paraId="32990447">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6742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1B203EE0">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3F18CC80">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（三）利用溶洞、渗井、渗坑、裂隙排放、倾倒含有毒有害物质的废水、废渣；</w:t>
                  </w:r>
                </w:p>
              </w:tc>
              <w:tc>
                <w:tcPr>
                  <w:tcW w:w="1889" w:type="pct"/>
                  <w:vMerge w:val="restart"/>
                  <w:vAlign w:val="center"/>
                </w:tcPr>
                <w:p w14:paraId="356A1C06">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1.项目无废水外排。</w:t>
                  </w:r>
                </w:p>
                <w:p w14:paraId="42C1DDA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2.项目所有固体废弃物均得到合理有效的利用和处置，处置率为100%。</w:t>
                  </w:r>
                </w:p>
              </w:tc>
              <w:tc>
                <w:tcPr>
                  <w:tcW w:w="427" w:type="pct"/>
                  <w:vAlign w:val="center"/>
                </w:tcPr>
                <w:p w14:paraId="2260665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DB2C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6F3D98C4">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291A7AEF">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（四）向水体排放废水、倾倒工业废渣、城镇垃圾或者其他废弃物；</w:t>
                  </w:r>
                </w:p>
              </w:tc>
              <w:tc>
                <w:tcPr>
                  <w:tcW w:w="1889" w:type="pct"/>
                  <w:vMerge w:val="continue"/>
                  <w:vAlign w:val="center"/>
                </w:tcPr>
                <w:p w14:paraId="77EAF3AB">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427" w:type="pct"/>
                  <w:vAlign w:val="center"/>
                </w:tcPr>
                <w:p w14:paraId="0B92E6F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2E93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6F872254">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2E3CDAFD">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（五）在江河、渠道、水库最高水位线以下的滩地、岸坡堆放、存贮固体废弃物或者其他污染物；</w:t>
                  </w:r>
                </w:p>
              </w:tc>
              <w:tc>
                <w:tcPr>
                  <w:tcW w:w="1889" w:type="pct"/>
                  <w:vAlign w:val="center"/>
                </w:tcPr>
                <w:p w14:paraId="6FA9FA18">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设置危险废物暂存间暂存危险废物，并委托资质单位进行处置，危险废物贮存设施的选址与设计、运行与管理、安全防护、环境监测及应急措施以及关闭等遵循《危险废物贮存污染控制标准》（GB18597-2023）中的规定。</w:t>
                  </w:r>
                </w:p>
              </w:tc>
              <w:tc>
                <w:tcPr>
                  <w:tcW w:w="427" w:type="pct"/>
                  <w:vAlign w:val="center"/>
                </w:tcPr>
                <w:p w14:paraId="66EC50EB">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1744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1907341D">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4466FBDA">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（六）利用无防渗漏措施的沟渠、坑塘等输送或者存贮含有毒污染物的废水、含病原体的污水或者其他废弃物。</w:t>
                  </w:r>
                </w:p>
              </w:tc>
              <w:tc>
                <w:tcPr>
                  <w:tcW w:w="1889" w:type="pct"/>
                  <w:vAlign w:val="center"/>
                </w:tcPr>
                <w:p w14:paraId="3DD8A05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项目不产生含有毒、病原体的污水且生产过程中均为物理反应不涉及化学反应，项目各污染物均得到妥善处置，无此行为</w:t>
                  </w:r>
                </w:p>
              </w:tc>
              <w:tc>
                <w:tcPr>
                  <w:tcW w:w="427" w:type="pct"/>
                  <w:vAlign w:val="center"/>
                </w:tcPr>
                <w:p w14:paraId="3A8B90F4">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24AB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vAlign w:val="center"/>
                </w:tcPr>
                <w:p w14:paraId="44146273">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hint="eastAsia" w:ascii="Times New Roman" w:hAnsi="Times New Roman" w:eastAsia="宋体" w:cs="Times New Roman"/>
                      <w:color w:val="auto"/>
                      <w:sz w:val="21"/>
                      <w:szCs w:val="21"/>
                    </w:rPr>
                    <w:t>第三十三条 重点污染控制区内除重点水源涵养区禁止的行为外，还禁止下列行为：</w:t>
                  </w:r>
                </w:p>
              </w:tc>
              <w:tc>
                <w:tcPr>
                  <w:tcW w:w="1922" w:type="pct"/>
                  <w:vAlign w:val="center"/>
                </w:tcPr>
                <w:p w14:paraId="5D11A700">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（七）新建、扩建工业园区；</w:t>
                  </w:r>
                </w:p>
              </w:tc>
              <w:tc>
                <w:tcPr>
                  <w:tcW w:w="1889" w:type="pct"/>
                  <w:vAlign w:val="center"/>
                </w:tcPr>
                <w:p w14:paraId="094080F2">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无此行为。</w:t>
                  </w:r>
                </w:p>
              </w:tc>
              <w:tc>
                <w:tcPr>
                  <w:tcW w:w="427" w:type="pct"/>
                  <w:vAlign w:val="center"/>
                </w:tcPr>
                <w:p w14:paraId="0A9F8481">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20900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51EC8141">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7927840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（八）新建、扩建重点水污染物排放的工业项目；</w:t>
                  </w:r>
                </w:p>
              </w:tc>
              <w:tc>
                <w:tcPr>
                  <w:tcW w:w="1889" w:type="pct"/>
                  <w:vAlign w:val="center"/>
                </w:tcPr>
                <w:p w14:paraId="7C013CE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项目不是重点水污染物排放的工业项目。</w:t>
                  </w:r>
                </w:p>
              </w:tc>
              <w:tc>
                <w:tcPr>
                  <w:tcW w:w="427" w:type="pct"/>
                  <w:vAlign w:val="center"/>
                </w:tcPr>
                <w:p w14:paraId="568AA95C">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7C7B5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5123BDCE">
                  <w:pPr>
                    <w:pStyle w:val="7"/>
                    <w:kinsoku/>
                    <w:overflowPunct w:val="0"/>
                    <w:autoSpaceDE/>
                    <w:autoSpaceDN/>
                    <w:adjustRightInd/>
                    <w:snapToGrid/>
                    <w:jc w:val="center"/>
                    <w:rPr>
                      <w:rStyle w:val="35"/>
                      <w:rFonts w:ascii="Times New Roman" w:hAnsi="Times New Roman" w:eastAsia="宋体" w:cs="Times New Roman"/>
                      <w:color w:val="auto"/>
                      <w:sz w:val="21"/>
                      <w:szCs w:val="21"/>
                    </w:rPr>
                  </w:pPr>
                </w:p>
              </w:tc>
              <w:tc>
                <w:tcPr>
                  <w:tcW w:w="1922" w:type="pct"/>
                  <w:vAlign w:val="center"/>
                </w:tcPr>
                <w:p w14:paraId="63355B3B">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（九）新建、改建、扩建经营性陵园、公墓。</w:t>
                  </w:r>
                </w:p>
              </w:tc>
              <w:tc>
                <w:tcPr>
                  <w:tcW w:w="1889" w:type="pct"/>
                  <w:vAlign w:val="center"/>
                </w:tcPr>
                <w:p w14:paraId="10F9C6A5">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与项目无关。</w:t>
                  </w:r>
                </w:p>
              </w:tc>
              <w:tc>
                <w:tcPr>
                  <w:tcW w:w="427" w:type="pct"/>
                  <w:vAlign w:val="center"/>
                </w:tcPr>
                <w:p w14:paraId="5946641C">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ascii="Times New Roman" w:hAnsi="Times New Roman" w:eastAsia="宋体" w:cs="Times New Roman"/>
                      <w:color w:val="auto"/>
                      <w:sz w:val="21"/>
                      <w:szCs w:val="21"/>
                    </w:rPr>
                    <w:t>符合</w:t>
                  </w:r>
                </w:p>
              </w:tc>
            </w:tr>
            <w:tr w14:paraId="620B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3" w:type="pct"/>
                  <w:gridSpan w:val="2"/>
                  <w:vAlign w:val="center"/>
                </w:tcPr>
                <w:p w14:paraId="322612D9">
                  <w:pPr>
                    <w:pStyle w:val="7"/>
                    <w:kinsoku/>
                    <w:overflowPunct w:val="0"/>
                    <w:autoSpaceDE/>
                    <w:autoSpaceDN/>
                    <w:adjustRightInd/>
                    <w:snapToGrid/>
                    <w:jc w:val="center"/>
                    <w:rPr>
                      <w:rStyle w:val="35"/>
                      <w:rFonts w:ascii="Times New Roman" w:hAnsi="Times New Roman" w:eastAsia="宋体" w:cs="Times New Roman"/>
                      <w:color w:val="auto"/>
                      <w:sz w:val="21"/>
                      <w:szCs w:val="21"/>
                    </w:rPr>
                  </w:pPr>
                  <w:r>
                    <w:rPr>
                      <w:rStyle w:val="35"/>
                      <w:rFonts w:hint="eastAsia" w:ascii="Times New Roman" w:hAnsi="Times New Roman" w:eastAsia="宋体" w:cs="Times New Roman"/>
                      <w:color w:val="auto"/>
                      <w:sz w:val="21"/>
                      <w:szCs w:val="21"/>
                    </w:rPr>
                    <w:t>第三十六条 污染控制区内禁止新建、改建、扩建对水体污染严重的建设项目。</w:t>
                  </w:r>
                </w:p>
              </w:tc>
              <w:tc>
                <w:tcPr>
                  <w:tcW w:w="1889" w:type="pct"/>
                  <w:vAlign w:val="center"/>
                </w:tcPr>
                <w:p w14:paraId="73003283">
                  <w:pPr>
                    <w:pStyle w:val="7"/>
                    <w:kinsoku/>
                    <w:overflowPunct w:val="0"/>
                    <w:autoSpaceDE/>
                    <w:autoSpaceDN/>
                    <w:adjustRightInd/>
                    <w:snapToGrid/>
                    <w:jc w:val="center"/>
                    <w:rPr>
                      <w:rStyle w:val="35"/>
                      <w:rFonts w:hint="default" w:ascii="Times New Roman" w:hAnsi="Times New Roman" w:eastAsia="宋体" w:cs="Times New Roman"/>
                      <w:color w:val="auto"/>
                      <w:sz w:val="21"/>
                      <w:szCs w:val="21"/>
                      <w:lang w:val="en-US"/>
                    </w:rPr>
                  </w:pPr>
                  <w:r>
                    <w:rPr>
                      <w:rStyle w:val="35"/>
                      <w:rFonts w:hint="eastAsia" w:cs="Times New Roman"/>
                      <w:color w:val="auto"/>
                      <w:sz w:val="21"/>
                      <w:szCs w:val="21"/>
                      <w:lang w:val="en-US"/>
                    </w:rPr>
                    <w:t>本项目废气污染物排放量少且主要污染物为颗粒物，大气沉降后对周围水体污染较小；本项目无废水外排，回用于厂区降尘及绿化。因此本项目不属于对水体污染严重的建设项目。</w:t>
                  </w:r>
                </w:p>
              </w:tc>
              <w:tc>
                <w:tcPr>
                  <w:tcW w:w="427" w:type="pct"/>
                  <w:vAlign w:val="center"/>
                </w:tcPr>
                <w:p w14:paraId="5C420DA8">
                  <w:pPr>
                    <w:pStyle w:val="7"/>
                    <w:kinsoku/>
                    <w:overflowPunct w:val="0"/>
                    <w:autoSpaceDE/>
                    <w:autoSpaceDN/>
                    <w:adjustRightInd/>
                    <w:snapToGrid/>
                    <w:jc w:val="center"/>
                    <w:rPr>
                      <w:rStyle w:val="35"/>
                      <w:rFonts w:hint="default" w:ascii="Times New Roman" w:hAnsi="Times New Roman" w:eastAsia="宋体" w:cs="Times New Roman"/>
                      <w:color w:val="auto"/>
                      <w:sz w:val="21"/>
                      <w:szCs w:val="21"/>
                      <w:lang w:val="en-US"/>
                    </w:rPr>
                  </w:pPr>
                  <w:r>
                    <w:rPr>
                      <w:rStyle w:val="35"/>
                      <w:rFonts w:hint="eastAsia" w:cs="Times New Roman"/>
                      <w:color w:val="auto"/>
                      <w:sz w:val="21"/>
                      <w:szCs w:val="21"/>
                      <w:lang w:val="en-US"/>
                    </w:rPr>
                    <w:t>符合</w:t>
                  </w:r>
                </w:p>
              </w:tc>
            </w:tr>
          </w:tbl>
          <w:p w14:paraId="234D4E34">
            <w:pPr>
              <w:pStyle w:val="8"/>
              <w:widowControl/>
              <w:kinsoku/>
              <w:overflowPunct w:val="0"/>
              <w:autoSpaceDE/>
              <w:autoSpaceDN/>
              <w:spacing w:line="360" w:lineRule="auto"/>
              <w:ind w:firstLine="480"/>
              <w:rPr>
                <w:rFonts w:ascii="Times New Roman" w:hAnsi="Times New Roman" w:eastAsia="宋体" w:cs="Times New Roman"/>
                <w:b/>
                <w:color w:val="auto"/>
                <w:sz w:val="24"/>
                <w:lang w:eastAsia="zh-CN"/>
              </w:rPr>
            </w:pPr>
            <w:r>
              <w:rPr>
                <w:rStyle w:val="35"/>
                <w:rFonts w:ascii="Times New Roman" w:hAnsi="Times New Roman" w:eastAsia="宋体" w:cs="Times New Roman"/>
                <w:color w:val="auto"/>
                <w:sz w:val="24"/>
              </w:rPr>
              <w:t>综上所述，本项目生产中不涉及高毒、高残留农药，项目废水不外排；固废均能得到有效处置，处置率达100%。项目建设和运营期不存在牛栏江</w:t>
            </w:r>
            <w:r>
              <w:rPr>
                <w:rStyle w:val="35"/>
                <w:rFonts w:hint="eastAsia" w:hAnsi="Times New Roman" w:cs="Times New Roman"/>
                <w:color w:val="auto"/>
                <w:sz w:val="24"/>
                <w:lang w:val="en-US"/>
              </w:rPr>
              <w:t>条例</w:t>
            </w:r>
            <w:r>
              <w:rPr>
                <w:rStyle w:val="35"/>
                <w:rFonts w:ascii="Times New Roman" w:hAnsi="Times New Roman" w:eastAsia="宋体" w:cs="Times New Roman"/>
                <w:color w:val="auto"/>
                <w:sz w:val="24"/>
              </w:rPr>
              <w:t>污染控制区禁止的行为，故项目与《云南省牛栏江保护条例》相符。</w:t>
            </w:r>
          </w:p>
          <w:p w14:paraId="67BDF449">
            <w:pPr>
              <w:pStyle w:val="8"/>
              <w:widowControl/>
              <w:kinsoku/>
              <w:overflowPunct w:val="0"/>
              <w:autoSpaceDE/>
              <w:autoSpaceDN/>
              <w:spacing w:line="360" w:lineRule="auto"/>
              <w:ind w:firstLine="482"/>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5、与《牛栏江流域（云南部分）水环境保护规划（2009~2030）》的相符性分析</w:t>
            </w:r>
          </w:p>
          <w:p w14:paraId="7D5174B9">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，属于重点保护区。重点污染控制区主要是水源保护核心区边界外的坝区。涉及小哨乡、嵩阳镇、小街镇、杨桥乡、羊街镇、金所乡、月望乡、大坡乡、菱角乡、田坝乡十个乡镇，面积1892.56km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，属于污染重点治理区。水源涵养区包括除水源保护核心区、重点污染控制区以外的山地。涉及杨林镇、仁德镇、通泉镇、王家庄镇、马过河镇、旧县镇六个乡镇，面积1764.16km</w:t>
            </w:r>
            <w:r>
              <w:rPr>
                <w:rFonts w:hint="eastAsia" w:ascii="Times New Roman" w:hAnsi="Times New Roman" w:eastAsia="宋体" w:cs="Times New Roman"/>
                <w:color w:val="auto"/>
                <w:sz w:val="24"/>
                <w:vertAlign w:val="superscript"/>
                <w:lang w:eastAsia="zh-CN"/>
              </w:rPr>
              <w:t>2</w:t>
            </w:r>
            <w:r>
              <w:rPr>
                <w:rFonts w:ascii="Times New Roman" w:hAnsi="Times New Roman" w:eastAsia="宋体" w:cs="Times New Roman"/>
                <w:color w:val="auto"/>
                <w:sz w:val="24"/>
                <w:lang w:eastAsia="zh-CN"/>
              </w:rPr>
              <w:t>。</w:t>
            </w:r>
          </w:p>
          <w:p w14:paraId="38F7E61A">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本项目位于云南省昆明市寻甸回族彝族自治县金所街道办事处泽铁村委会栽开居民小组，属于重点污染控制区。</w:t>
            </w:r>
            <w:r>
              <w:rPr>
                <w:rFonts w:hint="eastAsia" w:ascii="Times New Roman" w:hAnsi="Times New Roman" w:eastAsia="宋体" w:cs="Times New Roman"/>
                <w:color w:val="auto"/>
                <w:sz w:val="24"/>
                <w:lang w:eastAsia="zh-CN"/>
              </w:rPr>
              <w:t>《规划》中与本项目相关内容见下表。</w:t>
            </w:r>
          </w:p>
          <w:p w14:paraId="194347E4">
            <w:pPr>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建设内容与《牛栏江流域（云南部分）水环境保护规划（2009~2030）》符合性分析</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
              <w:gridCol w:w="4390"/>
              <w:gridCol w:w="2629"/>
              <w:gridCol w:w="880"/>
            </w:tblGrid>
            <w:tr w14:paraId="6147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529C481">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序号</w:t>
                  </w:r>
                </w:p>
              </w:tc>
              <w:tc>
                <w:tcPr>
                  <w:tcW w:w="2625" w:type="pct"/>
                  <w:tcBorders>
                    <w:top w:val="single" w:color="auto" w:sz="4" w:space="0"/>
                    <w:left w:val="single" w:color="auto" w:sz="4" w:space="0"/>
                    <w:bottom w:val="single" w:color="auto" w:sz="4" w:space="0"/>
                    <w:right w:val="single" w:color="auto" w:sz="4" w:space="0"/>
                  </w:tcBorders>
                  <w:vAlign w:val="center"/>
                </w:tcPr>
                <w:p w14:paraId="6E64580F">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相关要求</w:t>
                  </w:r>
                </w:p>
              </w:tc>
              <w:tc>
                <w:tcPr>
                  <w:tcW w:w="1572" w:type="pct"/>
                  <w:tcBorders>
                    <w:top w:val="single" w:color="auto" w:sz="4" w:space="0"/>
                    <w:left w:val="single" w:color="auto" w:sz="4" w:space="0"/>
                    <w:bottom w:val="single" w:color="auto" w:sz="4" w:space="0"/>
                    <w:right w:val="single" w:color="auto" w:sz="4" w:space="0"/>
                  </w:tcBorders>
                  <w:vAlign w:val="center"/>
                </w:tcPr>
                <w:p w14:paraId="1A93376E">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项目情况</w:t>
                  </w:r>
                </w:p>
              </w:tc>
              <w:tc>
                <w:tcPr>
                  <w:tcW w:w="523" w:type="pct"/>
                  <w:tcBorders>
                    <w:top w:val="single" w:color="auto" w:sz="4" w:space="0"/>
                    <w:left w:val="single" w:color="auto" w:sz="4" w:space="0"/>
                    <w:bottom w:val="single" w:color="auto" w:sz="4" w:space="0"/>
                    <w:right w:val="single" w:color="auto" w:sz="4" w:space="0"/>
                  </w:tcBorders>
                  <w:vAlign w:val="center"/>
                </w:tcPr>
                <w:p w14:paraId="1CC233BB">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符合性</w:t>
                  </w:r>
                </w:p>
              </w:tc>
            </w:tr>
            <w:tr w14:paraId="6A66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0747D942">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重点污染控制区内环境保护策略</w:t>
                  </w:r>
                </w:p>
              </w:tc>
            </w:tr>
            <w:tr w14:paraId="5274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75D455E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2625" w:type="pct"/>
                  <w:tcBorders>
                    <w:top w:val="single" w:color="auto" w:sz="4" w:space="0"/>
                    <w:left w:val="single" w:color="auto" w:sz="4" w:space="0"/>
                    <w:bottom w:val="single" w:color="auto" w:sz="4" w:space="0"/>
                    <w:right w:val="single" w:color="auto" w:sz="4" w:space="0"/>
                  </w:tcBorders>
                  <w:vAlign w:val="center"/>
                </w:tcPr>
                <w:p w14:paraId="6DEFE717">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加大污染物负荷削减力度，消除工业企业有毒有害物质污染，减少COD、TN、TP等主要污染物排放量；加强环境管理，提高环境监测能力和管理水平。</w:t>
                  </w:r>
                </w:p>
              </w:tc>
              <w:tc>
                <w:tcPr>
                  <w:tcW w:w="1572" w:type="pct"/>
                  <w:tcBorders>
                    <w:top w:val="single" w:color="auto" w:sz="4" w:space="0"/>
                    <w:left w:val="single" w:color="auto" w:sz="4" w:space="0"/>
                    <w:bottom w:val="single" w:color="auto" w:sz="4" w:space="0"/>
                    <w:right w:val="single" w:color="auto" w:sz="4" w:space="0"/>
                  </w:tcBorders>
                  <w:vAlign w:val="center"/>
                </w:tcPr>
                <w:p w14:paraId="2781407D">
                  <w:pPr>
                    <w:kinsoku/>
                    <w:overflowPunct w:val="0"/>
                    <w:autoSpaceDE/>
                    <w:autoSpaceDN/>
                    <w:adjustRightInd/>
                    <w:snapToGrid/>
                    <w:jc w:val="both"/>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项目废水经一体化污水处理站处理后回用于厂区洒水降尘，不外排，</w:t>
                  </w:r>
                  <w:r>
                    <w:rPr>
                      <w:rFonts w:hint="eastAsia" w:ascii="Times New Roman" w:hAnsi="Times New Roman" w:eastAsia="宋体" w:cs="Times New Roman"/>
                      <w:color w:val="auto"/>
                      <w:lang w:val="en-US" w:eastAsia="zh-CN" w:bidi="ar"/>
                    </w:rPr>
                    <w:t>不涉及所列污染物的排放</w:t>
                  </w:r>
                  <w:r>
                    <w:rPr>
                      <w:rFonts w:hint="eastAsia" w:ascii="Times New Roman" w:hAnsi="Times New Roman" w:eastAsia="宋体" w:cs="Times New Roman"/>
                      <w:color w:val="auto"/>
                      <w:lang w:eastAsia="zh-CN" w:bidi="ar"/>
                    </w:rPr>
                    <w:t>；本项目建设后将建立环境保护制度，配备相关人员，加强项目建设及运营期环境管理工作，依法完善环保手续，配合相关部门环境管理工作。</w:t>
                  </w:r>
                </w:p>
              </w:tc>
              <w:tc>
                <w:tcPr>
                  <w:tcW w:w="523" w:type="pct"/>
                  <w:tcBorders>
                    <w:top w:val="single" w:color="auto" w:sz="4" w:space="0"/>
                    <w:left w:val="single" w:color="auto" w:sz="4" w:space="0"/>
                    <w:bottom w:val="single" w:color="auto" w:sz="4" w:space="0"/>
                    <w:right w:val="single" w:color="auto" w:sz="4" w:space="0"/>
                  </w:tcBorders>
                  <w:vAlign w:val="center"/>
                </w:tcPr>
                <w:p w14:paraId="2493BAE0">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符合</w:t>
                  </w:r>
                </w:p>
              </w:tc>
            </w:tr>
            <w:tr w14:paraId="467C1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vAlign w:val="center"/>
                </w:tcPr>
                <w:p w14:paraId="6C45A29C">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b/>
                      <w:bCs/>
                      <w:color w:val="auto"/>
                      <w:lang w:eastAsia="zh-CN" w:bidi="ar"/>
                    </w:rPr>
                    <w:t>工业企业环境管理规划方案</w:t>
                  </w:r>
                </w:p>
              </w:tc>
            </w:tr>
            <w:tr w14:paraId="0E78C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22AA06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1</w:t>
                  </w:r>
                </w:p>
              </w:tc>
              <w:tc>
                <w:tcPr>
                  <w:tcW w:w="2625" w:type="pct"/>
                  <w:tcBorders>
                    <w:top w:val="single" w:color="auto" w:sz="4" w:space="0"/>
                    <w:left w:val="single" w:color="auto" w:sz="4" w:space="0"/>
                    <w:bottom w:val="single" w:color="auto" w:sz="4" w:space="0"/>
                    <w:right w:val="single" w:color="auto" w:sz="4" w:space="0"/>
                  </w:tcBorders>
                  <w:vAlign w:val="center"/>
                </w:tcPr>
                <w:p w14:paraId="6FB7622F">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下游区工业废水排水水质达标率在100%。</w:t>
                  </w:r>
                </w:p>
              </w:tc>
              <w:tc>
                <w:tcPr>
                  <w:tcW w:w="1572" w:type="pct"/>
                  <w:tcBorders>
                    <w:top w:val="single" w:color="auto" w:sz="4" w:space="0"/>
                    <w:left w:val="single" w:color="auto" w:sz="4" w:space="0"/>
                    <w:bottom w:val="single" w:color="auto" w:sz="4" w:space="0"/>
                    <w:right w:val="single" w:color="auto" w:sz="4" w:space="0"/>
                  </w:tcBorders>
                  <w:vAlign w:val="center"/>
                </w:tcPr>
                <w:p w14:paraId="693EA52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本项目对照《产业结构调整指导目录（2024年本）》，属于鼓励类项目，符合产业政策，不属于高污染工业项目；</w:t>
                  </w:r>
                  <w:r>
                    <w:rPr>
                      <w:rFonts w:hint="eastAsia" w:ascii="Times New Roman" w:hAnsi="Times New Roman" w:eastAsia="宋体" w:cs="Times New Roman"/>
                      <w:color w:val="auto"/>
                      <w:lang w:val="en-US" w:eastAsia="zh-CN" w:bidi="ar"/>
                    </w:rPr>
                    <w:t>根据寻甸回族彝族自治县科学技术和工业信息化局出具的选址批复（附件7），同意本项目选址，可不进工业园区</w:t>
                  </w:r>
                  <w:r>
                    <w:rPr>
                      <w:rFonts w:hint="eastAsia" w:ascii="Times New Roman" w:hAnsi="Times New Roman" w:eastAsia="宋体" w:cs="Times New Roman"/>
                      <w:color w:val="auto"/>
                      <w:lang w:eastAsia="zh-CN" w:bidi="ar"/>
                    </w:rPr>
                    <w:t>；本项目废水经一体化污水处理站处理后回用于厂区洒水降尘，不外排，</w:t>
                  </w:r>
                  <w:r>
                    <w:rPr>
                      <w:rFonts w:hint="eastAsia" w:ascii="Times New Roman" w:hAnsi="Times New Roman" w:eastAsia="宋体" w:cs="Times New Roman"/>
                      <w:color w:val="auto"/>
                      <w:lang w:val="en-US" w:eastAsia="zh-CN" w:bidi="ar"/>
                    </w:rPr>
                    <w:t>废水可实现“零”排放</w:t>
                  </w:r>
                  <w:r>
                    <w:rPr>
                      <w:rFonts w:hint="eastAsia" w:ascii="Times New Roman" w:hAnsi="Times New Roman" w:eastAsia="宋体" w:cs="Times New Roman"/>
                      <w:color w:val="auto"/>
                      <w:lang w:eastAsia="zh-CN" w:bidi="ar"/>
                    </w:rPr>
                    <w:t>；本项目使用电力为能源，生产工艺和污染防治技术均达到国内先进水平。</w:t>
                  </w:r>
                </w:p>
              </w:tc>
              <w:tc>
                <w:tcPr>
                  <w:tcW w:w="523" w:type="pct"/>
                  <w:tcBorders>
                    <w:top w:val="single" w:color="auto" w:sz="4" w:space="0"/>
                    <w:left w:val="single" w:color="auto" w:sz="4" w:space="0"/>
                    <w:bottom w:val="single" w:color="auto" w:sz="4" w:space="0"/>
                    <w:right w:val="single" w:color="auto" w:sz="4" w:space="0"/>
                  </w:tcBorders>
                  <w:vAlign w:val="center"/>
                </w:tcPr>
                <w:p w14:paraId="2351A6C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8A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AB8B77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2</w:t>
                  </w:r>
                </w:p>
              </w:tc>
              <w:tc>
                <w:tcPr>
                  <w:tcW w:w="2625" w:type="pct"/>
                  <w:tcBorders>
                    <w:top w:val="single" w:color="auto" w:sz="4" w:space="0"/>
                    <w:left w:val="single" w:color="auto" w:sz="4" w:space="0"/>
                    <w:bottom w:val="single" w:color="auto" w:sz="4" w:space="0"/>
                    <w:right w:val="single" w:color="auto" w:sz="4" w:space="0"/>
                  </w:tcBorders>
                  <w:vAlign w:val="center"/>
                </w:tcPr>
                <w:p w14:paraId="2B637021">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严格工业固体废弃物管理，实现固体废弃物安全处置。调水水源区内所有排放固体废弃物的企业，按国家有关固体废弃物安全处置的要求，对现有固体废弃物堆场进行安全处置，特别是磷化工企业固体废弃物的安全处置。新建固体废弃物堆场必须达到国家有关固体废弃物安全处置的要求。</w:t>
                  </w:r>
                </w:p>
              </w:tc>
              <w:tc>
                <w:tcPr>
                  <w:tcW w:w="1572" w:type="pct"/>
                  <w:tcBorders>
                    <w:top w:val="single" w:color="auto" w:sz="4" w:space="0"/>
                    <w:left w:val="single" w:color="auto" w:sz="4" w:space="0"/>
                    <w:bottom w:val="single" w:color="auto" w:sz="4" w:space="0"/>
                    <w:right w:val="single" w:color="auto" w:sz="4" w:space="0"/>
                  </w:tcBorders>
                  <w:vAlign w:val="center"/>
                </w:tcPr>
                <w:p w14:paraId="20D16D4B">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本项目固体废物100%处置，固体废物暂存场所均按照国家有关要求建设；</w:t>
                  </w:r>
                  <w:r>
                    <w:rPr>
                      <w:rFonts w:hint="eastAsia" w:ascii="Times New Roman" w:hAnsi="Times New Roman" w:eastAsia="宋体" w:cs="Times New Roman"/>
                      <w:snapToGrid/>
                      <w:color w:val="auto"/>
                      <w:lang w:val="en-US" w:eastAsia="zh-CN" w:bidi="ar"/>
                    </w:rPr>
                    <w:t>本项目属于固废治理项目，可有效消纳改性磷石膏</w:t>
                  </w:r>
                  <w:r>
                    <w:rPr>
                      <w:rFonts w:hint="eastAsia" w:ascii="Times New Roman" w:hAnsi="Times New Roman" w:eastAsia="宋体" w:cs="Times New Roman"/>
                      <w:snapToGrid/>
                      <w:color w:val="auto"/>
                      <w:lang w:eastAsia="zh-CN" w:bidi="ar"/>
                    </w:rPr>
                    <w:t>。</w:t>
                  </w:r>
                </w:p>
              </w:tc>
              <w:tc>
                <w:tcPr>
                  <w:tcW w:w="523" w:type="pct"/>
                  <w:tcBorders>
                    <w:top w:val="single" w:color="auto" w:sz="4" w:space="0"/>
                    <w:left w:val="single" w:color="auto" w:sz="4" w:space="0"/>
                    <w:bottom w:val="single" w:color="auto" w:sz="4" w:space="0"/>
                    <w:right w:val="single" w:color="auto" w:sz="4" w:space="0"/>
                  </w:tcBorders>
                  <w:vAlign w:val="center"/>
                </w:tcPr>
                <w:p w14:paraId="1D5A9EC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4925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22E97F6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3</w:t>
                  </w:r>
                </w:p>
              </w:tc>
              <w:tc>
                <w:tcPr>
                  <w:tcW w:w="2625" w:type="pct"/>
                  <w:tcBorders>
                    <w:top w:val="single" w:color="auto" w:sz="4" w:space="0"/>
                    <w:left w:val="single" w:color="auto" w:sz="4" w:space="0"/>
                    <w:bottom w:val="single" w:color="auto" w:sz="4" w:space="0"/>
                    <w:right w:val="single" w:color="auto" w:sz="4" w:space="0"/>
                  </w:tcBorders>
                  <w:vAlign w:val="center"/>
                </w:tcPr>
                <w:p w14:paraId="72C97D30">
                  <w:pPr>
                    <w:kinsoku/>
                    <w:overflowPunct w:val="0"/>
                    <w:autoSpaceDE/>
                    <w:autoSpaceDN/>
                    <w:adjustRightInd/>
                    <w:snapToGrid/>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实施强制性清洁生产审核。对调水水源区内现有排放废水和废渣的重点工业企业实施强制性清洁生产审核，按清洁生产审核结果限期进行整改，并通过验收，对未开展工作企业的依法进行处罚。</w:t>
                  </w:r>
                </w:p>
                <w:p w14:paraId="36D4946C">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发展循环经济和低碳经济。鼓励在流域内发展循环经济和低碳经济，建设环境友好型企业，减少污染物排放。</w:t>
                  </w:r>
                </w:p>
              </w:tc>
              <w:tc>
                <w:tcPr>
                  <w:tcW w:w="1572" w:type="pct"/>
                  <w:tcBorders>
                    <w:top w:val="single" w:color="auto" w:sz="4" w:space="0"/>
                    <w:left w:val="single" w:color="auto" w:sz="4" w:space="0"/>
                    <w:bottom w:val="single" w:color="auto" w:sz="4" w:space="0"/>
                    <w:right w:val="single" w:color="auto" w:sz="4" w:space="0"/>
                  </w:tcBorders>
                  <w:vAlign w:val="center"/>
                </w:tcPr>
                <w:p w14:paraId="144EC1FD">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本项目不属于重点企业；本项目可扩大改性磷石膏再利用市场，有效解决其堆存问题，属于循环经济和环境友好型企业。</w:t>
                  </w:r>
                </w:p>
              </w:tc>
              <w:tc>
                <w:tcPr>
                  <w:tcW w:w="523" w:type="pct"/>
                  <w:tcBorders>
                    <w:top w:val="single" w:color="auto" w:sz="4" w:space="0"/>
                    <w:left w:val="single" w:color="auto" w:sz="4" w:space="0"/>
                    <w:bottom w:val="single" w:color="auto" w:sz="4" w:space="0"/>
                    <w:right w:val="single" w:color="auto" w:sz="4" w:space="0"/>
                  </w:tcBorders>
                  <w:vAlign w:val="center"/>
                </w:tcPr>
                <w:p w14:paraId="2C74B6B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51FE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4E78B6F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4</w:t>
                  </w:r>
                </w:p>
              </w:tc>
              <w:tc>
                <w:tcPr>
                  <w:tcW w:w="2625" w:type="pct"/>
                  <w:tcBorders>
                    <w:top w:val="single" w:color="auto" w:sz="4" w:space="0"/>
                    <w:left w:val="single" w:color="auto" w:sz="4" w:space="0"/>
                    <w:bottom w:val="single" w:color="auto" w:sz="4" w:space="0"/>
                    <w:right w:val="single" w:color="auto" w:sz="4" w:space="0"/>
                  </w:tcBorders>
                  <w:vAlign w:val="center"/>
                </w:tcPr>
                <w:p w14:paraId="080FDD9A">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加强重点工业污染源的监控。强化调水水源区内149家（官渡区6家，嵩明县82家，寻甸县23家，马龙县38家）废水产生企业的环境监察和监控，安装水污染源在线监测监控装置，并对50家主要废水产生企业和49家主要废水排放工业企业进行经常性不定期监察和监测，对违法排污行为依法从重处罚，直至关停。</w:t>
                  </w:r>
                </w:p>
              </w:tc>
              <w:tc>
                <w:tcPr>
                  <w:tcW w:w="1572" w:type="pct"/>
                  <w:tcBorders>
                    <w:top w:val="single" w:color="auto" w:sz="4" w:space="0"/>
                    <w:left w:val="single" w:color="auto" w:sz="4" w:space="0"/>
                    <w:bottom w:val="single" w:color="auto" w:sz="4" w:space="0"/>
                    <w:right w:val="single" w:color="auto" w:sz="4" w:space="0"/>
                  </w:tcBorders>
                  <w:vAlign w:val="center"/>
                </w:tcPr>
                <w:p w14:paraId="63B5157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本项目不属于重点工业污染源，不属于主要废水产生企业、主要废水排放工业企业，本项目废水不外排。</w:t>
                  </w:r>
                </w:p>
              </w:tc>
              <w:tc>
                <w:tcPr>
                  <w:tcW w:w="523" w:type="pct"/>
                  <w:tcBorders>
                    <w:top w:val="single" w:color="auto" w:sz="4" w:space="0"/>
                    <w:left w:val="single" w:color="auto" w:sz="4" w:space="0"/>
                    <w:bottom w:val="single" w:color="auto" w:sz="4" w:space="0"/>
                    <w:right w:val="single" w:color="auto" w:sz="4" w:space="0"/>
                  </w:tcBorders>
                  <w:vAlign w:val="center"/>
                </w:tcPr>
                <w:p w14:paraId="3504683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EF62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3387EB4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5</w:t>
                  </w:r>
                </w:p>
              </w:tc>
              <w:tc>
                <w:tcPr>
                  <w:tcW w:w="2625" w:type="pct"/>
                  <w:tcBorders>
                    <w:top w:val="single" w:color="auto" w:sz="4" w:space="0"/>
                    <w:left w:val="single" w:color="auto" w:sz="4" w:space="0"/>
                    <w:bottom w:val="single" w:color="auto" w:sz="4" w:space="0"/>
                    <w:right w:val="single" w:color="auto" w:sz="4" w:space="0"/>
                  </w:tcBorders>
                  <w:vAlign w:val="center"/>
                </w:tcPr>
                <w:p w14:paraId="005A889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对园区内各企业实现“雨污分流”，污水处理厂出水水质达到园区污水处理厂的进水水质要求，园区污水处理厂的出水水质必须达到再生水处理系统的进水水质，再生水处理系统出水水质必须达到回用水水质。</w:t>
                  </w:r>
                </w:p>
              </w:tc>
              <w:tc>
                <w:tcPr>
                  <w:tcW w:w="1572" w:type="pct"/>
                  <w:tcBorders>
                    <w:top w:val="single" w:color="auto" w:sz="4" w:space="0"/>
                    <w:left w:val="single" w:color="auto" w:sz="4" w:space="0"/>
                    <w:bottom w:val="single" w:color="auto" w:sz="4" w:space="0"/>
                    <w:right w:val="single" w:color="auto" w:sz="4" w:space="0"/>
                  </w:tcBorders>
                  <w:vAlign w:val="center"/>
                </w:tcPr>
                <w:p w14:paraId="2C36FBB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本项目设置的一体化污水处理设施采用A</w:t>
                  </w:r>
                  <w:r>
                    <w:rPr>
                      <w:rFonts w:hint="eastAsia" w:ascii="Times New Roman" w:hAnsi="Times New Roman" w:eastAsia="宋体" w:cs="Times New Roman"/>
                      <w:color w:val="auto"/>
                      <w:vertAlign w:val="superscript"/>
                      <w:lang w:eastAsia="zh-CN" w:bidi="ar"/>
                    </w:rPr>
                    <w:t>2</w:t>
                  </w:r>
                  <w:r>
                    <w:rPr>
                      <w:rFonts w:hint="eastAsia" w:ascii="Times New Roman" w:hAnsi="Times New Roman" w:eastAsia="宋体" w:cs="Times New Roman"/>
                      <w:color w:val="auto"/>
                      <w:lang w:eastAsia="zh-CN" w:bidi="ar"/>
                    </w:rPr>
                    <w:t>/O处理工艺，出水水质可以达到《城市污水再生利用 城市杂用水水质》（GB/T18920-2020）中城市绿化、道路清扫标准。</w:t>
                  </w:r>
                </w:p>
              </w:tc>
              <w:tc>
                <w:tcPr>
                  <w:tcW w:w="523" w:type="pct"/>
                  <w:tcBorders>
                    <w:top w:val="single" w:color="auto" w:sz="4" w:space="0"/>
                    <w:left w:val="single" w:color="auto" w:sz="4" w:space="0"/>
                    <w:bottom w:val="single" w:color="auto" w:sz="4" w:space="0"/>
                    <w:right w:val="single" w:color="auto" w:sz="4" w:space="0"/>
                  </w:tcBorders>
                  <w:vAlign w:val="center"/>
                </w:tcPr>
                <w:p w14:paraId="5463AD2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08B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 w:type="pct"/>
                  <w:tcBorders>
                    <w:top w:val="single" w:color="auto" w:sz="4" w:space="0"/>
                    <w:left w:val="single" w:color="auto" w:sz="4" w:space="0"/>
                    <w:bottom w:val="single" w:color="auto" w:sz="4" w:space="0"/>
                    <w:right w:val="single" w:color="auto" w:sz="4" w:space="0"/>
                  </w:tcBorders>
                  <w:vAlign w:val="center"/>
                </w:tcPr>
                <w:p w14:paraId="14C943F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6</w:t>
                  </w:r>
                </w:p>
              </w:tc>
              <w:tc>
                <w:tcPr>
                  <w:tcW w:w="2625" w:type="pct"/>
                  <w:tcBorders>
                    <w:top w:val="single" w:color="auto" w:sz="4" w:space="0"/>
                    <w:left w:val="single" w:color="auto" w:sz="4" w:space="0"/>
                    <w:bottom w:val="single" w:color="auto" w:sz="4" w:space="0"/>
                    <w:right w:val="single" w:color="auto" w:sz="4" w:space="0"/>
                  </w:tcBorders>
                  <w:vAlign w:val="center"/>
                </w:tcPr>
                <w:p w14:paraId="08416846">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增加对产污企业的执法监督频次，对污水处理设施运行、应急处理设施等重点环节要严把监督关，杜绝偷排漏排现象。对有偷排漏排等行为的企业，加大处罚力度，直至停产整顿或关闭。对造成环境危害的单位要依法追究责任。</w:t>
                  </w:r>
                </w:p>
              </w:tc>
              <w:tc>
                <w:tcPr>
                  <w:tcW w:w="1572" w:type="pct"/>
                  <w:tcBorders>
                    <w:top w:val="single" w:color="auto" w:sz="4" w:space="0"/>
                    <w:left w:val="single" w:color="auto" w:sz="4" w:space="0"/>
                    <w:bottom w:val="single" w:color="auto" w:sz="4" w:space="0"/>
                    <w:right w:val="single" w:color="auto" w:sz="4" w:space="0"/>
                  </w:tcBorders>
                  <w:vAlign w:val="center"/>
                </w:tcPr>
                <w:p w14:paraId="5049FD7A">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w:t>
                  </w:r>
                  <w:r>
                    <w:rPr>
                      <w:rFonts w:hint="eastAsia" w:ascii="Times New Roman" w:hAnsi="Times New Roman" w:eastAsia="宋体" w:cs="Times New Roman"/>
                      <w:snapToGrid/>
                      <w:color w:val="auto"/>
                      <w:lang w:eastAsia="zh-CN" w:bidi="ar"/>
                    </w:rPr>
                    <w:t>建设完成后将依法进行排污许可证申请，配合有关部门监督检查。</w:t>
                  </w:r>
                </w:p>
              </w:tc>
              <w:tc>
                <w:tcPr>
                  <w:tcW w:w="523" w:type="pct"/>
                  <w:tcBorders>
                    <w:top w:val="single" w:color="auto" w:sz="4" w:space="0"/>
                    <w:left w:val="single" w:color="auto" w:sz="4" w:space="0"/>
                    <w:bottom w:val="single" w:color="auto" w:sz="4" w:space="0"/>
                    <w:right w:val="single" w:color="auto" w:sz="4" w:space="0"/>
                  </w:tcBorders>
                  <w:vAlign w:val="center"/>
                </w:tcPr>
                <w:p w14:paraId="418E06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bl>
          <w:p w14:paraId="027B7481">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由上表可知，项目符合《牛栏江流域（云南部分）水环境保护规划（2009~2030）》</w:t>
            </w:r>
            <w:r>
              <w:rPr>
                <w:rFonts w:hint="eastAsia" w:ascii="Times New Roman" w:hAnsi="Times New Roman" w:eastAsia="宋体" w:cs="Times New Roman"/>
                <w:color w:val="auto"/>
                <w:sz w:val="24"/>
                <w:lang w:eastAsia="zh-CN"/>
              </w:rPr>
              <w:t>相关</w:t>
            </w:r>
            <w:r>
              <w:rPr>
                <w:rFonts w:ascii="Times New Roman" w:hAnsi="Times New Roman" w:eastAsia="宋体" w:cs="Times New Roman"/>
                <w:color w:val="auto"/>
                <w:sz w:val="24"/>
                <w:lang w:eastAsia="zh-CN"/>
              </w:rPr>
              <w:t>要求。</w:t>
            </w:r>
          </w:p>
          <w:p w14:paraId="55312D9D">
            <w:pPr>
              <w:pStyle w:val="8"/>
              <w:widowControl/>
              <w:kinsoku/>
              <w:overflowPunct w:val="0"/>
              <w:autoSpaceDE/>
              <w:autoSpaceDN/>
              <w:spacing w:line="360" w:lineRule="auto"/>
              <w:ind w:firstLine="482"/>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6、与《牛栏江流域（寻甸段）水环境保护规划（2011~2030）》的相符性分析</w:t>
            </w:r>
          </w:p>
          <w:p w14:paraId="5AAFC094">
            <w:pPr>
              <w:kinsoku/>
              <w:overflowPunct w:val="0"/>
              <w:autoSpaceDE/>
              <w:autoSpaceDN/>
              <w:spacing w:line="360" w:lineRule="auto"/>
              <w:ind w:firstLine="48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牛栏江流域（寻甸段）水环境保护规划（2011~2030）》可知，牛栏江流域（寻甸段）水环境分区范围涉及规划区干流及主要支流（前进河、羊街河、马龙河等）河流径流区，规划分为三个保护区：水源保护核心区、重点污染控制区、重点水源涵养区；本项目位于云南省昆明市寻甸回族彝族自治县金所街道办事处泽铁村委会栽开居民小组，属于重点污染控制区。对照《牛栏江（寻甸段）水环境保护规划（2011~2030）》对重点污染控制区的水环境保护策略，项目符合性见下表。</w:t>
            </w:r>
          </w:p>
          <w:p w14:paraId="237BC582">
            <w:pPr>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表1-</w:t>
            </w:r>
            <w:r>
              <w:rPr>
                <w:rFonts w:hint="eastAsia" w:cs="Times New Roman"/>
                <w:b/>
                <w:bCs/>
                <w:color w:val="auto"/>
                <w:sz w:val="24"/>
                <w:szCs w:val="24"/>
                <w:lang w:val="en-US" w:eastAsia="zh-CN"/>
              </w:rPr>
              <w:t>5</w:t>
            </w:r>
            <w:r>
              <w:rPr>
                <w:rFonts w:ascii="Times New Roman" w:hAnsi="Times New Roman" w:eastAsia="宋体" w:cs="Times New Roman"/>
                <w:b/>
                <w:bCs/>
                <w:color w:val="auto"/>
                <w:sz w:val="24"/>
                <w:szCs w:val="24"/>
                <w:lang w:eastAsia="zh-CN"/>
              </w:rPr>
              <w:t>《牛栏江（寻甸段）水环境保护规划（2011~2030）》符合表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8"/>
              <w:gridCol w:w="4295"/>
              <w:gridCol w:w="2557"/>
              <w:gridCol w:w="1000"/>
            </w:tblGrid>
            <w:tr w14:paraId="38B44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5E54DA9A">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序号</w:t>
                  </w:r>
                </w:p>
              </w:tc>
              <w:tc>
                <w:tcPr>
                  <w:tcW w:w="4031" w:type="dxa"/>
                  <w:vAlign w:val="center"/>
                </w:tcPr>
                <w:p w14:paraId="78531FA2">
                  <w:pPr>
                    <w:kinsoku/>
                    <w:overflowPunct w:val="0"/>
                    <w:autoSpaceDE/>
                    <w:autoSpaceDN/>
                    <w:adjustRightInd/>
                    <w:snapToGrid/>
                    <w:jc w:val="center"/>
                    <w:rPr>
                      <w:rFonts w:ascii="Times New Roman" w:hAnsi="Times New Roman" w:eastAsia="宋体" w:cs="Times New Roman"/>
                      <w:b/>
                      <w:color w:val="auto"/>
                      <w:lang w:eastAsia="zh-CN"/>
                    </w:rPr>
                  </w:pPr>
                  <w:r>
                    <w:rPr>
                      <w:rFonts w:ascii="Times New Roman" w:hAnsi="Times New Roman" w:eastAsia="宋体" w:cs="Times New Roman"/>
                      <w:b/>
                      <w:color w:val="auto"/>
                      <w:lang w:eastAsia="zh-CN"/>
                    </w:rPr>
                    <w:t>《牛栏江流域（寻甸段）水环境保护规划》重点污染控制区水环境保护策略</w:t>
                  </w:r>
                </w:p>
              </w:tc>
              <w:tc>
                <w:tcPr>
                  <w:tcW w:w="2400" w:type="dxa"/>
                  <w:vAlign w:val="center"/>
                </w:tcPr>
                <w:p w14:paraId="27F173F4">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该项目情况</w:t>
                  </w:r>
                </w:p>
              </w:tc>
              <w:tc>
                <w:tcPr>
                  <w:tcW w:w="938" w:type="dxa"/>
                  <w:vAlign w:val="center"/>
                </w:tcPr>
                <w:p w14:paraId="74FA12E8">
                  <w:pPr>
                    <w:kinsoku/>
                    <w:overflowPunct w:val="0"/>
                    <w:autoSpaceDE/>
                    <w:autoSpaceDN/>
                    <w:adjustRightInd/>
                    <w:snapToGrid/>
                    <w:jc w:val="center"/>
                    <w:rPr>
                      <w:rFonts w:ascii="Times New Roman" w:hAnsi="Times New Roman" w:eastAsia="宋体" w:cs="Times New Roman"/>
                      <w:b/>
                      <w:color w:val="auto"/>
                    </w:rPr>
                  </w:pPr>
                  <w:r>
                    <w:rPr>
                      <w:rFonts w:ascii="Times New Roman" w:hAnsi="Times New Roman" w:eastAsia="宋体" w:cs="Times New Roman"/>
                      <w:b/>
                      <w:color w:val="auto"/>
                    </w:rPr>
                    <w:t>相符性</w:t>
                  </w:r>
                </w:p>
              </w:tc>
            </w:tr>
            <w:tr w14:paraId="5A19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76597234">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1</w:t>
                  </w:r>
                </w:p>
              </w:tc>
              <w:tc>
                <w:tcPr>
                  <w:tcW w:w="4031" w:type="dxa"/>
                  <w:vAlign w:val="center"/>
                </w:tcPr>
                <w:p w14:paraId="607F3803">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加强对重点工业污染源的监督，确保牛栏江流域（寻甸段）内重点企业污水稳定达标排放并实现“零排放”，固体废弃物最大程度重复利用和安全处置，消除工业企业的环境安全隐患，确保环保设施的正常运行，杜绝工业企业偷排、漏排污染物的现象。</w:t>
                  </w:r>
                </w:p>
              </w:tc>
              <w:tc>
                <w:tcPr>
                  <w:tcW w:w="2400" w:type="dxa"/>
                  <w:vAlign w:val="center"/>
                </w:tcPr>
                <w:p w14:paraId="0B94C68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本项目不产生生产废水，生活废水经隔油池、化粪池</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一体化污水处理设施处理后</w:t>
                  </w:r>
                  <w:r>
                    <w:rPr>
                      <w:rFonts w:hint="eastAsia" w:ascii="Times New Roman" w:hAnsi="Times New Roman" w:eastAsia="宋体" w:cs="Times New Roman"/>
                      <w:bCs/>
                      <w:color w:val="auto"/>
                      <w:lang w:eastAsia="zh-CN"/>
                    </w:rPr>
                    <w:t>回用于厂内绿化及降尘</w:t>
                  </w:r>
                  <w:r>
                    <w:rPr>
                      <w:rFonts w:ascii="Times New Roman" w:hAnsi="Times New Roman" w:eastAsia="宋体" w:cs="Times New Roman"/>
                      <w:bCs/>
                      <w:color w:val="auto"/>
                      <w:lang w:eastAsia="zh-CN"/>
                    </w:rPr>
                    <w:t>，不外排</w:t>
                  </w:r>
                  <w:r>
                    <w:rPr>
                      <w:rFonts w:ascii="Times New Roman" w:hAnsi="Times New Roman" w:eastAsia="宋体" w:cs="Times New Roman"/>
                      <w:color w:val="auto"/>
                      <w:lang w:eastAsia="zh-CN"/>
                    </w:rPr>
                    <w:t>。</w:t>
                  </w:r>
                  <w:r>
                    <w:rPr>
                      <w:rFonts w:ascii="Times New Roman" w:hAnsi="Times New Roman" w:eastAsia="宋体" w:cs="Times New Roman"/>
                      <w:bCs/>
                      <w:color w:val="auto"/>
                      <w:lang w:eastAsia="zh-CN"/>
                    </w:rPr>
                    <w:t>本项目废水能够实现“零排放”；固废处置率100%。</w:t>
                  </w:r>
                </w:p>
              </w:tc>
              <w:tc>
                <w:tcPr>
                  <w:tcW w:w="938" w:type="dxa"/>
                  <w:vAlign w:val="center"/>
                </w:tcPr>
                <w:p w14:paraId="658FD631">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符合</w:t>
                  </w:r>
                </w:p>
              </w:tc>
            </w:tr>
            <w:tr w14:paraId="1C75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05" w:type="dxa"/>
                  <w:vAlign w:val="center"/>
                </w:tcPr>
                <w:p w14:paraId="0EA4BF17">
                  <w:pPr>
                    <w:kinsoku/>
                    <w:overflowPunct w:val="0"/>
                    <w:autoSpaceDE/>
                    <w:autoSpaceDN/>
                    <w:adjustRightInd/>
                    <w:snapToGrid/>
                    <w:jc w:val="center"/>
                    <w:rPr>
                      <w:rFonts w:ascii="Times New Roman" w:hAnsi="Times New Roman" w:eastAsia="宋体" w:cs="Times New Roman"/>
                      <w:bCs/>
                      <w:color w:val="auto"/>
                    </w:rPr>
                  </w:pPr>
                  <w:r>
                    <w:rPr>
                      <w:rFonts w:ascii="Times New Roman" w:hAnsi="Times New Roman" w:eastAsia="宋体" w:cs="Times New Roman"/>
                      <w:bCs/>
                      <w:color w:val="auto"/>
                    </w:rPr>
                    <w:t>2</w:t>
                  </w:r>
                </w:p>
              </w:tc>
              <w:tc>
                <w:tcPr>
                  <w:tcW w:w="4031" w:type="dxa"/>
                  <w:vAlign w:val="center"/>
                </w:tcPr>
                <w:p w14:paraId="61439C5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建设再生水回用系统，污染控制区内不得建设不符合国家产业政策的工业项目及高污染工业项目；新增工业项目废水不得排放有毒有害物质，改扩建项目不得新增COD、TN、TP排放量；新增、改建、扩建工业项目应采用先进的生产工艺和污染防治技术，其清洁生产水平达到国家清洁生产标准中的国内先进水平。</w:t>
                  </w:r>
                </w:p>
              </w:tc>
              <w:tc>
                <w:tcPr>
                  <w:tcW w:w="2400" w:type="dxa"/>
                  <w:vAlign w:val="center"/>
                </w:tcPr>
                <w:p w14:paraId="79D0836C">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本项目不属于不符合国家产业政策的工业项目及高污染工业项目；本项目不产生生产废水，生活废水</w:t>
                  </w:r>
                  <w:r>
                    <w:rPr>
                      <w:rFonts w:hint="eastAsia" w:ascii="Times New Roman" w:hAnsi="Times New Roman" w:eastAsia="宋体" w:cs="Times New Roman"/>
                      <w:bCs/>
                      <w:color w:val="auto"/>
                      <w:lang w:eastAsia="zh-CN"/>
                    </w:rPr>
                    <w:t>中无有毒有害物质；本项目设置的布袋除尘器处理效率99%，可达到国内先进水平。</w:t>
                  </w:r>
                </w:p>
              </w:tc>
              <w:tc>
                <w:tcPr>
                  <w:tcW w:w="938" w:type="dxa"/>
                  <w:vAlign w:val="center"/>
                </w:tcPr>
                <w:p w14:paraId="4F4EC8AF">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符合</w:t>
                  </w:r>
                </w:p>
              </w:tc>
            </w:tr>
          </w:tbl>
          <w:p w14:paraId="6D025366">
            <w:pPr>
              <w:pStyle w:val="8"/>
              <w:widowControl/>
              <w:kinsoku/>
              <w:overflowPunct w:val="0"/>
              <w:autoSpaceDE/>
              <w:autoSpaceDN/>
              <w:spacing w:line="360" w:lineRule="auto"/>
              <w:ind w:firstLine="480"/>
              <w:rPr>
                <w:rFonts w:ascii="Times New Roman" w:hAnsi="Times New Roman" w:eastAsia="宋体" w:cs="Times New Roman"/>
                <w:color w:val="auto"/>
                <w:kern w:val="0"/>
                <w:sz w:val="24"/>
                <w:lang w:eastAsia="zh-CN"/>
              </w:rPr>
            </w:pPr>
            <w:r>
              <w:rPr>
                <w:rFonts w:ascii="Times New Roman" w:hAnsi="Times New Roman" w:eastAsia="宋体" w:cs="Times New Roman"/>
                <w:color w:val="auto"/>
                <w:kern w:val="0"/>
                <w:sz w:val="24"/>
                <w:lang w:eastAsia="zh-CN"/>
              </w:rPr>
              <w:t>由上表可知，项目符合《牛栏江流域（寻甸段）水环境保护规划》对重点污染控制区的相关要求。</w:t>
            </w:r>
          </w:p>
          <w:p w14:paraId="0D466BC4">
            <w:pPr>
              <w:pStyle w:val="8"/>
              <w:widowControl/>
              <w:kinsoku/>
              <w:overflowPunct w:val="0"/>
              <w:autoSpaceDE/>
              <w:autoSpaceDN/>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7、与《长江经济带发展负面清单指南（试行，2022年版）》符合性分析</w:t>
            </w:r>
          </w:p>
          <w:p w14:paraId="61A0ED7B">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年</w:t>
            </w:r>
            <w:r>
              <w:rPr>
                <w:rFonts w:ascii="Times New Roman" w:hAnsi="Times New Roman" w:eastAsia="宋体" w:cs="Times New Roman"/>
                <w:snapToGrid/>
                <w:color w:val="auto"/>
                <w:kern w:val="2"/>
                <w:sz w:val="24"/>
                <w:szCs w:val="24"/>
                <w:lang w:eastAsia="zh-CN"/>
              </w:rPr>
              <w:t>1</w:t>
            </w:r>
            <w:r>
              <w:rPr>
                <w:rFonts w:hint="eastAsia" w:ascii="Times New Roman" w:hAnsi="Times New Roman" w:eastAsia="宋体" w:cs="Times New Roman"/>
                <w:snapToGrid/>
                <w:color w:val="auto"/>
                <w:kern w:val="2"/>
                <w:sz w:val="24"/>
                <w:szCs w:val="24"/>
                <w:lang w:eastAsia="zh-CN"/>
              </w:rPr>
              <w:t>月</w:t>
            </w:r>
            <w:r>
              <w:rPr>
                <w:rFonts w:ascii="Times New Roman" w:hAnsi="Times New Roman" w:eastAsia="宋体" w:cs="Times New Roman"/>
                <w:snapToGrid/>
                <w:color w:val="auto"/>
                <w:kern w:val="2"/>
                <w:sz w:val="24"/>
                <w:szCs w:val="24"/>
                <w:lang w:eastAsia="zh-CN"/>
              </w:rPr>
              <w:t>19</w:t>
            </w:r>
            <w:r>
              <w:rPr>
                <w:rFonts w:hint="eastAsia" w:ascii="Times New Roman" w:hAnsi="Times New Roman" w:eastAsia="宋体" w:cs="Times New Roman"/>
                <w:snapToGrid/>
                <w:color w:val="auto"/>
                <w:kern w:val="2"/>
                <w:sz w:val="24"/>
                <w:szCs w:val="24"/>
                <w:lang w:eastAsia="zh-CN"/>
              </w:rPr>
              <w:t>日，推动长江经济带发展领导小组办公室发布了《长江经济带发展负面清单指南（试行，</w:t>
            </w: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年版）》（长江办〔</w:t>
            </w:r>
            <w:r>
              <w:rPr>
                <w:rFonts w:ascii="Times New Roman" w:hAnsi="Times New Roman" w:eastAsia="宋体" w:cs="Times New Roman"/>
                <w:snapToGrid/>
                <w:color w:val="auto"/>
                <w:kern w:val="2"/>
                <w:sz w:val="24"/>
                <w:szCs w:val="24"/>
                <w:lang w:eastAsia="zh-CN"/>
              </w:rPr>
              <w:t>2022</w:t>
            </w:r>
            <w:r>
              <w:rPr>
                <w:rFonts w:hint="eastAsia" w:ascii="Times New Roman" w:hAnsi="Times New Roman" w:eastAsia="宋体" w:cs="Times New Roman"/>
                <w:snapToGrid/>
                <w:color w:val="auto"/>
                <w:kern w:val="2"/>
                <w:sz w:val="24"/>
                <w:szCs w:val="24"/>
                <w:lang w:eastAsia="zh-CN"/>
              </w:rPr>
              <w:t>〕</w:t>
            </w:r>
            <w:r>
              <w:rPr>
                <w:rFonts w:ascii="Times New Roman" w:hAnsi="Times New Roman" w:eastAsia="宋体" w:cs="Times New Roman"/>
                <w:snapToGrid/>
                <w:color w:val="auto"/>
                <w:kern w:val="2"/>
                <w:sz w:val="24"/>
                <w:szCs w:val="24"/>
                <w:lang w:eastAsia="zh-CN"/>
              </w:rPr>
              <w:t>7</w:t>
            </w:r>
            <w:r>
              <w:rPr>
                <w:rFonts w:hint="eastAsia" w:ascii="Times New Roman" w:hAnsi="Times New Roman" w:eastAsia="宋体" w:cs="Times New Roman"/>
                <w:snapToGrid/>
                <w:color w:val="auto"/>
                <w:kern w:val="2"/>
                <w:sz w:val="24"/>
                <w:szCs w:val="24"/>
                <w:lang w:eastAsia="zh-CN"/>
              </w:rPr>
              <w:t>号）。本项目与文件中相关要求的符合性分析见下表：</w:t>
            </w:r>
          </w:p>
          <w:p w14:paraId="75C3791F">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w:t>
            </w:r>
            <w:r>
              <w:rPr>
                <w:rFonts w:ascii="Times New Roman" w:hAnsi="Times New Roman" w:eastAsia="宋体" w:cs="Times New Roman"/>
                <w:b/>
                <w:snapToGrid/>
                <w:color w:val="auto"/>
                <w:kern w:val="2"/>
                <w:sz w:val="24"/>
                <w:szCs w:val="24"/>
                <w:lang w:eastAsia="zh-CN" w:bidi="ar"/>
              </w:rPr>
              <w:t>1-</w:t>
            </w:r>
            <w:r>
              <w:rPr>
                <w:rFonts w:hint="eastAsia" w:cs="Times New Roman"/>
                <w:b/>
                <w:snapToGrid/>
                <w:color w:val="auto"/>
                <w:kern w:val="2"/>
                <w:sz w:val="24"/>
                <w:szCs w:val="24"/>
                <w:lang w:val="en-US" w:eastAsia="zh-CN" w:bidi="ar"/>
              </w:rPr>
              <w:t>6</w:t>
            </w:r>
            <w:r>
              <w:rPr>
                <w:rFonts w:hint="eastAsia" w:ascii="Times New Roman" w:hAnsi="Times New Roman" w:eastAsia="宋体" w:cs="Times New Roman"/>
                <w:b/>
                <w:snapToGrid/>
                <w:color w:val="auto"/>
                <w:kern w:val="2"/>
                <w:sz w:val="24"/>
                <w:szCs w:val="24"/>
                <w:lang w:eastAsia="zh-CN" w:bidi="ar"/>
              </w:rPr>
              <w:t>本项目与《长江经济带发展负面清单指南（试行，</w:t>
            </w:r>
            <w:r>
              <w:rPr>
                <w:rFonts w:ascii="Times New Roman" w:hAnsi="Times New Roman" w:eastAsia="宋体" w:cs="Times New Roman"/>
                <w:b/>
                <w:snapToGrid/>
                <w:color w:val="auto"/>
                <w:kern w:val="2"/>
                <w:sz w:val="24"/>
                <w:szCs w:val="24"/>
                <w:lang w:eastAsia="zh-CN" w:bidi="ar"/>
              </w:rPr>
              <w:t>2022</w:t>
            </w:r>
            <w:r>
              <w:rPr>
                <w:rFonts w:hint="eastAsia" w:ascii="Times New Roman" w:hAnsi="Times New Roman" w:eastAsia="宋体" w:cs="Times New Roman"/>
                <w:b/>
                <w:snapToGrid/>
                <w:color w:val="auto"/>
                <w:kern w:val="2"/>
                <w:sz w:val="24"/>
                <w:szCs w:val="24"/>
                <w:lang w:eastAsia="zh-CN" w:bidi="ar"/>
              </w:rPr>
              <w:t>年版）》的符合性分析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3693"/>
              <w:gridCol w:w="3381"/>
              <w:gridCol w:w="856"/>
            </w:tblGrid>
            <w:tr w14:paraId="47104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670A9A9D">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序号</w:t>
                  </w:r>
                </w:p>
              </w:tc>
              <w:tc>
                <w:tcPr>
                  <w:tcW w:w="2200" w:type="pct"/>
                  <w:tcBorders>
                    <w:top w:val="single" w:color="auto" w:sz="4" w:space="0"/>
                    <w:left w:val="single" w:color="auto" w:sz="4" w:space="0"/>
                    <w:bottom w:val="single" w:color="auto" w:sz="4" w:space="0"/>
                    <w:right w:val="single" w:color="auto" w:sz="4" w:space="0"/>
                  </w:tcBorders>
                  <w:vAlign w:val="center"/>
                </w:tcPr>
                <w:p w14:paraId="1CDA58B9">
                  <w:pPr>
                    <w:kinsoku/>
                    <w:overflowPunct w:val="0"/>
                    <w:autoSpaceDE/>
                    <w:autoSpaceDN/>
                    <w:adjustRightInd/>
                    <w:snapToGrid/>
                    <w:jc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相关要求</w:t>
                  </w:r>
                </w:p>
              </w:tc>
              <w:tc>
                <w:tcPr>
                  <w:tcW w:w="2014" w:type="pct"/>
                  <w:tcBorders>
                    <w:top w:val="single" w:color="auto" w:sz="4" w:space="0"/>
                    <w:left w:val="single" w:color="auto" w:sz="4" w:space="0"/>
                    <w:bottom w:val="single" w:color="auto" w:sz="4" w:space="0"/>
                    <w:right w:val="single" w:color="auto" w:sz="4" w:space="0"/>
                  </w:tcBorders>
                  <w:vAlign w:val="center"/>
                </w:tcPr>
                <w:p w14:paraId="7F8A62F5">
                  <w:pPr>
                    <w:kinsoku/>
                    <w:overflowPunct w:val="0"/>
                    <w:autoSpaceDE/>
                    <w:autoSpaceDN/>
                    <w:adjustRightInd/>
                    <w:snapToGrid/>
                    <w:jc w:val="center"/>
                    <w:textAlignment w:val="auto"/>
                    <w:rPr>
                      <w:rFonts w:ascii="Times New Roman" w:hAnsi="Times New Roman" w:eastAsia="宋体" w:cs="Times New Roman"/>
                      <w:b/>
                      <w:bCs/>
                      <w:snapToGrid/>
                      <w:color w:val="auto"/>
                      <w:lang w:eastAsia="zh-CN"/>
                    </w:rPr>
                  </w:pPr>
                  <w:r>
                    <w:rPr>
                      <w:rFonts w:hint="eastAsia" w:ascii="Times New Roman" w:hAnsi="Times New Roman" w:eastAsia="宋体" w:cs="Times New Roman"/>
                      <w:b/>
                      <w:bCs/>
                      <w:snapToGrid/>
                      <w:color w:val="auto"/>
                      <w:lang w:eastAsia="zh-CN" w:bidi="ar"/>
                    </w:rPr>
                    <w:t>项目情况</w:t>
                  </w:r>
                </w:p>
              </w:tc>
              <w:tc>
                <w:tcPr>
                  <w:tcW w:w="510" w:type="pct"/>
                  <w:tcBorders>
                    <w:top w:val="single" w:color="auto" w:sz="4" w:space="0"/>
                    <w:left w:val="single" w:color="auto" w:sz="4" w:space="0"/>
                    <w:bottom w:val="single" w:color="auto" w:sz="4" w:space="0"/>
                    <w:right w:val="single" w:color="auto" w:sz="4" w:space="0"/>
                  </w:tcBorders>
                  <w:vAlign w:val="center"/>
                </w:tcPr>
                <w:p w14:paraId="7B034238">
                  <w:pPr>
                    <w:kinsoku/>
                    <w:overflowPunct w:val="0"/>
                    <w:autoSpaceDE/>
                    <w:autoSpaceDN/>
                    <w:adjustRightInd/>
                    <w:snapToGrid/>
                    <w:jc w:val="center"/>
                    <w:textAlignment w:val="auto"/>
                    <w:rPr>
                      <w:rFonts w:ascii="Times New Roman" w:hAnsi="Times New Roman" w:eastAsia="宋体" w:cs="Times New Roman"/>
                      <w:b/>
                      <w:bCs/>
                      <w:snapToGrid/>
                      <w:color w:val="auto"/>
                      <w:lang w:eastAsia="zh-CN"/>
                    </w:rPr>
                  </w:pPr>
                  <w:r>
                    <w:rPr>
                      <w:rFonts w:hint="eastAsia" w:ascii="Times New Roman" w:hAnsi="Times New Roman" w:eastAsia="宋体" w:cs="Times New Roman"/>
                      <w:b/>
                      <w:bCs/>
                      <w:snapToGrid/>
                      <w:color w:val="auto"/>
                      <w:lang w:eastAsia="zh-CN" w:bidi="ar"/>
                    </w:rPr>
                    <w:t>符合性</w:t>
                  </w:r>
                </w:p>
              </w:tc>
            </w:tr>
            <w:tr w14:paraId="747B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56EE964D">
                  <w:pPr>
                    <w:kinsoku/>
                    <w:overflowPunct w:val="0"/>
                    <w:autoSpaceDE/>
                    <w:autoSpaceDN/>
                    <w:adjustRightInd/>
                    <w:snapToGrid/>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bidi="ar"/>
                    </w:rPr>
                    <w:t>1</w:t>
                  </w:r>
                </w:p>
              </w:tc>
              <w:tc>
                <w:tcPr>
                  <w:tcW w:w="2200" w:type="pct"/>
                  <w:tcBorders>
                    <w:top w:val="single" w:color="auto" w:sz="4" w:space="0"/>
                    <w:left w:val="single" w:color="auto" w:sz="4" w:space="0"/>
                    <w:bottom w:val="single" w:color="auto" w:sz="4" w:space="0"/>
                    <w:right w:val="single" w:color="auto" w:sz="4" w:space="0"/>
                  </w:tcBorders>
                  <w:vAlign w:val="center"/>
                </w:tcPr>
                <w:p w14:paraId="1A08DAD9">
                  <w:pPr>
                    <w:kinsoku/>
                    <w:overflowPunct w:val="0"/>
                    <w:autoSpaceDE/>
                    <w:autoSpaceDN/>
                    <w:adjustRightInd/>
                    <w:snapToGrid/>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禁止建设不符合全国和省级港口布局规划以及港口总体规划的码头项目，禁止建设不符合《长江干线过江通道布局规划》的过长江通道项目。</w:t>
                  </w:r>
                </w:p>
              </w:tc>
              <w:tc>
                <w:tcPr>
                  <w:tcW w:w="2014" w:type="pct"/>
                  <w:tcBorders>
                    <w:top w:val="single" w:color="auto" w:sz="4" w:space="0"/>
                    <w:left w:val="single" w:color="auto" w:sz="4" w:space="0"/>
                    <w:bottom w:val="single" w:color="auto" w:sz="4" w:space="0"/>
                    <w:right w:val="single" w:color="auto" w:sz="4" w:space="0"/>
                  </w:tcBorders>
                  <w:vAlign w:val="center"/>
                </w:tcPr>
                <w:p w14:paraId="60C06643">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，不属于码头项目。</w:t>
                  </w:r>
                </w:p>
              </w:tc>
              <w:tc>
                <w:tcPr>
                  <w:tcW w:w="510" w:type="pct"/>
                  <w:tcBorders>
                    <w:top w:val="single" w:color="auto" w:sz="4" w:space="0"/>
                    <w:left w:val="single" w:color="auto" w:sz="4" w:space="0"/>
                    <w:bottom w:val="single" w:color="auto" w:sz="4" w:space="0"/>
                    <w:right w:val="single" w:color="auto" w:sz="4" w:space="0"/>
                  </w:tcBorders>
                  <w:vAlign w:val="center"/>
                </w:tcPr>
                <w:p w14:paraId="501FF15B">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2A572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2E011C32">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2</w:t>
                  </w:r>
                </w:p>
              </w:tc>
              <w:tc>
                <w:tcPr>
                  <w:tcW w:w="2200" w:type="pct"/>
                  <w:tcBorders>
                    <w:top w:val="single" w:color="auto" w:sz="4" w:space="0"/>
                    <w:left w:val="single" w:color="auto" w:sz="4" w:space="0"/>
                    <w:bottom w:val="single" w:color="auto" w:sz="4" w:space="0"/>
                    <w:right w:val="single" w:color="auto" w:sz="4" w:space="0"/>
                  </w:tcBorders>
                  <w:vAlign w:val="center"/>
                </w:tcPr>
                <w:p w14:paraId="7BA3746A">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禁止在自然保护区核心区、缓冲区的岸线和河段范围内投资建设旅游和生产经营项目。禁止在风景名胜区核心景区的岸线和河段范围内投资建设与风景名胜资源保护无关的项目。</w:t>
                  </w:r>
                </w:p>
              </w:tc>
              <w:tc>
                <w:tcPr>
                  <w:tcW w:w="2014" w:type="pct"/>
                  <w:tcBorders>
                    <w:top w:val="single" w:color="auto" w:sz="4" w:space="0"/>
                    <w:left w:val="single" w:color="auto" w:sz="4" w:space="0"/>
                    <w:bottom w:val="single" w:color="auto" w:sz="4" w:space="0"/>
                    <w:right w:val="single" w:color="auto" w:sz="4" w:space="0"/>
                  </w:tcBorders>
                  <w:vAlign w:val="center"/>
                </w:tcPr>
                <w:p w14:paraId="48B606EF">
                  <w:pPr>
                    <w:kinsoku/>
                    <w:overflowPunct w:val="0"/>
                    <w:autoSpaceDE/>
                    <w:autoSpaceDN/>
                    <w:adjustRightInd/>
                    <w:snapToGrid/>
                    <w:jc w:val="both"/>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本项目位于云南省昆明市寻甸回族彝族自治县金所街道办事处泽铁村委会栽开居民小组，不在自然保护区核心区、缓冲区及风景名胜区核心景区的岸线和河段范围内。</w:t>
                  </w:r>
                </w:p>
              </w:tc>
              <w:tc>
                <w:tcPr>
                  <w:tcW w:w="510" w:type="pct"/>
                  <w:tcBorders>
                    <w:top w:val="single" w:color="auto" w:sz="4" w:space="0"/>
                    <w:left w:val="single" w:color="auto" w:sz="4" w:space="0"/>
                    <w:bottom w:val="single" w:color="auto" w:sz="4" w:space="0"/>
                    <w:right w:val="single" w:color="auto" w:sz="4" w:space="0"/>
                  </w:tcBorders>
                  <w:vAlign w:val="center"/>
                </w:tcPr>
                <w:p w14:paraId="0A34E58E">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55496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6D6D518B">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3</w:t>
                  </w:r>
                </w:p>
              </w:tc>
              <w:tc>
                <w:tcPr>
                  <w:tcW w:w="2200" w:type="pct"/>
                  <w:tcBorders>
                    <w:top w:val="single" w:color="auto" w:sz="4" w:space="0"/>
                    <w:left w:val="single" w:color="auto" w:sz="4" w:space="0"/>
                    <w:bottom w:val="single" w:color="auto" w:sz="4" w:space="0"/>
                    <w:right w:val="single" w:color="auto" w:sz="4" w:space="0"/>
                  </w:tcBorders>
                  <w:vAlign w:val="center"/>
                </w:tcPr>
                <w:p w14:paraId="15DE29CD">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014" w:type="pct"/>
                  <w:tcBorders>
                    <w:top w:val="single" w:color="auto" w:sz="4" w:space="0"/>
                    <w:left w:val="single" w:color="auto" w:sz="4" w:space="0"/>
                    <w:bottom w:val="single" w:color="auto" w:sz="4" w:space="0"/>
                    <w:right w:val="single" w:color="auto" w:sz="4" w:space="0"/>
                  </w:tcBorders>
                  <w:vAlign w:val="center"/>
                </w:tcPr>
                <w:p w14:paraId="06F64AF5">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本项目不涉及饮用水水源一级、二级保护区。</w:t>
                  </w:r>
                </w:p>
              </w:tc>
              <w:tc>
                <w:tcPr>
                  <w:tcW w:w="510" w:type="pct"/>
                  <w:tcBorders>
                    <w:top w:val="single" w:color="auto" w:sz="4" w:space="0"/>
                    <w:left w:val="single" w:color="auto" w:sz="4" w:space="0"/>
                    <w:bottom w:val="single" w:color="auto" w:sz="4" w:space="0"/>
                    <w:right w:val="single" w:color="auto" w:sz="4" w:space="0"/>
                  </w:tcBorders>
                  <w:vAlign w:val="center"/>
                </w:tcPr>
                <w:p w14:paraId="31A6564C">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4D00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7CAA981F">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4</w:t>
                  </w:r>
                </w:p>
              </w:tc>
              <w:tc>
                <w:tcPr>
                  <w:tcW w:w="2200" w:type="pct"/>
                  <w:tcBorders>
                    <w:top w:val="single" w:color="auto" w:sz="4" w:space="0"/>
                    <w:left w:val="single" w:color="auto" w:sz="4" w:space="0"/>
                    <w:bottom w:val="single" w:color="auto" w:sz="4" w:space="0"/>
                    <w:right w:val="single" w:color="auto" w:sz="4" w:space="0"/>
                  </w:tcBorders>
                  <w:vAlign w:val="center"/>
                </w:tcPr>
                <w:p w14:paraId="379ADC91">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014" w:type="pct"/>
                  <w:tcBorders>
                    <w:top w:val="single" w:color="auto" w:sz="4" w:space="0"/>
                    <w:left w:val="single" w:color="auto" w:sz="4" w:space="0"/>
                    <w:bottom w:val="single" w:color="auto" w:sz="4" w:space="0"/>
                    <w:right w:val="single" w:color="auto" w:sz="4" w:space="0"/>
                  </w:tcBorders>
                  <w:vAlign w:val="center"/>
                </w:tcPr>
                <w:p w14:paraId="4B0C7187">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本项目位于云南省昆明市寻甸回族彝族自治县金所街道办事处泽铁村委会栽开居民小组，不在水产种质资源保护区及国家湿地公园的岸线和河段范围内。</w:t>
                  </w:r>
                </w:p>
              </w:tc>
              <w:tc>
                <w:tcPr>
                  <w:tcW w:w="510" w:type="pct"/>
                  <w:tcBorders>
                    <w:top w:val="single" w:color="auto" w:sz="4" w:space="0"/>
                    <w:left w:val="single" w:color="auto" w:sz="4" w:space="0"/>
                    <w:bottom w:val="single" w:color="auto" w:sz="4" w:space="0"/>
                    <w:right w:val="single" w:color="auto" w:sz="4" w:space="0"/>
                  </w:tcBorders>
                  <w:vAlign w:val="center"/>
                </w:tcPr>
                <w:p w14:paraId="376C337E">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661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1B0035A1">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5</w:t>
                  </w:r>
                </w:p>
              </w:tc>
              <w:tc>
                <w:tcPr>
                  <w:tcW w:w="2200" w:type="pct"/>
                  <w:tcBorders>
                    <w:top w:val="single" w:color="auto" w:sz="4" w:space="0"/>
                    <w:left w:val="single" w:color="auto" w:sz="4" w:space="0"/>
                    <w:bottom w:val="single" w:color="auto" w:sz="4" w:space="0"/>
                    <w:right w:val="single" w:color="auto" w:sz="4" w:space="0"/>
                  </w:tcBorders>
                  <w:vAlign w:val="center"/>
                </w:tcPr>
                <w:p w14:paraId="721614A9">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014" w:type="pct"/>
                  <w:tcBorders>
                    <w:top w:val="single" w:color="auto" w:sz="4" w:space="0"/>
                    <w:left w:val="single" w:color="auto" w:sz="4" w:space="0"/>
                    <w:bottom w:val="single" w:color="auto" w:sz="4" w:space="0"/>
                    <w:right w:val="single" w:color="auto" w:sz="4" w:space="0"/>
                  </w:tcBorders>
                  <w:vAlign w:val="center"/>
                </w:tcPr>
                <w:p w14:paraId="542399EB">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kern w:val="2"/>
                      <w:lang w:eastAsia="zh-CN"/>
                    </w:rPr>
                    <w:t>本项目附近地表水体为东北侧1050m处的潘所海，</w:t>
                  </w:r>
                  <w:r>
                    <w:rPr>
                      <w:rFonts w:hint="eastAsia" w:ascii="Times New Roman" w:hAnsi="Times New Roman" w:eastAsia="宋体" w:cs="Times New Roman"/>
                      <w:snapToGrid/>
                      <w:color w:val="auto"/>
                      <w:lang w:eastAsia="zh-CN" w:bidi="ar"/>
                    </w:rPr>
                    <w:t>不在长江流域河湖岸线、《长江岸线保护和开发利用总体规划》划定的岸线保护区和保留区以及《全国重要江河湖泊水功能区划》划定的河段及湖泊保护区、保留区内。</w:t>
                  </w:r>
                </w:p>
              </w:tc>
              <w:tc>
                <w:tcPr>
                  <w:tcW w:w="510" w:type="pct"/>
                  <w:tcBorders>
                    <w:top w:val="single" w:color="auto" w:sz="4" w:space="0"/>
                    <w:left w:val="single" w:color="auto" w:sz="4" w:space="0"/>
                    <w:bottom w:val="single" w:color="auto" w:sz="4" w:space="0"/>
                    <w:right w:val="single" w:color="auto" w:sz="4" w:space="0"/>
                  </w:tcBorders>
                  <w:vAlign w:val="center"/>
                </w:tcPr>
                <w:p w14:paraId="74D4B664">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2474F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2B3443CF">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6</w:t>
                  </w:r>
                </w:p>
              </w:tc>
              <w:tc>
                <w:tcPr>
                  <w:tcW w:w="2200" w:type="pct"/>
                  <w:tcBorders>
                    <w:top w:val="single" w:color="auto" w:sz="4" w:space="0"/>
                    <w:left w:val="single" w:color="auto" w:sz="4" w:space="0"/>
                    <w:bottom w:val="single" w:color="auto" w:sz="4" w:space="0"/>
                    <w:right w:val="single" w:color="auto" w:sz="4" w:space="0"/>
                  </w:tcBorders>
                  <w:vAlign w:val="center"/>
                </w:tcPr>
                <w:p w14:paraId="0F1A163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禁止未经许可在长江干支流及湖泊新设、改设或扩大排污口。</w:t>
                  </w:r>
                </w:p>
              </w:tc>
              <w:tc>
                <w:tcPr>
                  <w:tcW w:w="2014" w:type="pct"/>
                  <w:tcBorders>
                    <w:top w:val="single" w:color="auto" w:sz="4" w:space="0"/>
                    <w:left w:val="single" w:color="auto" w:sz="4" w:space="0"/>
                    <w:bottom w:val="single" w:color="auto" w:sz="4" w:space="0"/>
                    <w:right w:val="single" w:color="auto" w:sz="4" w:space="0"/>
                  </w:tcBorders>
                  <w:vAlign w:val="center"/>
                </w:tcPr>
                <w:p w14:paraId="76D24644">
                  <w:pPr>
                    <w:kinsoku/>
                    <w:overflowPunct w:val="0"/>
                    <w:autoSpaceDE/>
                    <w:autoSpaceDN/>
                    <w:adjustRightInd/>
                    <w:snapToGrid/>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本项目不新设、改设或扩大排污口。</w:t>
                  </w:r>
                </w:p>
              </w:tc>
              <w:tc>
                <w:tcPr>
                  <w:tcW w:w="510" w:type="pct"/>
                  <w:tcBorders>
                    <w:top w:val="single" w:color="auto" w:sz="4" w:space="0"/>
                    <w:left w:val="single" w:color="auto" w:sz="4" w:space="0"/>
                    <w:bottom w:val="single" w:color="auto" w:sz="4" w:space="0"/>
                    <w:right w:val="single" w:color="auto" w:sz="4" w:space="0"/>
                  </w:tcBorders>
                  <w:vAlign w:val="center"/>
                </w:tcPr>
                <w:p w14:paraId="7BDE9131">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00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35B2E71D">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7</w:t>
                  </w:r>
                </w:p>
              </w:tc>
              <w:tc>
                <w:tcPr>
                  <w:tcW w:w="2200" w:type="pct"/>
                  <w:tcBorders>
                    <w:top w:val="single" w:color="auto" w:sz="4" w:space="0"/>
                    <w:left w:val="single" w:color="auto" w:sz="4" w:space="0"/>
                    <w:bottom w:val="single" w:color="auto" w:sz="4" w:space="0"/>
                    <w:right w:val="single" w:color="auto" w:sz="4" w:space="0"/>
                  </w:tcBorders>
                  <w:vAlign w:val="center"/>
                </w:tcPr>
                <w:p w14:paraId="2B5920E6">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禁止在“一江一口两湖七河”和</w:t>
                  </w:r>
                  <w:r>
                    <w:rPr>
                      <w:rFonts w:ascii="Times New Roman" w:hAnsi="Times New Roman" w:eastAsia="宋体" w:cs="Times New Roman"/>
                      <w:snapToGrid/>
                      <w:color w:val="auto"/>
                      <w:lang w:eastAsia="zh-CN" w:bidi="ar"/>
                    </w:rPr>
                    <w:t>332</w:t>
                  </w:r>
                  <w:r>
                    <w:rPr>
                      <w:rFonts w:hint="eastAsia" w:ascii="Times New Roman" w:hAnsi="Times New Roman" w:eastAsia="宋体" w:cs="Times New Roman"/>
                      <w:snapToGrid/>
                      <w:color w:val="auto"/>
                      <w:lang w:eastAsia="zh-CN" w:bidi="ar"/>
                    </w:rPr>
                    <w:t>个水生生物保护区开展生产性捕捞。</w:t>
                  </w:r>
                </w:p>
              </w:tc>
              <w:tc>
                <w:tcPr>
                  <w:tcW w:w="2014" w:type="pct"/>
                  <w:tcBorders>
                    <w:top w:val="single" w:color="auto" w:sz="4" w:space="0"/>
                    <w:left w:val="single" w:color="auto" w:sz="4" w:space="0"/>
                    <w:bottom w:val="single" w:color="auto" w:sz="4" w:space="0"/>
                    <w:right w:val="single" w:color="auto" w:sz="4" w:space="0"/>
                  </w:tcBorders>
                  <w:vAlign w:val="center"/>
                </w:tcPr>
                <w:p w14:paraId="154FD779">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本项目不涉及生产性捕捞。</w:t>
                  </w:r>
                </w:p>
              </w:tc>
              <w:tc>
                <w:tcPr>
                  <w:tcW w:w="510" w:type="pct"/>
                  <w:tcBorders>
                    <w:top w:val="single" w:color="auto" w:sz="4" w:space="0"/>
                    <w:left w:val="single" w:color="auto" w:sz="4" w:space="0"/>
                    <w:bottom w:val="single" w:color="auto" w:sz="4" w:space="0"/>
                    <w:right w:val="single" w:color="auto" w:sz="4" w:space="0"/>
                  </w:tcBorders>
                  <w:vAlign w:val="center"/>
                </w:tcPr>
                <w:p w14:paraId="3309EE1C">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1F93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726E746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8</w:t>
                  </w:r>
                </w:p>
              </w:tc>
              <w:tc>
                <w:tcPr>
                  <w:tcW w:w="2200" w:type="pct"/>
                  <w:tcBorders>
                    <w:top w:val="single" w:color="auto" w:sz="4" w:space="0"/>
                    <w:left w:val="single" w:color="auto" w:sz="4" w:space="0"/>
                    <w:bottom w:val="single" w:color="auto" w:sz="4" w:space="0"/>
                    <w:right w:val="single" w:color="auto" w:sz="4" w:space="0"/>
                  </w:tcBorders>
                  <w:vAlign w:val="center"/>
                </w:tcPr>
                <w:p w14:paraId="1274EF7C">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014" w:type="pct"/>
                  <w:tcBorders>
                    <w:top w:val="single" w:color="auto" w:sz="4" w:space="0"/>
                    <w:left w:val="single" w:color="auto" w:sz="4" w:space="0"/>
                    <w:bottom w:val="single" w:color="auto" w:sz="4" w:space="0"/>
                    <w:right w:val="single" w:color="auto" w:sz="4" w:space="0"/>
                  </w:tcBorders>
                  <w:vAlign w:val="center"/>
                </w:tcPr>
                <w:p w14:paraId="2B142DF5">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，不涉及化工园区和化工项目的新建和扩建，也不涉及尾矿库、冶炼渣库和磷石膏库。</w:t>
                  </w:r>
                </w:p>
              </w:tc>
              <w:tc>
                <w:tcPr>
                  <w:tcW w:w="510" w:type="pct"/>
                  <w:tcBorders>
                    <w:top w:val="single" w:color="auto" w:sz="4" w:space="0"/>
                    <w:left w:val="single" w:color="auto" w:sz="4" w:space="0"/>
                    <w:bottom w:val="single" w:color="auto" w:sz="4" w:space="0"/>
                    <w:right w:val="single" w:color="auto" w:sz="4" w:space="0"/>
                  </w:tcBorders>
                  <w:vAlign w:val="center"/>
                </w:tcPr>
                <w:p w14:paraId="4033D58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7124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05D9871A">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9</w:t>
                  </w:r>
                </w:p>
              </w:tc>
              <w:tc>
                <w:tcPr>
                  <w:tcW w:w="2200" w:type="pct"/>
                  <w:tcBorders>
                    <w:top w:val="single" w:color="auto" w:sz="4" w:space="0"/>
                    <w:left w:val="single" w:color="auto" w:sz="4" w:space="0"/>
                    <w:bottom w:val="single" w:color="auto" w:sz="4" w:space="0"/>
                    <w:right w:val="single" w:color="auto" w:sz="4" w:space="0"/>
                  </w:tcBorders>
                  <w:vAlign w:val="center"/>
                </w:tcPr>
                <w:p w14:paraId="0520A5E0">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禁止在合规园区外新建、扩建钢铁、石化、化工、焦化、建材、有色、制浆造纸等高污染项目。</w:t>
                  </w:r>
                </w:p>
              </w:tc>
              <w:tc>
                <w:tcPr>
                  <w:tcW w:w="2014" w:type="pct"/>
                  <w:tcBorders>
                    <w:top w:val="single" w:color="auto" w:sz="4" w:space="0"/>
                    <w:left w:val="single" w:color="auto" w:sz="4" w:space="0"/>
                    <w:bottom w:val="single" w:color="auto" w:sz="4" w:space="0"/>
                    <w:right w:val="single" w:color="auto" w:sz="4" w:space="0"/>
                  </w:tcBorders>
                  <w:vAlign w:val="center"/>
                </w:tcPr>
                <w:p w14:paraId="5088230B">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本项目位于云南省昆明市寻甸回族彝族自治县金所街道办事处泽铁村委会栽开居民小组，本项目不属于钢铁、石化、化工、焦化、建材、有色、制浆造纸等高污染项目。</w:t>
                  </w:r>
                </w:p>
              </w:tc>
              <w:tc>
                <w:tcPr>
                  <w:tcW w:w="510" w:type="pct"/>
                  <w:tcBorders>
                    <w:top w:val="single" w:color="auto" w:sz="4" w:space="0"/>
                    <w:left w:val="single" w:color="auto" w:sz="4" w:space="0"/>
                    <w:bottom w:val="single" w:color="auto" w:sz="4" w:space="0"/>
                    <w:right w:val="single" w:color="auto" w:sz="4" w:space="0"/>
                  </w:tcBorders>
                  <w:vAlign w:val="center"/>
                </w:tcPr>
                <w:p w14:paraId="11B53E55">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3FA8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31C3F5F7">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10</w:t>
                  </w:r>
                </w:p>
              </w:tc>
              <w:tc>
                <w:tcPr>
                  <w:tcW w:w="2200" w:type="pct"/>
                  <w:tcBorders>
                    <w:top w:val="single" w:color="auto" w:sz="4" w:space="0"/>
                    <w:left w:val="single" w:color="auto" w:sz="4" w:space="0"/>
                    <w:bottom w:val="single" w:color="auto" w:sz="4" w:space="0"/>
                    <w:right w:val="single" w:color="auto" w:sz="4" w:space="0"/>
                  </w:tcBorders>
                  <w:vAlign w:val="center"/>
                </w:tcPr>
                <w:p w14:paraId="45BFD22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禁止新建、扩建不符合国家石化、现代煤化工等产业布局规划的项目。</w:t>
                  </w:r>
                </w:p>
              </w:tc>
              <w:tc>
                <w:tcPr>
                  <w:tcW w:w="2014" w:type="pct"/>
                  <w:tcBorders>
                    <w:top w:val="single" w:color="auto" w:sz="4" w:space="0"/>
                    <w:left w:val="single" w:color="auto" w:sz="4" w:space="0"/>
                    <w:bottom w:val="single" w:color="auto" w:sz="4" w:space="0"/>
                    <w:right w:val="single" w:color="auto" w:sz="4" w:space="0"/>
                  </w:tcBorders>
                  <w:vAlign w:val="center"/>
                </w:tcPr>
                <w:p w14:paraId="6AED2E2D">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本项目属于改性磷石膏综合利用</w:t>
                  </w:r>
                  <w:r>
                    <w:rPr>
                      <w:rFonts w:ascii="Times New Roman" w:hAnsi="Times New Roman" w:eastAsia="宋体" w:cs="Times New Roman"/>
                      <w:snapToGrid/>
                      <w:color w:val="auto"/>
                      <w:lang w:eastAsia="zh-CN" w:bidi="ar"/>
                    </w:rPr>
                    <w:t>项目</w:t>
                  </w:r>
                  <w:r>
                    <w:rPr>
                      <w:rFonts w:hint="eastAsia" w:ascii="Times New Roman" w:hAnsi="Times New Roman" w:eastAsia="宋体" w:cs="Times New Roman"/>
                      <w:snapToGrid/>
                      <w:color w:val="auto"/>
                      <w:lang w:eastAsia="zh-CN" w:bidi="ar"/>
                    </w:rPr>
                    <w:t>。</w:t>
                  </w:r>
                </w:p>
              </w:tc>
              <w:tc>
                <w:tcPr>
                  <w:tcW w:w="510" w:type="pct"/>
                  <w:tcBorders>
                    <w:top w:val="single" w:color="auto" w:sz="4" w:space="0"/>
                    <w:left w:val="single" w:color="auto" w:sz="4" w:space="0"/>
                    <w:bottom w:val="single" w:color="auto" w:sz="4" w:space="0"/>
                    <w:right w:val="single" w:color="auto" w:sz="4" w:space="0"/>
                  </w:tcBorders>
                  <w:vAlign w:val="center"/>
                </w:tcPr>
                <w:p w14:paraId="28116DA9">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r w14:paraId="3A6C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4" w:type="pct"/>
                  <w:tcBorders>
                    <w:top w:val="single" w:color="auto" w:sz="4" w:space="0"/>
                    <w:left w:val="single" w:color="auto" w:sz="4" w:space="0"/>
                    <w:bottom w:val="single" w:color="auto" w:sz="4" w:space="0"/>
                    <w:right w:val="single" w:color="auto" w:sz="4" w:space="0"/>
                  </w:tcBorders>
                  <w:vAlign w:val="center"/>
                </w:tcPr>
                <w:p w14:paraId="437CFA83">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11</w:t>
                  </w:r>
                </w:p>
              </w:tc>
              <w:tc>
                <w:tcPr>
                  <w:tcW w:w="2200" w:type="pct"/>
                  <w:tcBorders>
                    <w:top w:val="single" w:color="auto" w:sz="4" w:space="0"/>
                    <w:left w:val="single" w:color="auto" w:sz="4" w:space="0"/>
                    <w:bottom w:val="single" w:color="auto" w:sz="4" w:space="0"/>
                    <w:right w:val="single" w:color="auto" w:sz="4" w:space="0"/>
                  </w:tcBorders>
                  <w:vAlign w:val="center"/>
                </w:tcPr>
                <w:p w14:paraId="2CA34197">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禁止新建、扩建法律法规和相关政策明令禁止的落后产能项目。禁止新建、扩建不符合国家产能置换要求的严重过剩产能行业的项目。禁止新建、扩建不符合要求的高耗能高排放项目。</w:t>
                  </w:r>
                </w:p>
              </w:tc>
              <w:tc>
                <w:tcPr>
                  <w:tcW w:w="2014" w:type="pct"/>
                  <w:tcBorders>
                    <w:top w:val="single" w:color="auto" w:sz="4" w:space="0"/>
                    <w:left w:val="single" w:color="auto" w:sz="4" w:space="0"/>
                    <w:bottom w:val="single" w:color="auto" w:sz="4" w:space="0"/>
                    <w:right w:val="single" w:color="auto" w:sz="4" w:space="0"/>
                  </w:tcBorders>
                  <w:vAlign w:val="center"/>
                </w:tcPr>
                <w:p w14:paraId="0E181B12">
                  <w:pPr>
                    <w:kinsoku/>
                    <w:overflowPunct w:val="0"/>
                    <w:autoSpaceDE/>
                    <w:autoSpaceDN/>
                    <w:adjustRightInd/>
                    <w:snapToGrid/>
                    <w:textAlignment w:val="auto"/>
                    <w:rPr>
                      <w:rFonts w:ascii="Times New Roman" w:hAnsi="Times New Roman" w:eastAsia="宋体" w:cs="Times New Roman"/>
                      <w:snapToGrid/>
                      <w:color w:val="auto"/>
                      <w:lang w:eastAsia="zh-CN"/>
                    </w:rPr>
                  </w:pPr>
                  <w:r>
                    <w:rPr>
                      <w:rFonts w:ascii="Times New Roman" w:hAnsi="Times New Roman" w:eastAsia="宋体" w:cs="Times New Roman"/>
                      <w:snapToGrid/>
                      <w:color w:val="auto"/>
                      <w:lang w:eastAsia="zh-CN" w:bidi="ar"/>
                    </w:rPr>
                    <w:t>根据《产业结构调整指导目录（2024年本）》，本项目不属于限制类和淘汰类产业，</w:t>
                  </w:r>
                  <w:r>
                    <w:rPr>
                      <w:rFonts w:hint="eastAsia" w:ascii="Times New Roman" w:hAnsi="Times New Roman" w:eastAsia="宋体" w:cs="Times New Roman"/>
                      <w:snapToGrid/>
                      <w:color w:val="auto"/>
                      <w:lang w:eastAsia="zh-CN" w:bidi="ar"/>
                    </w:rPr>
                    <w:t>属于</w:t>
                  </w:r>
                  <w:r>
                    <w:rPr>
                      <w:rFonts w:ascii="Times New Roman" w:hAnsi="Times New Roman" w:eastAsia="宋体" w:cs="Times New Roman"/>
                      <w:snapToGrid/>
                      <w:color w:val="auto"/>
                      <w:lang w:eastAsia="zh-CN" w:bidi="ar"/>
                    </w:rPr>
                    <w:t>鼓励类</w:t>
                  </w:r>
                  <w:r>
                    <w:rPr>
                      <w:rFonts w:hint="eastAsia" w:ascii="Times New Roman" w:hAnsi="Times New Roman" w:eastAsia="宋体" w:cs="Times New Roman"/>
                      <w:snapToGrid/>
                      <w:color w:val="auto"/>
                      <w:lang w:eastAsia="zh-CN" w:bidi="ar"/>
                    </w:rPr>
                    <w:t>，不属于落后产能项目，不属于高耗能高排放项目，不属于过剩产能行业，符合国家现行产业政策要求。</w:t>
                  </w:r>
                </w:p>
              </w:tc>
              <w:tc>
                <w:tcPr>
                  <w:tcW w:w="510" w:type="pct"/>
                  <w:tcBorders>
                    <w:top w:val="single" w:color="auto" w:sz="4" w:space="0"/>
                    <w:left w:val="single" w:color="auto" w:sz="4" w:space="0"/>
                    <w:bottom w:val="single" w:color="auto" w:sz="4" w:space="0"/>
                    <w:right w:val="single" w:color="auto" w:sz="4" w:space="0"/>
                  </w:tcBorders>
                  <w:vAlign w:val="center"/>
                </w:tcPr>
                <w:p w14:paraId="4DD33384">
                  <w:pPr>
                    <w:kinsoku/>
                    <w:overflowPunct w:val="0"/>
                    <w:autoSpaceDE/>
                    <w:autoSpaceDN/>
                    <w:adjustRightInd/>
                    <w:snapToGrid/>
                    <w:jc w:val="center"/>
                    <w:textAlignment w:val="auto"/>
                    <w:rPr>
                      <w:rFonts w:ascii="Times New Roman" w:hAnsi="Times New Roman" w:eastAsia="宋体" w:cs="Times New Roman"/>
                      <w:snapToGrid/>
                      <w:color w:val="auto"/>
                      <w:lang w:eastAsia="zh-CN"/>
                    </w:rPr>
                  </w:pPr>
                  <w:r>
                    <w:rPr>
                      <w:rFonts w:hint="eastAsia" w:ascii="Times New Roman" w:hAnsi="Times New Roman" w:eastAsia="宋体" w:cs="Times New Roman"/>
                      <w:snapToGrid/>
                      <w:color w:val="auto"/>
                      <w:lang w:eastAsia="zh-CN" w:bidi="ar"/>
                    </w:rPr>
                    <w:t>符合</w:t>
                  </w:r>
                </w:p>
              </w:tc>
            </w:tr>
          </w:tbl>
          <w:p w14:paraId="6348DB33">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综上，本项目符合《长江经济带发展负面清单指南（试行，2022年版）》相关要求。</w:t>
            </w:r>
          </w:p>
          <w:p w14:paraId="7D0E209F">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bookmarkStart w:id="7" w:name="_Toc15006"/>
            <w:r>
              <w:rPr>
                <w:rFonts w:hint="eastAsia" w:ascii="Times New Roman" w:hAnsi="Times New Roman" w:eastAsia="宋体" w:cs="Times New Roman"/>
                <w:b/>
                <w:color w:val="auto"/>
                <w:sz w:val="24"/>
                <w:lang w:eastAsia="zh-CN"/>
              </w:rPr>
              <w:t>8</w:t>
            </w:r>
            <w:r>
              <w:rPr>
                <w:rFonts w:ascii="Times New Roman" w:hAnsi="Times New Roman" w:eastAsia="宋体" w:cs="Times New Roman"/>
                <w:b/>
                <w:color w:val="auto"/>
                <w:sz w:val="24"/>
                <w:lang w:eastAsia="zh-CN"/>
              </w:rPr>
              <w:t>、</w:t>
            </w:r>
            <w:bookmarkEnd w:id="7"/>
            <w:r>
              <w:rPr>
                <w:rFonts w:hint="eastAsia" w:ascii="Times New Roman" w:hAnsi="Times New Roman" w:eastAsia="宋体" w:cs="Times New Roman"/>
                <w:b/>
                <w:color w:val="auto"/>
                <w:sz w:val="24"/>
                <w:lang w:eastAsia="zh-CN"/>
              </w:rPr>
              <w:t>与《云南省长江经济带发展负面清单指南实施细则（试行，2022年版）》的符合性分析</w:t>
            </w:r>
          </w:p>
          <w:p w14:paraId="22065F96">
            <w:pPr>
              <w:kinsoku/>
              <w:overflowPunct w:val="0"/>
              <w:autoSpaceDE/>
              <w:autoSpaceDN/>
              <w:adjustRightInd/>
              <w:snapToGrid/>
              <w:spacing w:line="360" w:lineRule="auto"/>
              <w:ind w:firstLine="480" w:firstLineChars="200"/>
              <w:jc w:val="both"/>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snapToGrid/>
                <w:color w:val="auto"/>
                <w:kern w:val="2"/>
                <w:sz w:val="24"/>
                <w:szCs w:val="24"/>
                <w:lang w:eastAsia="zh-CN"/>
              </w:rPr>
              <w:t>2022年8月19日，云南省推动长江经济带发展领导小组发布了《云南省长江经济带发展负面清单指南实施细则（试行，2022年版）》（云发改基础〔2022〕894号）。本项目与文件中相关要求的符合性分析见下表：</w:t>
            </w:r>
          </w:p>
          <w:p w14:paraId="698DBFA7">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w:t>
            </w:r>
            <w:r>
              <w:rPr>
                <w:rFonts w:ascii="Times New Roman" w:hAnsi="Times New Roman" w:eastAsia="宋体" w:cs="Times New Roman"/>
                <w:b/>
                <w:snapToGrid/>
                <w:color w:val="auto"/>
                <w:kern w:val="2"/>
                <w:sz w:val="24"/>
                <w:szCs w:val="24"/>
                <w:lang w:eastAsia="zh-CN" w:bidi="ar"/>
              </w:rPr>
              <w:t>1-</w:t>
            </w:r>
            <w:r>
              <w:rPr>
                <w:rFonts w:hint="eastAsia" w:cs="Times New Roman"/>
                <w:b/>
                <w:snapToGrid/>
                <w:color w:val="auto"/>
                <w:kern w:val="2"/>
                <w:sz w:val="24"/>
                <w:szCs w:val="24"/>
                <w:lang w:val="en-US" w:eastAsia="zh-CN" w:bidi="ar"/>
              </w:rPr>
              <w:t>7</w:t>
            </w:r>
            <w:r>
              <w:rPr>
                <w:rFonts w:hint="eastAsia" w:ascii="Times New Roman" w:hAnsi="Times New Roman" w:eastAsia="宋体" w:cs="Times New Roman"/>
                <w:b/>
                <w:snapToGrid/>
                <w:color w:val="auto"/>
                <w:kern w:val="2"/>
                <w:sz w:val="24"/>
                <w:szCs w:val="24"/>
                <w:lang w:eastAsia="zh-CN" w:bidi="ar"/>
              </w:rPr>
              <w:t>与《云南省长江经济带发展负面清单指南实施细则（试行，</w:t>
            </w:r>
            <w:r>
              <w:rPr>
                <w:rFonts w:ascii="Times New Roman" w:hAnsi="Times New Roman" w:eastAsia="宋体" w:cs="Times New Roman"/>
                <w:b/>
                <w:snapToGrid/>
                <w:color w:val="auto"/>
                <w:kern w:val="2"/>
                <w:sz w:val="24"/>
                <w:szCs w:val="24"/>
                <w:lang w:eastAsia="zh-CN" w:bidi="ar"/>
              </w:rPr>
              <w:t>2022</w:t>
            </w:r>
            <w:r>
              <w:rPr>
                <w:rFonts w:hint="eastAsia" w:ascii="Times New Roman" w:hAnsi="Times New Roman" w:eastAsia="宋体" w:cs="Times New Roman"/>
                <w:b/>
                <w:snapToGrid/>
                <w:color w:val="auto"/>
                <w:kern w:val="2"/>
                <w:sz w:val="24"/>
                <w:szCs w:val="24"/>
                <w:lang w:eastAsia="zh-CN" w:bidi="ar"/>
              </w:rPr>
              <w:t>年版）》的符合性分析</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4549"/>
              <w:gridCol w:w="2501"/>
              <w:gridCol w:w="870"/>
            </w:tblGrid>
            <w:tr w14:paraId="40A08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DFE526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序号</w:t>
                  </w:r>
                </w:p>
              </w:tc>
              <w:tc>
                <w:tcPr>
                  <w:tcW w:w="2710" w:type="pct"/>
                  <w:tcBorders>
                    <w:top w:val="single" w:color="auto" w:sz="4" w:space="0"/>
                    <w:left w:val="single" w:color="auto" w:sz="4" w:space="0"/>
                    <w:bottom w:val="single" w:color="auto" w:sz="4" w:space="0"/>
                    <w:right w:val="single" w:color="auto" w:sz="4" w:space="0"/>
                  </w:tcBorders>
                  <w:vAlign w:val="center"/>
                </w:tcPr>
                <w:p w14:paraId="20ACAA2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相关要求</w:t>
                  </w:r>
                </w:p>
              </w:tc>
              <w:tc>
                <w:tcPr>
                  <w:tcW w:w="1490" w:type="pct"/>
                  <w:tcBorders>
                    <w:top w:val="single" w:color="auto" w:sz="4" w:space="0"/>
                    <w:left w:val="single" w:color="auto" w:sz="4" w:space="0"/>
                    <w:bottom w:val="single" w:color="auto" w:sz="4" w:space="0"/>
                    <w:right w:val="single" w:color="auto" w:sz="4" w:space="0"/>
                  </w:tcBorders>
                  <w:vAlign w:val="center"/>
                </w:tcPr>
                <w:p w14:paraId="1B08D843">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项目情况</w:t>
                  </w:r>
                </w:p>
              </w:tc>
              <w:tc>
                <w:tcPr>
                  <w:tcW w:w="518" w:type="pct"/>
                  <w:tcBorders>
                    <w:top w:val="single" w:color="auto" w:sz="4" w:space="0"/>
                    <w:left w:val="single" w:color="auto" w:sz="4" w:space="0"/>
                    <w:bottom w:val="single" w:color="auto" w:sz="4" w:space="0"/>
                    <w:right w:val="single" w:color="auto" w:sz="4" w:space="0"/>
                  </w:tcBorders>
                  <w:vAlign w:val="center"/>
                </w:tcPr>
                <w:p w14:paraId="3D5D555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bidi="ar"/>
                    </w:rPr>
                    <w:t>符合性</w:t>
                  </w:r>
                </w:p>
              </w:tc>
            </w:tr>
            <w:tr w14:paraId="505C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6A7A3EF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w:t>
                  </w:r>
                </w:p>
              </w:tc>
              <w:tc>
                <w:tcPr>
                  <w:tcW w:w="2710" w:type="pct"/>
                  <w:tcBorders>
                    <w:top w:val="single" w:color="auto" w:sz="4" w:space="0"/>
                    <w:left w:val="single" w:color="auto" w:sz="4" w:space="0"/>
                    <w:bottom w:val="single" w:color="auto" w:sz="4" w:space="0"/>
                    <w:right w:val="single" w:color="auto" w:sz="4" w:space="0"/>
                  </w:tcBorders>
                  <w:vAlign w:val="center"/>
                </w:tcPr>
                <w:p w14:paraId="6ECD760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禁止新建、改建和扩建不符合《全国内河航道与港口布局规划》等全国港口规划和《昭通市港口码头岸线规划（金沙江段</w:t>
                  </w:r>
                  <w:r>
                    <w:rPr>
                      <w:rFonts w:ascii="Times New Roman" w:hAnsi="Times New Roman" w:eastAsia="宋体" w:cs="Times New Roman"/>
                      <w:color w:val="auto"/>
                      <w:lang w:eastAsia="zh-CN" w:bidi="ar"/>
                    </w:rPr>
                    <w:t>2019</w:t>
                  </w:r>
                  <w:r>
                    <w:rPr>
                      <w:rFonts w:hint="eastAsia" w:ascii="Times New Roman" w:hAnsi="Times New Roman" w:eastAsia="宋体" w:cs="Times New Roman"/>
                      <w:color w:val="auto"/>
                      <w:lang w:eastAsia="zh-CN" w:bidi="ar"/>
                    </w:rPr>
                    <w:t>年</w:t>
                  </w:r>
                  <w:r>
                    <w:rPr>
                      <w:rFonts w:ascii="Times New Roman" w:hAnsi="Times New Roman" w:eastAsia="宋体" w:cs="Times New Roman"/>
                      <w:color w:val="auto"/>
                      <w:lang w:eastAsia="zh-CN" w:bidi="ar"/>
                    </w:rPr>
                    <w:t>-2035</w:t>
                  </w:r>
                  <w:r>
                    <w:rPr>
                      <w:rFonts w:hint="eastAsia" w:ascii="Times New Roman" w:hAnsi="Times New Roman" w:eastAsia="宋体" w:cs="Times New Roman"/>
                      <w:color w:val="auto"/>
                      <w:lang w:eastAsia="zh-CN" w:bidi="ar"/>
                    </w:rPr>
                    <w:t>年）》、《景洪港总体规划（</w:t>
                  </w:r>
                  <w:r>
                    <w:rPr>
                      <w:rFonts w:ascii="Times New Roman" w:hAnsi="Times New Roman" w:eastAsia="宋体" w:cs="Times New Roman"/>
                      <w:color w:val="auto"/>
                      <w:lang w:eastAsia="zh-CN" w:bidi="ar"/>
                    </w:rPr>
                    <w:t>2019-2035</w:t>
                  </w:r>
                  <w:r>
                    <w:rPr>
                      <w:rFonts w:hint="eastAsia" w:ascii="Times New Roman" w:hAnsi="Times New Roman" w:eastAsia="宋体" w:cs="Times New Roman"/>
                      <w:color w:val="auto"/>
                      <w:lang w:eastAsia="zh-CN" w:bidi="ar"/>
                    </w:rPr>
                    <w:t>年）》等州（市）级以上港口布局规划以及港口总体规划的码头项目。</w:t>
                  </w:r>
                </w:p>
              </w:tc>
              <w:tc>
                <w:tcPr>
                  <w:tcW w:w="1490" w:type="pct"/>
                  <w:tcBorders>
                    <w:top w:val="single" w:color="auto" w:sz="4" w:space="0"/>
                    <w:left w:val="single" w:color="auto" w:sz="4" w:space="0"/>
                    <w:bottom w:val="single" w:color="auto" w:sz="4" w:space="0"/>
                    <w:right w:val="single" w:color="auto" w:sz="4" w:space="0"/>
                  </w:tcBorders>
                  <w:vAlign w:val="center"/>
                </w:tcPr>
                <w:p w14:paraId="5B3683AC">
                  <w:pPr>
                    <w:kinsoku/>
                    <w:overflowPunct w:val="0"/>
                    <w:autoSpaceDE/>
                    <w:autoSpaceDN/>
                    <w:adjustRightInd/>
                    <w:snapToGrid/>
                    <w:jc w:val="both"/>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本项目属于改性磷石膏综合利用项目，不属于码头项目。</w:t>
                  </w:r>
                </w:p>
              </w:tc>
              <w:tc>
                <w:tcPr>
                  <w:tcW w:w="518" w:type="pct"/>
                  <w:tcBorders>
                    <w:top w:val="single" w:color="auto" w:sz="4" w:space="0"/>
                    <w:left w:val="single" w:color="auto" w:sz="4" w:space="0"/>
                    <w:bottom w:val="single" w:color="auto" w:sz="4" w:space="0"/>
                    <w:right w:val="single" w:color="auto" w:sz="4" w:space="0"/>
                  </w:tcBorders>
                  <w:vAlign w:val="center"/>
                </w:tcPr>
                <w:p w14:paraId="55664B1A">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color w:val="auto"/>
                      <w:lang w:eastAsia="zh-CN" w:bidi="ar"/>
                    </w:rPr>
                    <w:t>符合</w:t>
                  </w:r>
                </w:p>
              </w:tc>
            </w:tr>
            <w:tr w14:paraId="5F47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878772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2</w:t>
                  </w:r>
                </w:p>
              </w:tc>
              <w:tc>
                <w:tcPr>
                  <w:tcW w:w="2710" w:type="pct"/>
                  <w:tcBorders>
                    <w:top w:val="single" w:color="auto" w:sz="4" w:space="0"/>
                    <w:left w:val="single" w:color="auto" w:sz="4" w:space="0"/>
                    <w:bottom w:val="single" w:color="auto" w:sz="4" w:space="0"/>
                    <w:right w:val="single" w:color="auto" w:sz="4" w:space="0"/>
                  </w:tcBorders>
                  <w:vAlign w:val="center"/>
                </w:tcPr>
                <w:p w14:paraId="4080DDC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490" w:type="pct"/>
                  <w:tcBorders>
                    <w:top w:val="single" w:color="auto" w:sz="4" w:space="0"/>
                    <w:left w:val="single" w:color="auto" w:sz="4" w:space="0"/>
                    <w:bottom w:val="single" w:color="auto" w:sz="4" w:space="0"/>
                    <w:right w:val="single" w:color="auto" w:sz="4" w:space="0"/>
                  </w:tcBorders>
                  <w:vAlign w:val="center"/>
                </w:tcPr>
                <w:p w14:paraId="2AC7F7E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本项目位于云南省昆明市寻甸回族彝族自治县金所街道办事处泽铁村委会栽开居民小组，不在自然保护区核心区、缓冲区的岸线和河段范围内。</w:t>
                  </w:r>
                </w:p>
              </w:tc>
              <w:tc>
                <w:tcPr>
                  <w:tcW w:w="518" w:type="pct"/>
                  <w:tcBorders>
                    <w:top w:val="single" w:color="auto" w:sz="4" w:space="0"/>
                    <w:left w:val="single" w:color="auto" w:sz="4" w:space="0"/>
                    <w:bottom w:val="single" w:color="auto" w:sz="4" w:space="0"/>
                    <w:right w:val="single" w:color="auto" w:sz="4" w:space="0"/>
                  </w:tcBorders>
                  <w:vAlign w:val="center"/>
                </w:tcPr>
                <w:p w14:paraId="547D202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581AA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430FA7E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3</w:t>
                  </w:r>
                </w:p>
              </w:tc>
              <w:tc>
                <w:tcPr>
                  <w:tcW w:w="2710" w:type="pct"/>
                  <w:tcBorders>
                    <w:top w:val="single" w:color="auto" w:sz="4" w:space="0"/>
                    <w:left w:val="single" w:color="auto" w:sz="4" w:space="0"/>
                    <w:bottom w:val="single" w:color="auto" w:sz="4" w:space="0"/>
                    <w:right w:val="single" w:color="auto" w:sz="4" w:space="0"/>
                  </w:tcBorders>
                  <w:vAlign w:val="center"/>
                </w:tcPr>
                <w:p w14:paraId="4AA99240">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665C7DB6">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lang w:eastAsia="zh-CN" w:bidi="ar"/>
                    </w:rPr>
                    <w:t>本项目位于云南省昆明市寻甸回族彝族自治县金所街道办事处泽铁村委会栽开居民小组，不在风景名胜区核心景区的岸线和河段范围内。</w:t>
                  </w:r>
                </w:p>
              </w:tc>
              <w:tc>
                <w:tcPr>
                  <w:tcW w:w="518" w:type="pct"/>
                  <w:tcBorders>
                    <w:top w:val="single" w:color="auto" w:sz="4" w:space="0"/>
                    <w:left w:val="single" w:color="auto" w:sz="4" w:space="0"/>
                    <w:bottom w:val="single" w:color="auto" w:sz="4" w:space="0"/>
                    <w:right w:val="single" w:color="auto" w:sz="4" w:space="0"/>
                  </w:tcBorders>
                  <w:vAlign w:val="center"/>
                </w:tcPr>
                <w:p w14:paraId="054F8E8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47270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1189922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4</w:t>
                  </w:r>
                </w:p>
              </w:tc>
              <w:tc>
                <w:tcPr>
                  <w:tcW w:w="2710" w:type="pct"/>
                  <w:tcBorders>
                    <w:top w:val="single" w:color="auto" w:sz="4" w:space="0"/>
                    <w:left w:val="single" w:color="auto" w:sz="4" w:space="0"/>
                    <w:bottom w:val="single" w:color="auto" w:sz="4" w:space="0"/>
                    <w:right w:val="single" w:color="auto" w:sz="4" w:space="0"/>
                  </w:tcBorders>
                  <w:vAlign w:val="center"/>
                </w:tcPr>
                <w:p w14:paraId="65B87F63">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71FBF305">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本项目不涉及饮用水水源一级、二级保护区。</w:t>
                  </w:r>
                </w:p>
              </w:tc>
              <w:tc>
                <w:tcPr>
                  <w:tcW w:w="518" w:type="pct"/>
                  <w:tcBorders>
                    <w:top w:val="single" w:color="auto" w:sz="4" w:space="0"/>
                    <w:left w:val="single" w:color="auto" w:sz="4" w:space="0"/>
                    <w:bottom w:val="single" w:color="auto" w:sz="4" w:space="0"/>
                    <w:right w:val="single" w:color="auto" w:sz="4" w:space="0"/>
                  </w:tcBorders>
                  <w:vAlign w:val="center"/>
                </w:tcPr>
                <w:p w14:paraId="69A702E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62FA7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3EC200D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5</w:t>
                  </w:r>
                </w:p>
              </w:tc>
              <w:tc>
                <w:tcPr>
                  <w:tcW w:w="2710" w:type="pct"/>
                  <w:tcBorders>
                    <w:top w:val="single" w:color="auto" w:sz="4" w:space="0"/>
                    <w:left w:val="single" w:color="auto" w:sz="4" w:space="0"/>
                    <w:bottom w:val="single" w:color="auto" w:sz="4" w:space="0"/>
                    <w:right w:val="single" w:color="auto" w:sz="4" w:space="0"/>
                  </w:tcBorders>
                  <w:vAlign w:val="center"/>
                </w:tcPr>
                <w:p w14:paraId="33A60B8C">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490" w:type="pct"/>
                  <w:tcBorders>
                    <w:top w:val="single" w:color="auto" w:sz="4" w:space="0"/>
                    <w:left w:val="single" w:color="auto" w:sz="4" w:space="0"/>
                    <w:bottom w:val="single" w:color="auto" w:sz="4" w:space="0"/>
                    <w:right w:val="single" w:color="auto" w:sz="4" w:space="0"/>
                  </w:tcBorders>
                  <w:vAlign w:val="center"/>
                </w:tcPr>
                <w:p w14:paraId="0415C77D">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本项目位于云南省昆明市寻甸回族彝族自治县金所街道办事处泽铁村委会栽开居民小组，不在水产种质资源保护区、国家湿地公园内，不会对以上区域造成影响。</w:t>
                  </w:r>
                </w:p>
              </w:tc>
              <w:tc>
                <w:tcPr>
                  <w:tcW w:w="518" w:type="pct"/>
                  <w:tcBorders>
                    <w:top w:val="single" w:color="auto" w:sz="4" w:space="0"/>
                    <w:left w:val="single" w:color="auto" w:sz="4" w:space="0"/>
                    <w:bottom w:val="single" w:color="auto" w:sz="4" w:space="0"/>
                    <w:right w:val="single" w:color="auto" w:sz="4" w:space="0"/>
                  </w:tcBorders>
                  <w:vAlign w:val="center"/>
                </w:tcPr>
                <w:p w14:paraId="5292C0C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2593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3EF0250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6</w:t>
                  </w:r>
                </w:p>
              </w:tc>
              <w:tc>
                <w:tcPr>
                  <w:tcW w:w="2710" w:type="pct"/>
                  <w:tcBorders>
                    <w:top w:val="single" w:color="auto" w:sz="4" w:space="0"/>
                    <w:left w:val="single" w:color="auto" w:sz="4" w:space="0"/>
                    <w:bottom w:val="single" w:color="auto" w:sz="4" w:space="0"/>
                    <w:right w:val="single" w:color="auto" w:sz="4" w:space="0"/>
                  </w:tcBorders>
                  <w:vAlign w:val="center"/>
                </w:tcPr>
                <w:p w14:paraId="1DCA07B1">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490" w:type="pct"/>
                  <w:tcBorders>
                    <w:top w:val="single" w:color="auto" w:sz="4" w:space="0"/>
                    <w:left w:val="single" w:color="auto" w:sz="4" w:space="0"/>
                    <w:bottom w:val="single" w:color="auto" w:sz="4" w:space="0"/>
                    <w:right w:val="single" w:color="auto" w:sz="4" w:space="0"/>
                  </w:tcBorders>
                  <w:vAlign w:val="center"/>
                </w:tcPr>
                <w:p w14:paraId="6A95CBF8">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本项目不在金沙江岸线保护区和保留区、金沙江干流、九大高原湖泊保护区、保留区内；本项目生活废水处理达标后回用于厂内洒水降尘，不外排，不会对水资源及自然生态保护产生不利影响。</w:t>
                  </w:r>
                </w:p>
              </w:tc>
              <w:tc>
                <w:tcPr>
                  <w:tcW w:w="518" w:type="pct"/>
                  <w:tcBorders>
                    <w:top w:val="single" w:color="auto" w:sz="4" w:space="0"/>
                    <w:left w:val="single" w:color="auto" w:sz="4" w:space="0"/>
                    <w:bottom w:val="single" w:color="auto" w:sz="4" w:space="0"/>
                    <w:right w:val="single" w:color="auto" w:sz="4" w:space="0"/>
                  </w:tcBorders>
                  <w:vAlign w:val="center"/>
                </w:tcPr>
                <w:p w14:paraId="0FBECB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539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2D789EF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7</w:t>
                  </w:r>
                </w:p>
              </w:tc>
              <w:tc>
                <w:tcPr>
                  <w:tcW w:w="2710" w:type="pct"/>
                  <w:tcBorders>
                    <w:top w:val="single" w:color="auto" w:sz="4" w:space="0"/>
                    <w:left w:val="single" w:color="auto" w:sz="4" w:space="0"/>
                    <w:bottom w:val="single" w:color="auto" w:sz="4" w:space="0"/>
                    <w:right w:val="single" w:color="auto" w:sz="4" w:space="0"/>
                  </w:tcBorders>
                  <w:vAlign w:val="center"/>
                </w:tcPr>
                <w:p w14:paraId="0776C997">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1490" w:type="pct"/>
                  <w:tcBorders>
                    <w:top w:val="single" w:color="auto" w:sz="4" w:space="0"/>
                    <w:left w:val="single" w:color="auto" w:sz="4" w:space="0"/>
                    <w:bottom w:val="single" w:color="auto" w:sz="4" w:space="0"/>
                    <w:right w:val="single" w:color="auto" w:sz="4" w:space="0"/>
                  </w:tcBorders>
                  <w:vAlign w:val="center"/>
                </w:tcPr>
                <w:p w14:paraId="73205C40">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改性磷石膏综合利用项目，不属于基础设施项目；本项目不涉及新设、改设或扩大排污口。</w:t>
                  </w:r>
                </w:p>
              </w:tc>
              <w:tc>
                <w:tcPr>
                  <w:tcW w:w="518" w:type="pct"/>
                  <w:tcBorders>
                    <w:top w:val="single" w:color="auto" w:sz="4" w:space="0"/>
                    <w:left w:val="single" w:color="auto" w:sz="4" w:space="0"/>
                    <w:bottom w:val="single" w:color="auto" w:sz="4" w:space="0"/>
                    <w:right w:val="single" w:color="auto" w:sz="4" w:space="0"/>
                  </w:tcBorders>
                  <w:vAlign w:val="center"/>
                </w:tcPr>
                <w:p w14:paraId="3B7FFE8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4B8C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794B7A0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8</w:t>
                  </w:r>
                </w:p>
              </w:tc>
              <w:tc>
                <w:tcPr>
                  <w:tcW w:w="2710" w:type="pct"/>
                  <w:tcBorders>
                    <w:top w:val="single" w:color="auto" w:sz="4" w:space="0"/>
                    <w:left w:val="single" w:color="auto" w:sz="4" w:space="0"/>
                    <w:bottom w:val="single" w:color="auto" w:sz="4" w:space="0"/>
                    <w:right w:val="single" w:color="auto" w:sz="4" w:space="0"/>
                  </w:tcBorders>
                  <w:vAlign w:val="center"/>
                </w:tcPr>
                <w:p w14:paraId="5F95A95F">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禁止在金沙江干流、长江一级支流、水生生物保护区和长江流域禁捕水域开展天然渔业资源生产性捕捞。</w:t>
                  </w:r>
                </w:p>
              </w:tc>
              <w:tc>
                <w:tcPr>
                  <w:tcW w:w="1490" w:type="pct"/>
                  <w:tcBorders>
                    <w:top w:val="single" w:color="auto" w:sz="4" w:space="0"/>
                    <w:left w:val="single" w:color="auto" w:sz="4" w:space="0"/>
                    <w:bottom w:val="single" w:color="auto" w:sz="4" w:space="0"/>
                    <w:right w:val="single" w:color="auto" w:sz="4" w:space="0"/>
                  </w:tcBorders>
                  <w:vAlign w:val="center"/>
                </w:tcPr>
                <w:p w14:paraId="0B8F9654">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hint="eastAsia" w:ascii="Times New Roman" w:hAnsi="Times New Roman" w:eastAsia="宋体" w:cs="Times New Roman"/>
                      <w:snapToGrid/>
                      <w:color w:val="auto"/>
                      <w:kern w:val="2"/>
                      <w:lang w:eastAsia="zh-CN"/>
                    </w:rPr>
                    <w:t>本项目不涉及</w:t>
                  </w:r>
                  <w:r>
                    <w:rPr>
                      <w:rFonts w:hint="eastAsia" w:ascii="Times New Roman" w:hAnsi="Times New Roman" w:eastAsia="宋体" w:cs="Times New Roman"/>
                      <w:snapToGrid/>
                      <w:color w:val="auto"/>
                      <w:lang w:eastAsia="zh-CN" w:bidi="ar"/>
                    </w:rPr>
                    <w:t>天然渔业资源生产性捕捞。</w:t>
                  </w:r>
                </w:p>
              </w:tc>
              <w:tc>
                <w:tcPr>
                  <w:tcW w:w="518" w:type="pct"/>
                  <w:tcBorders>
                    <w:top w:val="single" w:color="auto" w:sz="4" w:space="0"/>
                    <w:left w:val="single" w:color="auto" w:sz="4" w:space="0"/>
                    <w:bottom w:val="single" w:color="auto" w:sz="4" w:space="0"/>
                    <w:right w:val="single" w:color="auto" w:sz="4" w:space="0"/>
                  </w:tcBorders>
                  <w:vAlign w:val="center"/>
                </w:tcPr>
                <w:p w14:paraId="1E86CED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38D1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2ED7BD5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9</w:t>
                  </w:r>
                </w:p>
              </w:tc>
              <w:tc>
                <w:tcPr>
                  <w:tcW w:w="2710" w:type="pct"/>
                  <w:tcBorders>
                    <w:top w:val="single" w:color="auto" w:sz="4" w:space="0"/>
                    <w:left w:val="single" w:color="auto" w:sz="4" w:space="0"/>
                    <w:bottom w:val="single" w:color="auto" w:sz="4" w:space="0"/>
                    <w:right w:val="single" w:color="auto" w:sz="4" w:space="0"/>
                  </w:tcBorders>
                  <w:vAlign w:val="center"/>
                </w:tcPr>
                <w:p w14:paraId="25881604">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490" w:type="pct"/>
                  <w:tcBorders>
                    <w:top w:val="single" w:color="auto" w:sz="4" w:space="0"/>
                    <w:left w:val="single" w:color="auto" w:sz="4" w:space="0"/>
                    <w:bottom w:val="single" w:color="auto" w:sz="4" w:space="0"/>
                    <w:right w:val="single" w:color="auto" w:sz="4" w:space="0"/>
                  </w:tcBorders>
                  <w:vAlign w:val="center"/>
                </w:tcPr>
                <w:p w14:paraId="70C155A4">
                  <w:pPr>
                    <w:kinsoku/>
                    <w:overflowPunct w:val="0"/>
                    <w:autoSpaceDE/>
                    <w:autoSpaceDN/>
                    <w:adjustRightInd/>
                    <w:snapToGrid/>
                    <w:jc w:val="both"/>
                    <w:textAlignment w:val="auto"/>
                    <w:rPr>
                      <w:rFonts w:ascii="Times New Roman" w:hAnsi="Times New Roman" w:eastAsia="宋体" w:cs="Times New Roman"/>
                      <w:snapToGrid/>
                      <w:color w:val="auto"/>
                      <w:kern w:val="2"/>
                      <w:lang w:eastAsia="zh-CN"/>
                    </w:rPr>
                  </w:pPr>
                  <w:r>
                    <w:rPr>
                      <w:rFonts w:ascii="Times New Roman" w:hAnsi="Times New Roman" w:eastAsia="宋体" w:cs="Times New Roman"/>
                      <w:snapToGrid/>
                      <w:color w:val="auto"/>
                      <w:lang w:eastAsia="zh-CN" w:bidi="ar"/>
                    </w:rPr>
                    <w:t>本项目属于</w:t>
                  </w:r>
                  <w:r>
                    <w:rPr>
                      <w:rFonts w:hint="eastAsia" w:ascii="Times New Roman" w:hAnsi="Times New Roman" w:eastAsia="宋体" w:cs="Times New Roman"/>
                      <w:snapToGrid/>
                      <w:color w:val="auto"/>
                      <w:lang w:eastAsia="zh-CN" w:bidi="ar"/>
                    </w:rPr>
                    <w:t>改性磷石膏综合利用项目，不涉及新建和扩建化工园区、化工项目，也不涉及尾矿库、冶炼渣库和磷石膏库</w:t>
                  </w:r>
                </w:p>
              </w:tc>
              <w:tc>
                <w:tcPr>
                  <w:tcW w:w="518" w:type="pct"/>
                  <w:tcBorders>
                    <w:top w:val="single" w:color="auto" w:sz="4" w:space="0"/>
                    <w:left w:val="single" w:color="auto" w:sz="4" w:space="0"/>
                    <w:bottom w:val="single" w:color="auto" w:sz="4" w:space="0"/>
                    <w:right w:val="single" w:color="auto" w:sz="4" w:space="0"/>
                  </w:tcBorders>
                  <w:vAlign w:val="center"/>
                </w:tcPr>
                <w:p w14:paraId="43FF6B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0B129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4E4B4F1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10</w:t>
                  </w:r>
                </w:p>
              </w:tc>
              <w:tc>
                <w:tcPr>
                  <w:tcW w:w="2710" w:type="pct"/>
                  <w:tcBorders>
                    <w:top w:val="single" w:color="auto" w:sz="4" w:space="0"/>
                    <w:left w:val="single" w:color="auto" w:sz="4" w:space="0"/>
                    <w:bottom w:val="single" w:color="auto" w:sz="4" w:space="0"/>
                    <w:right w:val="single" w:color="auto" w:sz="4" w:space="0"/>
                  </w:tcBorders>
                  <w:vAlign w:val="center"/>
                </w:tcPr>
                <w:p w14:paraId="3A26F4A9">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禁止在合规园区外新建、扩建钢铁、石化、化工、焦化、建材、有色、制浆造纸行业中的高污染项目。</w:t>
                  </w:r>
                </w:p>
              </w:tc>
              <w:tc>
                <w:tcPr>
                  <w:tcW w:w="1490" w:type="pct"/>
                  <w:tcBorders>
                    <w:top w:val="single" w:color="auto" w:sz="4" w:space="0"/>
                    <w:left w:val="single" w:color="auto" w:sz="4" w:space="0"/>
                    <w:bottom w:val="single" w:color="auto" w:sz="4" w:space="0"/>
                    <w:right w:val="single" w:color="auto" w:sz="4" w:space="0"/>
                  </w:tcBorders>
                  <w:vAlign w:val="center"/>
                </w:tcPr>
                <w:p w14:paraId="0384CB2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本项目位于云南省昆明市寻甸回族彝族自治县金所街道办事处泽铁村委会栽开居民小组；本项目不属于钢铁、石化、化工、焦化、建材、有色、制浆造纸等高污染项目。</w:t>
                  </w:r>
                </w:p>
              </w:tc>
              <w:tc>
                <w:tcPr>
                  <w:tcW w:w="518" w:type="pct"/>
                  <w:tcBorders>
                    <w:top w:val="single" w:color="auto" w:sz="4" w:space="0"/>
                    <w:left w:val="single" w:color="auto" w:sz="4" w:space="0"/>
                    <w:bottom w:val="single" w:color="auto" w:sz="4" w:space="0"/>
                    <w:right w:val="single" w:color="auto" w:sz="4" w:space="0"/>
                  </w:tcBorders>
                  <w:vAlign w:val="center"/>
                </w:tcPr>
                <w:p w14:paraId="1872E6F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A71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648AD15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11</w:t>
                  </w:r>
                </w:p>
              </w:tc>
              <w:tc>
                <w:tcPr>
                  <w:tcW w:w="2710" w:type="pct"/>
                  <w:tcBorders>
                    <w:top w:val="single" w:color="auto" w:sz="4" w:space="0"/>
                    <w:left w:val="single" w:color="auto" w:sz="4" w:space="0"/>
                    <w:bottom w:val="single" w:color="auto" w:sz="4" w:space="0"/>
                    <w:right w:val="single" w:color="auto" w:sz="4" w:space="0"/>
                  </w:tcBorders>
                  <w:vAlign w:val="center"/>
                </w:tcPr>
                <w:p w14:paraId="3C8E1FCB">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1490" w:type="pct"/>
                  <w:tcBorders>
                    <w:top w:val="single" w:color="auto" w:sz="4" w:space="0"/>
                    <w:left w:val="single" w:color="auto" w:sz="4" w:space="0"/>
                    <w:bottom w:val="single" w:color="auto" w:sz="4" w:space="0"/>
                    <w:right w:val="single" w:color="auto" w:sz="4" w:space="0"/>
                  </w:tcBorders>
                  <w:vAlign w:val="center"/>
                </w:tcPr>
                <w:p w14:paraId="33668E22">
                  <w:pPr>
                    <w:kinsoku/>
                    <w:overflowPunct w:val="0"/>
                    <w:autoSpaceDE/>
                    <w:autoSpaceDN/>
                    <w:adjustRightInd/>
                    <w:snapToGrid/>
                    <w:jc w:val="both"/>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本项目不属于石化、现代煤化工、危险化学品生产项目。</w:t>
                  </w:r>
                </w:p>
              </w:tc>
              <w:tc>
                <w:tcPr>
                  <w:tcW w:w="518" w:type="pct"/>
                  <w:tcBorders>
                    <w:top w:val="single" w:color="auto" w:sz="4" w:space="0"/>
                    <w:left w:val="single" w:color="auto" w:sz="4" w:space="0"/>
                    <w:bottom w:val="single" w:color="auto" w:sz="4" w:space="0"/>
                    <w:right w:val="single" w:color="auto" w:sz="4" w:space="0"/>
                  </w:tcBorders>
                  <w:vAlign w:val="center"/>
                </w:tcPr>
                <w:p w14:paraId="00676A9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r w14:paraId="1329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 w:type="pct"/>
                  <w:tcBorders>
                    <w:top w:val="single" w:color="auto" w:sz="4" w:space="0"/>
                    <w:left w:val="single" w:color="auto" w:sz="4" w:space="0"/>
                    <w:bottom w:val="single" w:color="auto" w:sz="4" w:space="0"/>
                    <w:right w:val="single" w:color="auto" w:sz="4" w:space="0"/>
                  </w:tcBorders>
                  <w:vAlign w:val="center"/>
                </w:tcPr>
                <w:p w14:paraId="0194458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12</w:t>
                  </w:r>
                </w:p>
              </w:tc>
              <w:tc>
                <w:tcPr>
                  <w:tcW w:w="2710" w:type="pct"/>
                  <w:tcBorders>
                    <w:top w:val="single" w:color="auto" w:sz="4" w:space="0"/>
                    <w:left w:val="single" w:color="auto" w:sz="4" w:space="0"/>
                    <w:bottom w:val="single" w:color="auto" w:sz="4" w:space="0"/>
                    <w:right w:val="single" w:color="auto" w:sz="4" w:space="0"/>
                  </w:tcBorders>
                  <w:vAlign w:val="center"/>
                </w:tcPr>
                <w:p w14:paraId="303C7AD5">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1490" w:type="pct"/>
                  <w:tcBorders>
                    <w:top w:val="single" w:color="auto" w:sz="4" w:space="0"/>
                    <w:left w:val="single" w:color="auto" w:sz="4" w:space="0"/>
                    <w:bottom w:val="single" w:color="auto" w:sz="4" w:space="0"/>
                    <w:right w:val="single" w:color="auto" w:sz="4" w:space="0"/>
                  </w:tcBorders>
                  <w:vAlign w:val="center"/>
                </w:tcPr>
                <w:p w14:paraId="1B411627">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根据《产业结构调整指导目录（2024年本）》，本项目不属于限制类和淘汰类产业，属于鼓励类，不属于高耗能高排放项目，不属于过剩产能行业，符合国家现行产业政策要求。本项目不涉及高毒高残留以及对环境影响大的农药原药生产装置，不属于尿素、磷铵、电石、焦炭、黄磷、烧碱、纯碱、聚氯乙烯等行业。</w:t>
                  </w:r>
                </w:p>
              </w:tc>
              <w:tc>
                <w:tcPr>
                  <w:tcW w:w="518" w:type="pct"/>
                  <w:tcBorders>
                    <w:top w:val="single" w:color="auto" w:sz="4" w:space="0"/>
                    <w:left w:val="single" w:color="auto" w:sz="4" w:space="0"/>
                    <w:bottom w:val="single" w:color="auto" w:sz="4" w:space="0"/>
                    <w:right w:val="single" w:color="auto" w:sz="4" w:space="0"/>
                  </w:tcBorders>
                  <w:vAlign w:val="center"/>
                </w:tcPr>
                <w:p w14:paraId="2AFBA65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符合</w:t>
                  </w:r>
                </w:p>
              </w:tc>
            </w:tr>
          </w:tbl>
          <w:p w14:paraId="3065DC8D">
            <w:pPr>
              <w:pStyle w:val="8"/>
              <w:widowControl/>
              <w:kinsoku/>
              <w:overflowPunct w:val="0"/>
              <w:autoSpaceDE/>
              <w:autoSpaceDN/>
              <w:adjustRightInd/>
              <w:snapToGrid/>
              <w:spacing w:line="360" w:lineRule="auto"/>
              <w:ind w:firstLine="480"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snapToGrid/>
                <w:color w:val="auto"/>
                <w:kern w:val="0"/>
                <w:sz w:val="24"/>
                <w:szCs w:val="24"/>
                <w:lang w:eastAsia="zh-CN"/>
              </w:rPr>
              <w:t>综上，本项目符合《云南省长江经济带发展负面清单指南实施细则（试行，2022年版）》相关要求。</w:t>
            </w:r>
          </w:p>
          <w:p w14:paraId="4ECAD17B">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kern w:val="0"/>
                <w:sz w:val="24"/>
                <w:lang w:eastAsia="zh-CN"/>
              </w:rPr>
            </w:pPr>
            <w:bookmarkStart w:id="8" w:name="_Toc26297"/>
            <w:r>
              <w:rPr>
                <w:rFonts w:hint="eastAsia" w:ascii="Times New Roman" w:hAnsi="Times New Roman" w:eastAsia="宋体" w:cs="Times New Roman"/>
                <w:b/>
                <w:bCs/>
                <w:color w:val="auto"/>
                <w:kern w:val="0"/>
                <w:sz w:val="24"/>
                <w:lang w:eastAsia="zh-CN"/>
              </w:rPr>
              <w:t>9</w:t>
            </w:r>
            <w:r>
              <w:rPr>
                <w:rFonts w:ascii="Times New Roman" w:hAnsi="Times New Roman" w:eastAsia="宋体" w:cs="Times New Roman"/>
                <w:b/>
                <w:bCs/>
                <w:color w:val="auto"/>
                <w:kern w:val="0"/>
                <w:sz w:val="24"/>
                <w:lang w:eastAsia="zh-CN"/>
              </w:rPr>
              <w:t>、</w:t>
            </w:r>
            <w:bookmarkEnd w:id="8"/>
            <w:r>
              <w:rPr>
                <w:rFonts w:ascii="Times New Roman" w:hAnsi="Times New Roman" w:eastAsia="宋体" w:cs="Times New Roman"/>
                <w:b/>
                <w:bCs/>
                <w:color w:val="auto"/>
                <w:kern w:val="0"/>
                <w:sz w:val="24"/>
                <w:lang w:eastAsia="zh-CN"/>
              </w:rPr>
              <w:t>与《昆明市大气污染防治条例》的符合性分析</w:t>
            </w:r>
          </w:p>
          <w:p w14:paraId="55D347BB">
            <w:pPr>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kern w:val="24"/>
                <w:lang w:eastAsia="zh-CN" w:bidi="ar"/>
              </w:rPr>
            </w:pPr>
            <w:r>
              <w:rPr>
                <w:rFonts w:ascii="Times New Roman" w:hAnsi="Times New Roman" w:eastAsia="宋体" w:cs="Times New Roman"/>
                <w:color w:val="auto"/>
                <w:sz w:val="24"/>
                <w:lang w:eastAsia="zh-CN"/>
              </w:rPr>
              <w:t>《昆明市大气污染防治条例》于2020年10月30日昆明市第十四届人民代表大会常务委员会第三十二次会议通过，2020年11月25日云南省第十三届人民代表大会常务委员会第二十一次会议批准。项目与《昆明市大气污染防治条例》符合性分析见下表所示。</w:t>
            </w:r>
          </w:p>
          <w:p w14:paraId="2573A7ED">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cs="Times New Roman"/>
                <w:b/>
                <w:snapToGrid/>
                <w:color w:val="auto"/>
                <w:kern w:val="2"/>
                <w:sz w:val="24"/>
                <w:szCs w:val="24"/>
                <w:lang w:val="en-US" w:eastAsia="zh-CN" w:bidi="ar"/>
              </w:rPr>
              <w:t>8</w:t>
            </w:r>
            <w:r>
              <w:rPr>
                <w:rFonts w:ascii="Times New Roman" w:hAnsi="Times New Roman" w:eastAsia="宋体" w:cs="Times New Roman"/>
                <w:b/>
                <w:snapToGrid/>
                <w:color w:val="auto"/>
                <w:kern w:val="2"/>
                <w:sz w:val="24"/>
                <w:szCs w:val="24"/>
                <w:lang w:eastAsia="zh-CN" w:bidi="ar"/>
              </w:rPr>
              <w:t>与《昆明市大气污染防治条例》符合性分析</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3412"/>
              <w:gridCol w:w="3752"/>
              <w:gridCol w:w="795"/>
            </w:tblGrid>
            <w:tr w14:paraId="14408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0FE048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3305" w:type="dxa"/>
                  <w:vAlign w:val="center"/>
                </w:tcPr>
                <w:p w14:paraId="0C00187E">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文件相关要求</w:t>
                  </w:r>
                </w:p>
              </w:tc>
              <w:tc>
                <w:tcPr>
                  <w:tcW w:w="3634" w:type="dxa"/>
                  <w:vAlign w:val="center"/>
                </w:tcPr>
                <w:p w14:paraId="7AB859C2">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rPr>
                    <w:t>项目</w:t>
                  </w:r>
                  <w:r>
                    <w:rPr>
                      <w:rFonts w:hint="eastAsia" w:ascii="Times New Roman" w:hAnsi="Times New Roman" w:eastAsia="宋体" w:cs="Times New Roman"/>
                      <w:b/>
                      <w:bCs/>
                      <w:color w:val="auto"/>
                      <w:lang w:eastAsia="zh-CN"/>
                    </w:rPr>
                    <w:t>情况</w:t>
                  </w:r>
                </w:p>
              </w:tc>
              <w:tc>
                <w:tcPr>
                  <w:tcW w:w="770" w:type="dxa"/>
                  <w:vAlign w:val="center"/>
                </w:tcPr>
                <w:p w14:paraId="0D586C5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符合性</w:t>
                  </w:r>
                </w:p>
              </w:tc>
            </w:tr>
            <w:tr w14:paraId="6A856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AABEF9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3305" w:type="dxa"/>
                  <w:vAlign w:val="center"/>
                </w:tcPr>
                <w:p w14:paraId="0113087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企事业单位和其他生产经营者应当采取有效措施，防止、减少大气污染，对所造成的损害依法承担责任。</w:t>
                  </w:r>
                </w:p>
              </w:tc>
              <w:tc>
                <w:tcPr>
                  <w:tcW w:w="3634" w:type="dxa"/>
                  <w:vAlign w:val="center"/>
                </w:tcPr>
                <w:p w14:paraId="52386ED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本次环评提出废气污染防治措施，项目搅拌粉尘经</w:t>
                  </w:r>
                  <w:r>
                    <w:rPr>
                      <w:rFonts w:hint="eastAsia" w:ascii="Times New Roman" w:hAnsi="Times New Roman" w:eastAsia="宋体" w:cs="Times New Roman"/>
                      <w:color w:val="auto"/>
                      <w:lang w:eastAsia="zh-CN"/>
                    </w:rPr>
                    <w:t>管道引至布袋</w:t>
                  </w:r>
                  <w:r>
                    <w:rPr>
                      <w:rFonts w:ascii="Times New Roman" w:hAnsi="Times New Roman" w:eastAsia="宋体" w:cs="Times New Roman"/>
                      <w:color w:val="auto"/>
                      <w:lang w:eastAsia="zh-CN"/>
                    </w:rPr>
                    <w:t>器处理后由</w:t>
                  </w:r>
                  <w:r>
                    <w:rPr>
                      <w:rFonts w:hint="eastAsia" w:ascii="Times New Roman" w:hAnsi="Times New Roman" w:eastAsia="宋体" w:cs="Times New Roman"/>
                      <w:color w:val="auto"/>
                      <w:lang w:eastAsia="zh-CN"/>
                    </w:rPr>
                    <w:t>排气筒（DA001）、</w:t>
                  </w:r>
                  <w:r>
                    <w:rPr>
                      <w:rFonts w:ascii="Times New Roman" w:hAnsi="Times New Roman" w:eastAsia="宋体" w:cs="Times New Roman"/>
                      <w:color w:val="auto"/>
                      <w:lang w:eastAsia="zh-CN"/>
                    </w:rPr>
                    <w:t>筒仓粉尘</w:t>
                  </w:r>
                  <w:r>
                    <w:rPr>
                      <w:rFonts w:hint="eastAsia" w:ascii="Times New Roman" w:hAnsi="Times New Roman" w:eastAsia="宋体" w:cs="Times New Roman"/>
                      <w:color w:val="auto"/>
                      <w:lang w:eastAsia="zh-CN"/>
                    </w:rPr>
                    <w:t>经脉冲布袋除尘器处理后由排气筒（DA00</w:t>
                  </w:r>
                  <w:r>
                    <w:rPr>
                      <w:rFonts w:hint="eastAsia" w:cs="Times New Roman"/>
                      <w:color w:val="auto"/>
                      <w:lang w:val="en-US" w:eastAsia="zh-CN"/>
                    </w:rPr>
                    <w:t>2</w:t>
                  </w:r>
                  <w:r>
                    <w:rPr>
                      <w:rFonts w:hint="eastAsia" w:ascii="Times New Roman" w:hAnsi="Times New Roman" w:eastAsia="宋体" w:cs="Times New Roman"/>
                      <w:color w:val="auto"/>
                      <w:lang w:eastAsia="zh-CN"/>
                    </w:rPr>
                    <w:t>）</w:t>
                  </w:r>
                  <w:r>
                    <w:rPr>
                      <w:rFonts w:hint="eastAsia" w:cs="Times New Roman"/>
                      <w:color w:val="auto"/>
                      <w:lang w:val="en-US" w:eastAsia="zh-CN"/>
                    </w:rPr>
                    <w:t>排放</w:t>
                  </w:r>
                  <w:r>
                    <w:rPr>
                      <w:rFonts w:ascii="Times New Roman" w:hAnsi="Times New Roman" w:eastAsia="宋体" w:cs="Times New Roman"/>
                      <w:color w:val="auto"/>
                      <w:lang w:eastAsia="zh-CN"/>
                    </w:rPr>
                    <w:t>排放</w:t>
                  </w:r>
                  <w:r>
                    <w:rPr>
                      <w:rFonts w:hint="eastAsia" w:ascii="Times New Roman" w:hAnsi="Times New Roman" w:eastAsia="宋体" w:cs="Times New Roman"/>
                      <w:color w:val="auto"/>
                      <w:lang w:eastAsia="zh-CN"/>
                    </w:rPr>
                    <w:t>，废气可达标排放，对环境空气影响较小</w:t>
                  </w:r>
                  <w:r>
                    <w:rPr>
                      <w:rFonts w:ascii="Times New Roman" w:hAnsi="Times New Roman" w:eastAsia="宋体" w:cs="Times New Roman"/>
                      <w:color w:val="auto"/>
                      <w:lang w:eastAsia="zh-CN"/>
                    </w:rPr>
                    <w:t>。</w:t>
                  </w:r>
                  <w:r>
                    <w:rPr>
                      <w:rFonts w:hint="eastAsia" w:cs="Times New Roman"/>
                      <w:color w:val="auto"/>
                      <w:lang w:eastAsia="zh-CN"/>
                    </w:rPr>
                    <w:t>堆场扬尘</w:t>
                  </w:r>
                  <w:r>
                    <w:rPr>
                      <w:rFonts w:ascii="Times New Roman" w:hAnsi="Times New Roman" w:eastAsia="宋体" w:cs="Times New Roman"/>
                      <w:color w:val="auto"/>
                      <w:lang w:eastAsia="zh-CN"/>
                    </w:rPr>
                    <w:t>采取</w:t>
                  </w:r>
                  <w:r>
                    <w:rPr>
                      <w:rFonts w:hint="eastAsia" w:ascii="Times New Roman" w:hAnsi="Times New Roman" w:eastAsia="宋体" w:cs="Times New Roman"/>
                      <w:color w:val="auto"/>
                      <w:lang w:eastAsia="zh-CN"/>
                    </w:rPr>
                    <w:t>封闭厂房+喷雾降尘设施</w:t>
                  </w:r>
                  <w:r>
                    <w:rPr>
                      <w:rFonts w:ascii="Times New Roman" w:hAnsi="Times New Roman" w:eastAsia="宋体" w:cs="Times New Roman"/>
                      <w:color w:val="auto"/>
                      <w:lang w:eastAsia="zh-CN"/>
                    </w:rPr>
                    <w:t>控制扩散影响，建设单位在建设中严格按照环评提出措施进行建设，在运行中对项目废气排放情况负责。</w:t>
                  </w:r>
                </w:p>
              </w:tc>
              <w:tc>
                <w:tcPr>
                  <w:tcW w:w="770" w:type="dxa"/>
                  <w:vAlign w:val="center"/>
                </w:tcPr>
                <w:p w14:paraId="5A00C4A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4B6F6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C7CE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3305" w:type="dxa"/>
                  <w:vAlign w:val="center"/>
                </w:tcPr>
                <w:p w14:paraId="2141668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按照国家有关规定依法实行排污许可管理的单位，应当依法取得排污许可证，并按照排污许可证的规定排放大气污染物，禁止无排污许可证或者不按照排污许可证的规定排放大气污染物。</w:t>
                  </w:r>
                </w:p>
              </w:tc>
              <w:tc>
                <w:tcPr>
                  <w:tcW w:w="3634" w:type="dxa"/>
                  <w:vAlign w:val="center"/>
                </w:tcPr>
                <w:p w14:paraId="65069EE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属于新建</w:t>
                  </w:r>
                  <w:r>
                    <w:rPr>
                      <w:rFonts w:ascii="Times New Roman" w:hAnsi="Times New Roman" w:eastAsia="宋体" w:cs="Times New Roman"/>
                      <w:color w:val="auto"/>
                      <w:lang w:eastAsia="zh-CN"/>
                    </w:rPr>
                    <w:t>项目，</w:t>
                  </w:r>
                  <w:r>
                    <w:rPr>
                      <w:rFonts w:hint="eastAsia" w:ascii="Times New Roman" w:hAnsi="Times New Roman" w:eastAsia="宋体" w:cs="Times New Roman"/>
                      <w:color w:val="auto"/>
                      <w:lang w:eastAsia="zh-CN"/>
                    </w:rPr>
                    <w:t>建设完成后将</w:t>
                  </w:r>
                  <w:r>
                    <w:rPr>
                      <w:rFonts w:ascii="Times New Roman" w:hAnsi="Times New Roman" w:eastAsia="宋体" w:cs="Times New Roman"/>
                      <w:color w:val="auto"/>
                      <w:lang w:eastAsia="zh-CN"/>
                    </w:rPr>
                    <w:t>完善排污许可相关工作，持证排污。</w:t>
                  </w:r>
                </w:p>
              </w:tc>
              <w:tc>
                <w:tcPr>
                  <w:tcW w:w="770" w:type="dxa"/>
                  <w:vAlign w:val="center"/>
                </w:tcPr>
                <w:p w14:paraId="4A0C0D8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23754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AE3C4F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w:t>
                  </w:r>
                </w:p>
              </w:tc>
              <w:tc>
                <w:tcPr>
                  <w:tcW w:w="3305" w:type="dxa"/>
                  <w:vAlign w:val="center"/>
                </w:tcPr>
                <w:p w14:paraId="5F07366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禁止排放超过排放标准或者超过重点大气污染物排放总量控制指标的大气污染物。</w:t>
                  </w:r>
                </w:p>
              </w:tc>
              <w:tc>
                <w:tcPr>
                  <w:tcW w:w="3634" w:type="dxa"/>
                  <w:vAlign w:val="center"/>
                </w:tcPr>
                <w:p w14:paraId="32BEF9F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项目在运营过程中禁止排放超过排放标准或者超过重点大气污染物排放总量控制指标的大气污染物。</w:t>
                  </w:r>
                </w:p>
              </w:tc>
              <w:tc>
                <w:tcPr>
                  <w:tcW w:w="770" w:type="dxa"/>
                  <w:vAlign w:val="center"/>
                </w:tcPr>
                <w:p w14:paraId="6389405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6D456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47FA29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4</w:t>
                  </w:r>
                </w:p>
              </w:tc>
              <w:tc>
                <w:tcPr>
                  <w:tcW w:w="3305" w:type="dxa"/>
                  <w:vAlign w:val="center"/>
                </w:tcPr>
                <w:p w14:paraId="0F8CFBD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排放大气污染物的企业事业单位和其他生产经营者应当加强精细化管理，严格按照有关规定，配套建设、使用和维护大气污染防治装备。</w:t>
                  </w:r>
                </w:p>
              </w:tc>
              <w:tc>
                <w:tcPr>
                  <w:tcW w:w="3634" w:type="dxa"/>
                  <w:vAlign w:val="center"/>
                </w:tcPr>
                <w:p w14:paraId="2EA5DBB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本次评价提出了项目主要污染防治措施，建设单位在建设和运行中对污染防治措施及设备进行精细化管理，配套建设、使用和维护大气污染防治设备。</w:t>
                  </w:r>
                </w:p>
              </w:tc>
              <w:tc>
                <w:tcPr>
                  <w:tcW w:w="770" w:type="dxa"/>
                  <w:vAlign w:val="center"/>
                </w:tcPr>
                <w:p w14:paraId="2BEAE44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1A30E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E44E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5</w:t>
                  </w:r>
                </w:p>
              </w:tc>
              <w:tc>
                <w:tcPr>
                  <w:tcW w:w="3305" w:type="dxa"/>
                  <w:vAlign w:val="center"/>
                </w:tcPr>
                <w:p w14:paraId="66A01ED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向大气排放污染物的企业事业单位和其他生产经营者，应当按照有关规定设置大气污染排放口。禁止通过偷排、篡改或者伪造监测数据、以逃避现场检查为目的的临时停产、非紧急情况下开启应急排放通道、擅自拆除或者不正常运行大气污染防治设施等逃避监管的方式排放大气污染物。</w:t>
                  </w:r>
                </w:p>
              </w:tc>
              <w:tc>
                <w:tcPr>
                  <w:tcW w:w="3634" w:type="dxa"/>
                  <w:vAlign w:val="center"/>
                </w:tcPr>
                <w:p w14:paraId="27CB965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项目设置了</w:t>
                  </w:r>
                  <w:r>
                    <w:rPr>
                      <w:rFonts w:hint="eastAsia" w:ascii="Times New Roman" w:hAnsi="Times New Roman" w:eastAsia="宋体" w:cs="Times New Roman"/>
                      <w:color w:val="auto"/>
                      <w:lang w:eastAsia="zh-CN"/>
                    </w:rPr>
                    <w:t>1</w:t>
                  </w:r>
                  <w:r>
                    <w:rPr>
                      <w:rFonts w:ascii="Times New Roman" w:hAnsi="Times New Roman" w:eastAsia="宋体" w:cs="Times New Roman"/>
                      <w:color w:val="auto"/>
                      <w:lang w:eastAsia="zh-CN"/>
                    </w:rPr>
                    <w:t>根15m高的排气筒</w:t>
                  </w:r>
                  <w:r>
                    <w:rPr>
                      <w:rFonts w:hint="eastAsia" w:cs="Times New Roman"/>
                      <w:color w:val="auto"/>
                      <w:lang w:eastAsia="zh-CN"/>
                    </w:rPr>
                    <w:t>、</w:t>
                  </w:r>
                  <w:r>
                    <w:rPr>
                      <w:rFonts w:hint="eastAsia" w:cs="Times New Roman"/>
                      <w:color w:val="auto"/>
                      <w:lang w:val="en-US" w:eastAsia="zh-CN"/>
                    </w:rPr>
                    <w:t>1根在17m筒仓顶部1m高的排气筒</w:t>
                  </w:r>
                  <w:r>
                    <w:rPr>
                      <w:rFonts w:ascii="Times New Roman" w:hAnsi="Times New Roman" w:eastAsia="宋体" w:cs="Times New Roman"/>
                      <w:color w:val="auto"/>
                      <w:lang w:eastAsia="zh-CN"/>
                    </w:rPr>
                    <w:t>对项目处理达标的废气进行排放。建设单位在运行中应保持污染防治措施与生产设备同步运行，保证不进行偷排、篡改监测数据等违法行为，加强污染防治设备运行维护工作，确保大气污染物达标排放。</w:t>
                  </w:r>
                </w:p>
              </w:tc>
              <w:tc>
                <w:tcPr>
                  <w:tcW w:w="770" w:type="dxa"/>
                  <w:vAlign w:val="center"/>
                </w:tcPr>
                <w:p w14:paraId="4852591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0ED80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61E7EB1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w:t>
                  </w:r>
                </w:p>
              </w:tc>
              <w:tc>
                <w:tcPr>
                  <w:tcW w:w="3305" w:type="dxa"/>
                  <w:vAlign w:val="center"/>
                </w:tcPr>
                <w:p w14:paraId="1933E77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下列产生含挥发性有机物废气的生产和服务活动，应当在密闭空间或者装置中进行，并按照规定安装、使用污染防治设施；无法密闭的，应当采取高效处理措施减少废气排放：石油炼制及有机化学品、合成树脂、合成纤维、合成橡胶等行业；制药、农药、涂料、油墨、胶粘剂、橡胶和塑料加工等行业；汽车、家具、集装箱、电子产品、工程机械等行业；塑料软包装印刷、印铁制罐等行业；其他产生挥发性有机物的生产和服务活动。</w:t>
                  </w:r>
                </w:p>
              </w:tc>
              <w:tc>
                <w:tcPr>
                  <w:tcW w:w="3634" w:type="dxa"/>
                  <w:vAlign w:val="center"/>
                </w:tcPr>
                <w:p w14:paraId="7743ACF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本项目主要废气污染物</w:t>
                  </w:r>
                </w:p>
                <w:p w14:paraId="7A4ED59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为颗粒物，不产生挥发性有机物。</w:t>
                  </w:r>
                </w:p>
              </w:tc>
              <w:tc>
                <w:tcPr>
                  <w:tcW w:w="770" w:type="dxa"/>
                  <w:vAlign w:val="center"/>
                </w:tcPr>
                <w:p w14:paraId="3D660B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71D1D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0FA60A0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7</w:t>
                  </w:r>
                </w:p>
              </w:tc>
              <w:tc>
                <w:tcPr>
                  <w:tcW w:w="3305" w:type="dxa"/>
                  <w:vAlign w:val="center"/>
                </w:tcPr>
                <w:p w14:paraId="6FDBB66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生产、进口、销售和使用含挥发性有机物原材料和产品的，其挥发性有机物含量应当符合质量标准或者要求。</w:t>
                  </w:r>
                </w:p>
              </w:tc>
              <w:tc>
                <w:tcPr>
                  <w:tcW w:w="3634" w:type="dxa"/>
                  <w:vAlign w:val="center"/>
                </w:tcPr>
                <w:p w14:paraId="5AF0D9D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本项目主要废气污染物为颗粒物，不产生挥发性有机物。</w:t>
                  </w:r>
                </w:p>
              </w:tc>
              <w:tc>
                <w:tcPr>
                  <w:tcW w:w="770" w:type="dxa"/>
                  <w:vAlign w:val="center"/>
                </w:tcPr>
                <w:p w14:paraId="64E2F4A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24CD5F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1972A1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8</w:t>
                  </w:r>
                </w:p>
              </w:tc>
              <w:tc>
                <w:tcPr>
                  <w:tcW w:w="3305" w:type="dxa"/>
                  <w:vAlign w:val="center"/>
                </w:tcPr>
                <w:p w14:paraId="5DA1A85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建设单位应当将防治扬尘污染的费用纳入工程造价，并在施工承包合同中明确施工单位扬尘污染防治责</w:t>
                  </w:r>
                </w:p>
                <w:p w14:paraId="1DC4B88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任。</w:t>
                  </w:r>
                </w:p>
              </w:tc>
              <w:tc>
                <w:tcPr>
                  <w:tcW w:w="3634" w:type="dxa"/>
                  <w:vAlign w:val="center"/>
                </w:tcPr>
                <w:p w14:paraId="1EE7C42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项目施工扬尘主要是简单的建构筑物建设及设备安装中产生，项目施工期短，施工期间须采取人工洒水降尘措施减少扬尘污染，项目施工扬尘污染防治责任由施工单位承担。</w:t>
                  </w:r>
                </w:p>
              </w:tc>
              <w:tc>
                <w:tcPr>
                  <w:tcW w:w="770" w:type="dxa"/>
                  <w:vAlign w:val="center"/>
                </w:tcPr>
                <w:p w14:paraId="3C5BB2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符合</w:t>
                  </w:r>
                </w:p>
              </w:tc>
            </w:tr>
            <w:tr w14:paraId="05074D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417" w:type="dxa"/>
                  <w:vAlign w:val="center"/>
                </w:tcPr>
                <w:p w14:paraId="75E0FDB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9</w:t>
                  </w:r>
                </w:p>
              </w:tc>
              <w:tc>
                <w:tcPr>
                  <w:tcW w:w="3305" w:type="dxa"/>
                  <w:vAlign w:val="center"/>
                </w:tcPr>
                <w:p w14:paraId="5371F87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矿产资源开采、露天物料堆场等应当采用防风抑尘工艺、技术和设备，采取有效措施防治扬尘污染。</w:t>
                  </w:r>
                </w:p>
              </w:tc>
              <w:tc>
                <w:tcPr>
                  <w:tcW w:w="3634" w:type="dxa"/>
                  <w:vAlign w:val="center"/>
                </w:tcPr>
                <w:p w14:paraId="56560D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项目所有厂房均为封闭式，仅留有出入口，原料堆场设置于厂房内，厂房出入口及顶棚出气口设置喷雾降尘设施，可有效防治扬尘</w:t>
                  </w:r>
                  <w:r>
                    <w:rPr>
                      <w:rFonts w:ascii="Times New Roman" w:hAnsi="Times New Roman" w:eastAsia="宋体" w:cs="Times New Roman"/>
                      <w:color w:val="auto"/>
                      <w:lang w:eastAsia="zh-CN"/>
                    </w:rPr>
                    <w:t>。</w:t>
                  </w:r>
                </w:p>
              </w:tc>
              <w:tc>
                <w:tcPr>
                  <w:tcW w:w="770" w:type="dxa"/>
                  <w:vAlign w:val="center"/>
                </w:tcPr>
                <w:p w14:paraId="3E45562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符合</w:t>
                  </w:r>
                </w:p>
              </w:tc>
            </w:tr>
          </w:tbl>
          <w:p w14:paraId="043B6CBF">
            <w:pPr>
              <w:pStyle w:val="8"/>
              <w:widowControl/>
              <w:kinsoku/>
              <w:overflowPunct w:val="0"/>
              <w:autoSpaceDE/>
              <w:autoSpaceDN/>
              <w:adjustRightInd/>
              <w:snapToGrid/>
              <w:spacing w:line="360" w:lineRule="auto"/>
              <w:ind w:firstLine="480" w:firstLineChars="200"/>
              <w:rPr>
                <w:rFonts w:ascii="Times New Roman" w:hAnsi="Times New Roman" w:eastAsia="宋体" w:cs="Times New Roman"/>
                <w:b/>
                <w:color w:val="auto"/>
                <w:sz w:val="24"/>
                <w:lang w:eastAsia="zh-CN"/>
              </w:rPr>
            </w:pPr>
            <w:r>
              <w:rPr>
                <w:rFonts w:ascii="Times New Roman" w:hAnsi="Times New Roman" w:eastAsia="宋体" w:cs="Times New Roman"/>
                <w:color w:val="auto"/>
                <w:sz w:val="24"/>
                <w:lang w:eastAsia="zh-CN"/>
              </w:rPr>
              <w:t>综上，本项目建设与《昆明市大气污染防治条例》相符。</w:t>
            </w:r>
          </w:p>
          <w:p w14:paraId="76C783C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w:t>
            </w:r>
            <w:r>
              <w:rPr>
                <w:rFonts w:hint="eastAsia" w:cs="Times New Roman"/>
                <w:b/>
                <w:color w:val="auto"/>
                <w:sz w:val="24"/>
                <w:lang w:val="en-US" w:eastAsia="zh-CN"/>
              </w:rPr>
              <w:t>0</w:t>
            </w:r>
            <w:r>
              <w:rPr>
                <w:rFonts w:hint="eastAsia" w:ascii="Times New Roman" w:hAnsi="Times New Roman" w:eastAsia="宋体" w:cs="Times New Roman"/>
                <w:b/>
                <w:color w:val="auto"/>
                <w:sz w:val="24"/>
                <w:lang w:eastAsia="zh-CN"/>
              </w:rPr>
              <w:t>、</w:t>
            </w:r>
            <w:r>
              <w:rPr>
                <w:rFonts w:ascii="Times New Roman" w:hAnsi="Times New Roman" w:eastAsia="宋体" w:cs="Times New Roman"/>
                <w:b/>
                <w:bCs/>
                <w:color w:val="auto"/>
                <w:sz w:val="24"/>
                <w:szCs w:val="24"/>
                <w:lang w:eastAsia="zh-CN"/>
              </w:rPr>
              <w:t>与《云南省土壤、地下水污染防治“十四五”规划》符合性分析</w:t>
            </w:r>
          </w:p>
          <w:p w14:paraId="5F171918">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项目与《云南省土壤、地下水污染防治“十四五”规划》符合性如下：</w:t>
            </w:r>
          </w:p>
          <w:p w14:paraId="142AA9BA">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cs="Times New Roman"/>
                <w:b/>
                <w:snapToGrid/>
                <w:color w:val="auto"/>
                <w:kern w:val="2"/>
                <w:sz w:val="24"/>
                <w:szCs w:val="24"/>
                <w:lang w:val="en-US" w:eastAsia="zh-CN" w:bidi="ar"/>
              </w:rPr>
              <w:t>9</w:t>
            </w:r>
            <w:r>
              <w:rPr>
                <w:rFonts w:ascii="Times New Roman" w:hAnsi="Times New Roman" w:eastAsia="宋体" w:cs="Times New Roman"/>
                <w:b/>
                <w:snapToGrid/>
                <w:color w:val="auto"/>
                <w:kern w:val="2"/>
                <w:sz w:val="24"/>
                <w:szCs w:val="24"/>
                <w:lang w:eastAsia="zh-CN" w:bidi="ar"/>
              </w:rPr>
              <w:t>与云南省土壤、地下水污染防治“十四五”规划符合性分析表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4"/>
              <w:gridCol w:w="4212"/>
              <w:gridCol w:w="864"/>
            </w:tblGrid>
            <w:tr w14:paraId="2377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43BE0FA6">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要求（摘录）</w:t>
                  </w:r>
                </w:p>
              </w:tc>
              <w:tc>
                <w:tcPr>
                  <w:tcW w:w="4077" w:type="dxa"/>
                  <w:vAlign w:val="center"/>
                </w:tcPr>
                <w:p w14:paraId="6D6B2D4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项目情况</w:t>
                  </w:r>
                </w:p>
              </w:tc>
              <w:tc>
                <w:tcPr>
                  <w:tcW w:w="836" w:type="dxa"/>
                  <w:vAlign w:val="center"/>
                </w:tcPr>
                <w:p w14:paraId="43B575D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符合性</w:t>
                  </w:r>
                </w:p>
              </w:tc>
            </w:tr>
            <w:tr w14:paraId="565B0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2CA1A5B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防范</w:t>
                  </w:r>
                  <w:r>
                    <w:rPr>
                      <w:rFonts w:hint="eastAsia" w:ascii="Times New Roman" w:hAnsi="Times New Roman" w:eastAsia="宋体" w:cs="Times New Roman"/>
                      <w:color w:val="auto"/>
                      <w:sz w:val="21"/>
                      <w:szCs w:val="21"/>
                      <w:lang w:eastAsia="zh-CN"/>
                    </w:rPr>
                    <w:t>工矿企业</w:t>
                  </w:r>
                  <w:r>
                    <w:rPr>
                      <w:rFonts w:ascii="Times New Roman" w:hAnsi="Times New Roman" w:eastAsia="宋体" w:cs="Times New Roman"/>
                      <w:color w:val="auto"/>
                      <w:sz w:val="21"/>
                      <w:szCs w:val="21"/>
                      <w:lang w:eastAsia="zh-CN"/>
                    </w:rPr>
                    <w:t>新增土壤污染。严格建设项目土壤环境影响评价制度。对涉及有毒有害物质可能造成土壤污染的新</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改、扩</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建项目，依法进行环境影响评价，提出并落实防腐蚀、防渗漏、防遗撒等土壤污染防治具体措施。建设项目配套建设的土壤污染防治设施，应当与主体工程同时设计、同时施工、同时投入使用。</w:t>
                  </w:r>
                </w:p>
              </w:tc>
              <w:tc>
                <w:tcPr>
                  <w:tcW w:w="4077" w:type="dxa"/>
                  <w:vAlign w:val="center"/>
                </w:tcPr>
                <w:p w14:paraId="505FBBA4">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项目为新建项目，建设单位拟对生产区、</w:t>
                  </w:r>
                  <w:r>
                    <w:rPr>
                      <w:rFonts w:hint="eastAsia" w:ascii="Times New Roman" w:hAnsi="Times New Roman" w:eastAsia="宋体" w:cs="Times New Roman"/>
                      <w:color w:val="auto"/>
                      <w:sz w:val="21"/>
                      <w:szCs w:val="21"/>
                      <w:lang w:eastAsia="zh-CN"/>
                    </w:rPr>
                    <w:t>原料</w:t>
                  </w:r>
                  <w:r>
                    <w:rPr>
                      <w:rFonts w:ascii="Times New Roman" w:hAnsi="Times New Roman" w:eastAsia="宋体" w:cs="Times New Roman"/>
                      <w:color w:val="auto"/>
                      <w:sz w:val="21"/>
                      <w:szCs w:val="21"/>
                      <w:lang w:eastAsia="zh-CN"/>
                    </w:rPr>
                    <w:t>堆场</w:t>
                  </w:r>
                  <w:r>
                    <w:rPr>
                      <w:rFonts w:hint="eastAsia" w:ascii="Times New Roman" w:hAnsi="Times New Roman" w:eastAsia="宋体" w:cs="Times New Roman"/>
                      <w:color w:val="auto"/>
                      <w:sz w:val="21"/>
                      <w:szCs w:val="21"/>
                      <w:lang w:eastAsia="zh-CN"/>
                    </w:rPr>
                    <w:t>、成品仓库、废品仓库</w:t>
                  </w:r>
                  <w:r>
                    <w:rPr>
                      <w:rFonts w:ascii="Times New Roman" w:hAnsi="Times New Roman" w:eastAsia="宋体" w:cs="Times New Roman"/>
                      <w:color w:val="auto"/>
                      <w:sz w:val="21"/>
                      <w:szCs w:val="21"/>
                      <w:lang w:eastAsia="zh-CN"/>
                    </w:rPr>
                    <w:t>地面采用夯实粘土层（厚度0.75m，K≤1×10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r>
                    <w:rPr>
                      <w:rFonts w:ascii="Times New Roman" w:hAnsi="Times New Roman" w:eastAsia="宋体" w:cs="Times New Roman"/>
                      <w:color w:val="auto"/>
                      <w:sz w:val="21"/>
                      <w:szCs w:val="21"/>
                      <w:lang w:eastAsia="zh-CN"/>
                    </w:rPr>
                    <w:t>项目通过上述措施能够有效防污染地下水和土壤。建设项目配套建设的土壤污染防治设施与主体工程同时设计、同时投入使用。</w:t>
                  </w:r>
                </w:p>
              </w:tc>
              <w:tc>
                <w:tcPr>
                  <w:tcW w:w="836" w:type="dxa"/>
                  <w:vAlign w:val="center"/>
                </w:tcPr>
                <w:p w14:paraId="03AE721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08D47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08" w:type="dxa"/>
                  <w:vAlign w:val="center"/>
                </w:tcPr>
                <w:p w14:paraId="7C48A649">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开展土壤污染状况调查评估。以用途变更为“一住两公”的地块、关闭搬迁及腾退工矿企业地块、优先管控名录等为重点，依法依规开展土壤污染状况调查和风险评估；开展73类行业以外的典型行业土壤污染状况调查。鼓励对拟开发利用的地块，因地制宜适当提前开展土壤污染状况调查，化解建设用地土壤污染风险管控和修复与土地开发进度之间的矛盾。督促土壤污染重点监管单位生产经营用地的用途变更或者在其土地使用权收回、转让前，开展土壤污染状况调查，并依法落实不动产登记备案要求。强化建设用地土壤污染状况调查评估质量监督管理，完善报告抽查机制。</w:t>
                  </w:r>
                </w:p>
              </w:tc>
              <w:tc>
                <w:tcPr>
                  <w:tcW w:w="4077" w:type="dxa"/>
                  <w:vAlign w:val="center"/>
                </w:tcPr>
                <w:p w14:paraId="0A202C4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本项目建设用地</w:t>
                  </w:r>
                  <w:r>
                    <w:rPr>
                      <w:rFonts w:hint="eastAsia" w:ascii="Times New Roman" w:hAnsi="Times New Roman" w:eastAsia="宋体" w:cs="Times New Roman"/>
                      <w:color w:val="auto"/>
                      <w:sz w:val="21"/>
                      <w:szCs w:val="21"/>
                      <w:lang w:eastAsia="zh-CN"/>
                    </w:rPr>
                    <w:t>为工业用地，地块部分建设有一个封闭厂房，原用于堆放散煤，未进行其他生产，其余部分为空闲场地，建设单位与村委会签订租用合同前，村民已停止继续堆放行为，但留存有少量未清运散煤。该地块未发生过环境污染事件，未出现周围村民投诉的情况。为了解土壤污染现状并保留背景值，对项目区内土壤进行监测。根据监测结果，项目区内土壤监测指标均低于《土壤环境质量 建设用地土壤污染风险管控标准》（GB36600-2018）中的风险筛选值，项目区域土壤环境良好，</w:t>
                  </w:r>
                  <w:r>
                    <w:rPr>
                      <w:rFonts w:hint="eastAsia" w:ascii="Times New Roman" w:hAnsi="Times New Roman" w:eastAsia="宋体" w:cs="Times New Roman"/>
                      <w:color w:val="auto"/>
                      <w:sz w:val="21"/>
                      <w:szCs w:val="21"/>
                      <w:lang w:val="en-US" w:eastAsia="zh-CN"/>
                    </w:rPr>
                    <w:t>不存在遗留污染问题</w:t>
                  </w:r>
                  <w:r>
                    <w:rPr>
                      <w:rFonts w:hint="eastAsia" w:ascii="Times New Roman" w:hAnsi="Times New Roman" w:eastAsia="宋体" w:cs="Times New Roman"/>
                      <w:color w:val="auto"/>
                      <w:sz w:val="21"/>
                      <w:szCs w:val="21"/>
                      <w:lang w:eastAsia="zh-CN"/>
                    </w:rPr>
                    <w:t>。</w:t>
                  </w:r>
                </w:p>
              </w:tc>
              <w:tc>
                <w:tcPr>
                  <w:tcW w:w="836" w:type="dxa"/>
                  <w:vAlign w:val="center"/>
                </w:tcPr>
                <w:p w14:paraId="0F4FF0C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bl>
          <w:p w14:paraId="5B3B553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项目符合《云南省土壤、地下水污染防治“十四五”规划》相关要求。</w:t>
            </w:r>
          </w:p>
          <w:p w14:paraId="0E414E2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w:t>
            </w:r>
            <w:r>
              <w:rPr>
                <w:rFonts w:hint="eastAsia" w:cs="Times New Roman"/>
                <w:b/>
                <w:color w:val="auto"/>
                <w:sz w:val="24"/>
                <w:lang w:val="en-US" w:eastAsia="zh-CN"/>
              </w:rPr>
              <w:t>1</w:t>
            </w:r>
            <w:r>
              <w:rPr>
                <w:rFonts w:hint="eastAsia" w:ascii="Times New Roman" w:hAnsi="Times New Roman" w:eastAsia="宋体" w:cs="Times New Roman"/>
                <w:b/>
                <w:color w:val="auto"/>
                <w:sz w:val="24"/>
                <w:lang w:eastAsia="zh-CN"/>
              </w:rPr>
              <w:t>、</w:t>
            </w:r>
            <w:r>
              <w:rPr>
                <w:rFonts w:ascii="Times New Roman" w:hAnsi="Times New Roman" w:eastAsia="宋体" w:cs="Times New Roman"/>
                <w:b/>
                <w:bCs/>
                <w:color w:val="auto"/>
                <w:sz w:val="24"/>
                <w:szCs w:val="24"/>
                <w:lang w:eastAsia="zh-CN"/>
              </w:rPr>
              <w:t>与关于“十四五”大宗固体废弃物综合利用的指导意见相符性分析</w:t>
            </w:r>
          </w:p>
          <w:p w14:paraId="7A606EA8">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cs="Times New Roman"/>
                <w:b/>
                <w:snapToGrid/>
                <w:color w:val="auto"/>
                <w:kern w:val="2"/>
                <w:sz w:val="24"/>
                <w:szCs w:val="24"/>
                <w:lang w:val="en-US" w:eastAsia="zh-CN" w:bidi="ar"/>
              </w:rPr>
              <w:t>10</w:t>
            </w:r>
            <w:r>
              <w:rPr>
                <w:rFonts w:ascii="Times New Roman" w:hAnsi="Times New Roman" w:eastAsia="宋体" w:cs="Times New Roman"/>
                <w:b/>
                <w:snapToGrid/>
                <w:color w:val="auto"/>
                <w:kern w:val="2"/>
                <w:sz w:val="24"/>
                <w:szCs w:val="24"/>
                <w:lang w:eastAsia="zh-CN" w:bidi="ar"/>
              </w:rPr>
              <w:t>项目与关于“十四五”大宗固体废弃物综合利用的指导意见相符性分析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2"/>
              <w:gridCol w:w="2977"/>
              <w:gridCol w:w="931"/>
            </w:tblGrid>
            <w:tr w14:paraId="55F43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6082153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相关要求</w:t>
                  </w:r>
                </w:p>
              </w:tc>
              <w:tc>
                <w:tcPr>
                  <w:tcW w:w="2882" w:type="dxa"/>
                  <w:vAlign w:val="center"/>
                </w:tcPr>
                <w:p w14:paraId="7974FEA6">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项目情况</w:t>
                  </w:r>
                </w:p>
              </w:tc>
              <w:tc>
                <w:tcPr>
                  <w:tcW w:w="901" w:type="dxa"/>
                  <w:vAlign w:val="center"/>
                </w:tcPr>
                <w:p w14:paraId="185A296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符合性</w:t>
                  </w:r>
                </w:p>
              </w:tc>
            </w:tr>
            <w:tr w14:paraId="23C4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14C8A46D">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完善综合性政策措施，激发各类市场主体活力，充分发挥市场配置资源的决定性作用，更好发挥政府作用，加快发展壮大大宗固废综合利用产业。积极拓宽大宗固废综合利用渠道，进一步扩大利用规模，力争吃干榨尽，不断提高资源综合利用产品附加值，增强产业核心竞争力坚持消纳存量与控制增量相结合。依法依规、科学有序消纳存量大宗固废；因地制宜、综合施策，有效降低大宗固废产排强度，加大综合利用力度，严控新增大宗固废堆存量。</w:t>
                  </w:r>
                </w:p>
                <w:p w14:paraId="705897D3">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坚持突出重点与系统治理相结合。加强大宗固废综合利用全过程管理，协同推进产废、利废和规范处置各环节，严守大宗固废综合利用和安全处置的环境底线。</w:t>
                  </w:r>
                </w:p>
                <w:p w14:paraId="11C57CA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坚持技术创新与模式创新相结合。强化创新引领，突破大宗固废综合利用技术瓶颈，加快先进适用技术推广应用，加强示范引领，培育大宗固废综合利用新模式。</w:t>
                  </w:r>
                </w:p>
              </w:tc>
              <w:tc>
                <w:tcPr>
                  <w:tcW w:w="2882" w:type="dxa"/>
                  <w:vAlign w:val="center"/>
                </w:tcPr>
                <w:p w14:paraId="604AF372">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项目属于改性磷石膏综合利用项目，为改性磷石膏生产行业的下游企业，有利于</w:t>
                  </w:r>
                  <w:r>
                    <w:rPr>
                      <w:rFonts w:ascii="Times New Roman" w:hAnsi="Times New Roman" w:eastAsia="宋体" w:cs="Times New Roman"/>
                      <w:color w:val="auto"/>
                      <w:sz w:val="21"/>
                      <w:szCs w:val="21"/>
                      <w:lang w:eastAsia="zh-CN"/>
                    </w:rPr>
                    <w:t>大宗固废综合利用产业</w:t>
                  </w:r>
                  <w:r>
                    <w:rPr>
                      <w:rFonts w:hint="eastAsia" w:ascii="Times New Roman" w:hAnsi="Times New Roman" w:eastAsia="宋体" w:cs="Times New Roman"/>
                      <w:color w:val="auto"/>
                      <w:sz w:val="21"/>
                      <w:szCs w:val="21"/>
                      <w:lang w:eastAsia="zh-CN"/>
                    </w:rPr>
                    <w:t>发展。项目利用改性磷石膏、砂石骨料、粉煤灰生产</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生产过程中废气得到有效处置，生产区、原料堆场、成品仓库、废品仓库均采取三防措施，满足《一般工业固体废物贮存和填埋污染控制标准》（GB 18599-2020）</w:t>
                  </w:r>
                  <w:r>
                    <w:rPr>
                      <w:rFonts w:hint="eastAsia" w:ascii="Times New Roman" w:hAnsi="Times New Roman" w:eastAsia="宋体" w:cs="Times New Roman"/>
                      <w:color w:val="auto"/>
                      <w:sz w:val="21"/>
                      <w:szCs w:val="21"/>
                      <w:lang w:eastAsia="zh-CN"/>
                    </w:rPr>
                    <w:t>Ⅱ类场</w:t>
                  </w:r>
                  <w:r>
                    <w:rPr>
                      <w:rFonts w:ascii="Times New Roman" w:hAnsi="Times New Roman" w:eastAsia="宋体" w:cs="Times New Roman"/>
                      <w:color w:val="auto"/>
                      <w:sz w:val="21"/>
                      <w:szCs w:val="21"/>
                      <w:lang w:eastAsia="zh-CN"/>
                    </w:rPr>
                    <w:t>要求，符合指导意见的要求。</w:t>
                  </w:r>
                </w:p>
              </w:tc>
              <w:tc>
                <w:tcPr>
                  <w:tcW w:w="901" w:type="dxa"/>
                  <w:vAlign w:val="center"/>
                </w:tcPr>
                <w:p w14:paraId="366A36C7">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1981B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38" w:type="dxa"/>
                  <w:vAlign w:val="center"/>
                </w:tcPr>
                <w:p w14:paraId="3CB30825">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拓宽磷石膏利用途径，继续推广磷石膏在生产水泥和新型建筑材料等领域的利用，在确保环境安全的前提下，探索磷石膏在土壤改良、井下充填、路基材料等领域的应用。</w:t>
                  </w:r>
                </w:p>
              </w:tc>
              <w:tc>
                <w:tcPr>
                  <w:tcW w:w="2882" w:type="dxa"/>
                  <w:vAlign w:val="center"/>
                </w:tcPr>
                <w:p w14:paraId="3B4C444A">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本项目利用改性磷石膏进行路基材料生产，项目使用的原料为第</w:t>
                  </w:r>
                  <w:r>
                    <w:rPr>
                      <w:rFonts w:hint="eastAsia" w:ascii="Times New Roman" w:hAnsi="Times New Roman" w:eastAsia="宋体" w:cs="Times New Roman"/>
                      <w:color w:val="auto"/>
                      <w:sz w:val="21"/>
                      <w:szCs w:val="21"/>
                      <w:lang w:eastAsia="zh-CN"/>
                    </w:rPr>
                    <w:t>Ⅰ</w:t>
                  </w:r>
                  <w:r>
                    <w:rPr>
                      <w:rFonts w:ascii="Times New Roman" w:hAnsi="Times New Roman" w:eastAsia="宋体" w:cs="Times New Roman"/>
                      <w:color w:val="auto"/>
                      <w:sz w:val="21"/>
                      <w:szCs w:val="21"/>
                      <w:lang w:eastAsia="zh-CN"/>
                    </w:rPr>
                    <w:t>类一般工业固体废物，项目生产工艺简单，生产过程</w:t>
                  </w:r>
                  <w:r>
                    <w:rPr>
                      <w:rFonts w:hint="eastAsia" w:ascii="Times New Roman" w:hAnsi="Times New Roman" w:eastAsia="宋体" w:cs="Times New Roman"/>
                      <w:color w:val="auto"/>
                      <w:sz w:val="21"/>
                      <w:szCs w:val="21"/>
                      <w:lang w:eastAsia="zh-CN"/>
                    </w:rPr>
                    <w:t>仅产生粉尘，</w:t>
                  </w:r>
                  <w:r>
                    <w:rPr>
                      <w:rFonts w:ascii="Times New Roman" w:hAnsi="Times New Roman" w:eastAsia="宋体" w:cs="Times New Roman"/>
                      <w:color w:val="auto"/>
                      <w:sz w:val="21"/>
                      <w:szCs w:val="21"/>
                      <w:lang w:eastAsia="zh-CN"/>
                    </w:rPr>
                    <w:t>不会产生其他有毒有害物质，确保了环境安全，符合指导意见的要求。</w:t>
                  </w:r>
                </w:p>
              </w:tc>
              <w:tc>
                <w:tcPr>
                  <w:tcW w:w="901" w:type="dxa"/>
                  <w:vAlign w:val="center"/>
                </w:tcPr>
                <w:p w14:paraId="77E4A45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219D65C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综上，项目符合“十四五”大宗固体废弃物综合利用的指导意见要求。</w:t>
            </w:r>
          </w:p>
          <w:p w14:paraId="2E554A1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w:t>
            </w:r>
            <w:r>
              <w:rPr>
                <w:rFonts w:hint="eastAsia" w:cs="Times New Roman"/>
                <w:b/>
                <w:color w:val="auto"/>
                <w:sz w:val="24"/>
                <w:lang w:val="en-US" w:eastAsia="zh-CN"/>
              </w:rPr>
              <w:t>2</w:t>
            </w:r>
            <w:r>
              <w:rPr>
                <w:rFonts w:hint="eastAsia" w:ascii="Times New Roman" w:hAnsi="Times New Roman" w:eastAsia="宋体" w:cs="Times New Roman"/>
                <w:b/>
                <w:color w:val="auto"/>
                <w:sz w:val="24"/>
                <w:lang w:eastAsia="zh-CN"/>
              </w:rPr>
              <w:t>、与</w:t>
            </w:r>
            <w:r>
              <w:rPr>
                <w:rFonts w:ascii="Times New Roman" w:hAnsi="Times New Roman" w:eastAsia="宋体" w:cs="Times New Roman"/>
                <w:b/>
                <w:bCs/>
                <w:color w:val="auto"/>
                <w:sz w:val="24"/>
                <w:szCs w:val="24"/>
                <w:lang w:eastAsia="zh-CN"/>
              </w:rPr>
              <w:t>《一般工业固体废物贮存和填埋污染控制标准》（GB18599-2020）相符性分析</w:t>
            </w:r>
          </w:p>
          <w:p w14:paraId="19076DC8">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1</w:t>
            </w:r>
            <w:r>
              <w:rPr>
                <w:rFonts w:ascii="Times New Roman" w:hAnsi="Times New Roman" w:eastAsia="宋体" w:cs="Times New Roman"/>
                <w:b/>
                <w:snapToGrid/>
                <w:color w:val="auto"/>
                <w:kern w:val="2"/>
                <w:sz w:val="24"/>
                <w:szCs w:val="24"/>
                <w:lang w:eastAsia="zh-CN" w:bidi="ar"/>
              </w:rPr>
              <w:t>项目与</w:t>
            </w:r>
            <w:r>
              <w:rPr>
                <w:rFonts w:ascii="Times New Roman" w:hAnsi="Times New Roman" w:eastAsia="宋体" w:cs="Times New Roman"/>
                <w:b/>
                <w:bCs/>
                <w:color w:val="auto"/>
                <w:sz w:val="24"/>
                <w:szCs w:val="24"/>
                <w:lang w:eastAsia="zh-CN"/>
              </w:rPr>
              <w:t>《一般工业固体废物贮存和填埋污染控制标准》</w:t>
            </w:r>
            <w:r>
              <w:rPr>
                <w:rFonts w:ascii="Times New Roman" w:hAnsi="Times New Roman" w:eastAsia="宋体" w:cs="Times New Roman"/>
                <w:b/>
                <w:snapToGrid/>
                <w:color w:val="auto"/>
                <w:kern w:val="2"/>
                <w:sz w:val="24"/>
                <w:szCs w:val="24"/>
                <w:lang w:eastAsia="zh-CN" w:bidi="ar"/>
              </w:rPr>
              <w:t>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77"/>
              <w:gridCol w:w="3838"/>
              <w:gridCol w:w="875"/>
            </w:tblGrid>
            <w:tr w14:paraId="6C67B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4D0B51F2">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GB18599-2020的相关要求</w:t>
                  </w:r>
                </w:p>
              </w:tc>
              <w:tc>
                <w:tcPr>
                  <w:tcW w:w="3838" w:type="dxa"/>
                  <w:vAlign w:val="center"/>
                </w:tcPr>
                <w:p w14:paraId="465384E9">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rPr>
                    <w:t>拟建项目</w:t>
                  </w:r>
                  <w:r>
                    <w:rPr>
                      <w:rFonts w:hint="eastAsia" w:ascii="Times New Roman" w:hAnsi="Times New Roman" w:eastAsia="宋体" w:cs="Times New Roman"/>
                      <w:b/>
                      <w:bCs/>
                      <w:color w:val="auto"/>
                      <w:sz w:val="21"/>
                      <w:szCs w:val="21"/>
                      <w:lang w:eastAsia="zh-CN"/>
                    </w:rPr>
                    <w:t>情况</w:t>
                  </w:r>
                </w:p>
              </w:tc>
              <w:tc>
                <w:tcPr>
                  <w:tcW w:w="875" w:type="dxa"/>
                  <w:vAlign w:val="center"/>
                </w:tcPr>
                <w:p w14:paraId="0D1EA9E0">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符合性</w:t>
                  </w:r>
                </w:p>
              </w:tc>
            </w:tr>
            <w:tr w14:paraId="72FA9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0" w:type="dxa"/>
                  <w:gridSpan w:val="3"/>
                  <w:vAlign w:val="center"/>
                </w:tcPr>
                <w:p w14:paraId="6208498D">
                  <w:pPr>
                    <w:pStyle w:val="27"/>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Ⅱ</w:t>
                  </w:r>
                  <w:r>
                    <w:rPr>
                      <w:rFonts w:ascii="Times New Roman" w:hAnsi="Times New Roman" w:eastAsia="宋体" w:cs="Times New Roman"/>
                      <w:b/>
                      <w:bCs/>
                      <w:color w:val="auto"/>
                      <w:sz w:val="21"/>
                      <w:szCs w:val="21"/>
                    </w:rPr>
                    <w:t>类场技术要求</w:t>
                  </w:r>
                </w:p>
              </w:tc>
            </w:tr>
            <w:tr w14:paraId="3F41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13A482B9">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人工合成材料应采用高密度聚乙烯膜，厚度不小于1.5mm，并满足GB/T 17643规定的技术指标要求。采用其他人工合成材料的，其防渗性能至少相当于1.5mm高密度聚乙烯膜的防渗性能</w:t>
                  </w:r>
                  <w:r>
                    <w:rPr>
                      <w:rFonts w:ascii="Times New Roman" w:hAnsi="Times New Roman" w:eastAsia="宋体" w:cs="Times New Roman"/>
                      <w:color w:val="auto"/>
                      <w:sz w:val="21"/>
                      <w:szCs w:val="21"/>
                      <w:lang w:eastAsia="zh-CN"/>
                    </w:rPr>
                    <w:t>。</w:t>
                  </w:r>
                </w:p>
              </w:tc>
              <w:tc>
                <w:tcPr>
                  <w:tcW w:w="3838" w:type="dxa"/>
                  <w:vMerge w:val="restart"/>
                  <w:vAlign w:val="center"/>
                </w:tcPr>
                <w:p w14:paraId="2937ACFA">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建设单位拟对生产区、原料堆场、成品仓库、废品仓库</w:t>
                  </w:r>
                  <w:r>
                    <w:rPr>
                      <w:rFonts w:hint="eastAsia" w:ascii="Times New Roman" w:hAnsi="Times New Roman" w:eastAsia="宋体" w:cs="Times New Roman"/>
                      <w:color w:val="auto"/>
                      <w:sz w:val="21"/>
                      <w:szCs w:val="21"/>
                      <w:lang w:eastAsia="zh-CN"/>
                    </w:rPr>
                    <w:t>地面</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p>
              </w:tc>
              <w:tc>
                <w:tcPr>
                  <w:tcW w:w="875" w:type="dxa"/>
                  <w:vAlign w:val="center"/>
                </w:tcPr>
                <w:p w14:paraId="57F3CE62">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596A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49C3860D">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粘土衬层厚度应不小于0.75m，且经压实、人工改性等措施处理后的饱和渗透系数不应大于1.0×10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cm/s。使用其他粘土类防渗衬层材料时，应具有同等以上隔水效力。</w:t>
                  </w:r>
                </w:p>
              </w:tc>
              <w:tc>
                <w:tcPr>
                  <w:tcW w:w="3838" w:type="dxa"/>
                  <w:vMerge w:val="continue"/>
                  <w:vAlign w:val="center"/>
                </w:tcPr>
                <w:p w14:paraId="6CFA7790">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ascii="Times New Roman" w:hAnsi="Times New Roman" w:eastAsia="宋体" w:cs="Times New Roman"/>
                      <w:color w:val="auto"/>
                      <w:sz w:val="21"/>
                      <w:szCs w:val="21"/>
                      <w:lang w:eastAsia="zh-CN"/>
                    </w:rPr>
                  </w:pPr>
                </w:p>
              </w:tc>
              <w:tc>
                <w:tcPr>
                  <w:tcW w:w="875" w:type="dxa"/>
                  <w:vAlign w:val="center"/>
                </w:tcPr>
                <w:p w14:paraId="5FC9BD28">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r w14:paraId="2F1A9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51EBB17">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II类场基础层表面应与地下水年最高水位保持1.5m以上的距离。当场区基础层表面与地下水年最高水位距离不足1.5m时，应建设地下水导排系统。地下水导排系统应确保II类场运行期地下水水位维持在基础层表面1.5m以下</w:t>
                  </w:r>
                  <w:r>
                    <w:rPr>
                      <w:rFonts w:ascii="Times New Roman" w:hAnsi="Times New Roman" w:eastAsia="宋体" w:cs="Times New Roman"/>
                      <w:color w:val="auto"/>
                      <w:sz w:val="21"/>
                      <w:szCs w:val="21"/>
                      <w:lang w:eastAsia="zh-CN"/>
                    </w:rPr>
                    <w:t>。</w:t>
                  </w:r>
                </w:p>
              </w:tc>
              <w:tc>
                <w:tcPr>
                  <w:tcW w:w="3838" w:type="dxa"/>
                  <w:vAlign w:val="center"/>
                </w:tcPr>
                <w:p w14:paraId="310E0D78">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根据项目区域水文地质图（附图9）可知，项目所在水文单元地下水位为地表下198m，因此可满足</w:t>
                  </w:r>
                  <w:r>
                    <w:rPr>
                      <w:rFonts w:hint="eastAsia" w:ascii="Times New Roman" w:hAnsi="Times New Roman" w:eastAsia="宋体" w:cs="Times New Roman"/>
                      <w:color w:val="auto"/>
                      <w:sz w:val="21"/>
                      <w:szCs w:val="21"/>
                      <w:lang w:eastAsia="zh-CN"/>
                    </w:rPr>
                    <w:t>基础层表面应与地下水年最高水位保持1.5m以上的距离</w:t>
                  </w:r>
                  <w:r>
                    <w:rPr>
                      <w:rFonts w:hint="eastAsia" w:ascii="Times New Roman" w:hAnsi="Times New Roman" w:eastAsia="宋体" w:cs="Times New Roman"/>
                      <w:color w:val="auto"/>
                      <w:sz w:val="21"/>
                      <w:szCs w:val="21"/>
                      <w:lang w:val="en-US" w:eastAsia="zh-CN"/>
                    </w:rPr>
                    <w:t>的要求，无需建设</w:t>
                  </w:r>
                  <w:r>
                    <w:rPr>
                      <w:rFonts w:hint="eastAsia" w:ascii="Times New Roman" w:hAnsi="Times New Roman" w:eastAsia="宋体" w:cs="Times New Roman"/>
                      <w:color w:val="auto"/>
                      <w:sz w:val="21"/>
                      <w:szCs w:val="21"/>
                      <w:lang w:eastAsia="zh-CN"/>
                    </w:rPr>
                    <w:t>地下水导排系统。</w:t>
                  </w:r>
                </w:p>
              </w:tc>
              <w:tc>
                <w:tcPr>
                  <w:tcW w:w="875" w:type="dxa"/>
                  <w:vAlign w:val="center"/>
                </w:tcPr>
                <w:p w14:paraId="2D17837C">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3306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937F3EB">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II类场应设置渗漏监控系统，监控防渗衬层的完整性。渗漏监控系统的构成包括但不限于防渗衬层渗漏监测设备、地下水监测井。</w:t>
                  </w:r>
                </w:p>
              </w:tc>
              <w:tc>
                <w:tcPr>
                  <w:tcW w:w="3838" w:type="dxa"/>
                  <w:vAlign w:val="center"/>
                </w:tcPr>
                <w:p w14:paraId="2B88DEA3">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根据项目区域地下水流向，本评价建议在项目用地东南侧建设地下水监测井，用于渗漏监控及后续跟踪监测。</w:t>
                  </w:r>
                </w:p>
              </w:tc>
              <w:tc>
                <w:tcPr>
                  <w:tcW w:w="875" w:type="dxa"/>
                  <w:vAlign w:val="center"/>
                </w:tcPr>
                <w:p w14:paraId="21772CD0">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14:paraId="5E74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77" w:type="dxa"/>
                  <w:vAlign w:val="center"/>
                </w:tcPr>
                <w:p w14:paraId="0E6F09D5">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人工合成材料衬层、渗滤液收集和导排系统的施工不应对粘土衬层造成破坏。</w:t>
                  </w:r>
                </w:p>
              </w:tc>
              <w:tc>
                <w:tcPr>
                  <w:tcW w:w="3838" w:type="dxa"/>
                  <w:vAlign w:val="center"/>
                </w:tcPr>
                <w:p w14:paraId="157CFF13">
                  <w:pPr>
                    <w:pStyle w:val="30"/>
                    <w:keepNext w:val="0"/>
                    <w:keepLines w:val="0"/>
                    <w:pageBreakBefore w:val="0"/>
                    <w:widowControl/>
                    <w:kinsoku/>
                    <w:wordWrap/>
                    <w:overflowPunct w:val="0"/>
                    <w:topLinePunct w:val="0"/>
                    <w:autoSpaceDE/>
                    <w:autoSpaceDN/>
                    <w:bidi w:val="0"/>
                    <w:adjustRightInd/>
                    <w:snapToGrid/>
                    <w:spacing w:line="240" w:lineRule="auto"/>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eastAsia="zh-CN"/>
                    </w:rPr>
                    <w:t>人工合成材料衬层</w:t>
                  </w:r>
                  <w:r>
                    <w:rPr>
                      <w:rFonts w:hint="eastAsia" w:ascii="Times New Roman" w:hAnsi="Times New Roman" w:eastAsia="宋体" w:cs="Times New Roman"/>
                      <w:color w:val="auto"/>
                      <w:sz w:val="21"/>
                      <w:szCs w:val="21"/>
                      <w:lang w:val="en-US" w:eastAsia="zh-CN"/>
                    </w:rPr>
                    <w:t>直接建设于混凝土之上不会对粘土</w:t>
                  </w:r>
                  <w:r>
                    <w:rPr>
                      <w:rFonts w:hint="eastAsia" w:ascii="Times New Roman" w:hAnsi="Times New Roman" w:eastAsia="宋体" w:cs="Times New Roman"/>
                      <w:color w:val="auto"/>
                      <w:sz w:val="21"/>
                      <w:szCs w:val="21"/>
                      <w:lang w:eastAsia="zh-CN"/>
                    </w:rPr>
                    <w:t>衬层</w:t>
                  </w:r>
                  <w:r>
                    <w:rPr>
                      <w:rFonts w:hint="eastAsia" w:ascii="Times New Roman" w:hAnsi="Times New Roman" w:eastAsia="宋体" w:cs="Times New Roman"/>
                      <w:color w:val="auto"/>
                      <w:sz w:val="21"/>
                      <w:szCs w:val="21"/>
                      <w:lang w:val="en-US" w:eastAsia="zh-CN"/>
                    </w:rPr>
                    <w:t>造成破坏，本项目</w:t>
                  </w:r>
                  <w:r>
                    <w:rPr>
                      <w:rFonts w:ascii="Times New Roman" w:hAnsi="Times New Roman" w:eastAsia="宋体" w:cs="Times New Roman"/>
                      <w:color w:val="auto"/>
                      <w:sz w:val="21"/>
                      <w:szCs w:val="21"/>
                      <w:lang w:eastAsia="zh-CN"/>
                    </w:rPr>
                    <w:t>生产区、原料堆场、成品仓库、废品仓库</w:t>
                  </w:r>
                  <w:r>
                    <w:rPr>
                      <w:rFonts w:hint="eastAsia" w:ascii="Times New Roman" w:hAnsi="Times New Roman" w:eastAsia="宋体" w:cs="Times New Roman"/>
                      <w:color w:val="auto"/>
                      <w:sz w:val="21"/>
                      <w:szCs w:val="21"/>
                      <w:lang w:val="en-US" w:eastAsia="zh-CN"/>
                    </w:rPr>
                    <w:t>设置于</w:t>
                  </w:r>
                  <w:r>
                    <w:rPr>
                      <w:rFonts w:hint="eastAsia" w:ascii="Times New Roman" w:hAnsi="Times New Roman" w:eastAsia="宋体" w:cs="Times New Roman"/>
                      <w:color w:val="auto"/>
                      <w:sz w:val="21"/>
                      <w:szCs w:val="21"/>
                      <w:lang w:eastAsia="zh-CN"/>
                    </w:rPr>
                    <w:t>封闭厂房，</w:t>
                  </w:r>
                  <w:r>
                    <w:rPr>
                      <w:rFonts w:hint="eastAsia" w:ascii="Times New Roman" w:hAnsi="Times New Roman" w:eastAsia="宋体" w:cs="Times New Roman"/>
                      <w:color w:val="auto"/>
                      <w:sz w:val="21"/>
                      <w:szCs w:val="21"/>
                      <w:lang w:val="en-US" w:eastAsia="zh-CN"/>
                    </w:rPr>
                    <w:t>不会产生渗滤液，无需建设</w:t>
                  </w:r>
                  <w:r>
                    <w:rPr>
                      <w:rFonts w:hint="eastAsia" w:ascii="Times New Roman" w:hAnsi="Times New Roman" w:eastAsia="宋体" w:cs="Times New Roman"/>
                      <w:color w:val="auto"/>
                      <w:sz w:val="21"/>
                      <w:szCs w:val="21"/>
                      <w:lang w:eastAsia="zh-CN"/>
                    </w:rPr>
                    <w:t>渗滤液收集和导排系统。</w:t>
                  </w:r>
                </w:p>
              </w:tc>
              <w:tc>
                <w:tcPr>
                  <w:tcW w:w="875" w:type="dxa"/>
                  <w:vAlign w:val="center"/>
                </w:tcPr>
                <w:p w14:paraId="0425FDE5">
                  <w:pPr>
                    <w:pStyle w:val="30"/>
                    <w:keepNext w:val="0"/>
                    <w:keepLines w:val="0"/>
                    <w:pageBreakBefore w:val="0"/>
                    <w:widowControl/>
                    <w:kinsoku/>
                    <w:wordWrap/>
                    <w:overflowPunct w:val="0"/>
                    <w:topLinePunct w:val="0"/>
                    <w:autoSpaceDE/>
                    <w:autoSpaceDN/>
                    <w:bidi w:val="0"/>
                    <w:adjustRightInd/>
                    <w:snapToGrid/>
                    <w:spacing w:line="240" w:lineRule="auto"/>
                    <w:ind w:leftChars="0" w:rightChars="0"/>
                    <w:jc w:val="center"/>
                    <w:textAlignment w:val="baseline"/>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14:paraId="679B58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综上，项目的场址选择以及防渗技术要求均符合《一般工业固体废物贮存、处置场污染控制标准》（GB18599-2020）的相关要求。</w:t>
            </w:r>
          </w:p>
          <w:p w14:paraId="4D8D7B4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w:t>
            </w:r>
            <w:r>
              <w:rPr>
                <w:rFonts w:hint="eastAsia" w:cs="Times New Roman"/>
                <w:b/>
                <w:bCs/>
                <w:color w:val="auto"/>
                <w:sz w:val="24"/>
                <w:szCs w:val="24"/>
                <w:lang w:val="en-US" w:eastAsia="zh-CN"/>
              </w:rPr>
              <w:t>3</w:t>
            </w:r>
            <w:r>
              <w:rPr>
                <w:rFonts w:ascii="Times New Roman" w:hAnsi="Times New Roman" w:eastAsia="宋体" w:cs="Times New Roman"/>
                <w:b/>
                <w:bCs/>
                <w:color w:val="auto"/>
                <w:sz w:val="24"/>
                <w:szCs w:val="24"/>
                <w:lang w:eastAsia="zh-CN"/>
              </w:rPr>
              <w:t>、项目与《云南省固体废物污染环境防治条例》相符性分析</w:t>
            </w:r>
          </w:p>
          <w:p w14:paraId="47BF5877">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2</w:t>
            </w:r>
            <w:r>
              <w:rPr>
                <w:rFonts w:ascii="Times New Roman" w:hAnsi="Times New Roman" w:eastAsia="宋体" w:cs="Times New Roman"/>
                <w:b/>
                <w:snapToGrid/>
                <w:color w:val="auto"/>
                <w:kern w:val="2"/>
                <w:sz w:val="24"/>
                <w:szCs w:val="24"/>
                <w:lang w:eastAsia="zh-CN" w:bidi="ar"/>
              </w:rPr>
              <w:t>项目与《云南省固体废物污染环境防治条例》相符性分析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48"/>
              <w:gridCol w:w="3619"/>
              <w:gridCol w:w="823"/>
            </w:tblGrid>
            <w:tr w14:paraId="5929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2B1A8D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相关要求</w:t>
                  </w:r>
                </w:p>
              </w:tc>
              <w:tc>
                <w:tcPr>
                  <w:tcW w:w="3503" w:type="dxa"/>
                  <w:vAlign w:val="center"/>
                </w:tcPr>
                <w:p w14:paraId="44A82C1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项目情况</w:t>
                  </w:r>
                </w:p>
              </w:tc>
              <w:tc>
                <w:tcPr>
                  <w:tcW w:w="797" w:type="dxa"/>
                  <w:vAlign w:val="center"/>
                </w:tcPr>
                <w:p w14:paraId="02B0F16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符合</w:t>
                  </w:r>
                  <w:r>
                    <w:rPr>
                      <w:rFonts w:ascii="Times New Roman" w:hAnsi="Times New Roman" w:eastAsia="宋体" w:cs="Times New Roman"/>
                      <w:b/>
                      <w:bCs/>
                      <w:color w:val="auto"/>
                      <w:sz w:val="21"/>
                      <w:szCs w:val="21"/>
                    </w:rPr>
                    <w:t>性</w:t>
                  </w:r>
                </w:p>
              </w:tc>
            </w:tr>
            <w:tr w14:paraId="67FA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7EA2341">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推动落实国家公布的限期淘汰产生严重污染环境的工业固体废物的落后生产工艺、设备名录。生产者、销售者、进口者、使用者应当在国家规定的期限内，分别停止生产、销售、进口或者使用列入前款规定名录中的设备。生产工艺的采用者应当在国家规定的期限内，停止采用列入前款规定名录中的工艺。列入限期淘汰名录被淘汰的设备，不得转让给他人使用。</w:t>
                  </w:r>
                </w:p>
              </w:tc>
              <w:tc>
                <w:tcPr>
                  <w:tcW w:w="3503" w:type="dxa"/>
                  <w:vAlign w:val="center"/>
                </w:tcPr>
                <w:p w14:paraId="0C57356E">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项目不生产、销售、进口或者使用列入国家公布的限期淘汰产生严重污染环境的工业固体废物的落后生产工艺、设备；也不转让淘汰设备给他人使用。</w:t>
                  </w:r>
                </w:p>
              </w:tc>
              <w:tc>
                <w:tcPr>
                  <w:tcW w:w="797" w:type="dxa"/>
                  <w:vAlign w:val="center"/>
                </w:tcPr>
                <w:p w14:paraId="08A97503">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6D493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537C02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鼓励产生工业固体废物的开发区、工业园区配套建设或者就近依托其他符合标准的处置设施，保障园区产生的工业固体废物安全处置。</w:t>
                  </w:r>
                </w:p>
              </w:tc>
              <w:tc>
                <w:tcPr>
                  <w:tcW w:w="3503" w:type="dxa"/>
                  <w:vAlign w:val="center"/>
                </w:tcPr>
                <w:p w14:paraId="16D30A29">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本项目使用中化云龙有限公司生产的改性磷石膏进一步生产为路基材料，可有效扩大改性磷石膏应用市场，消化磷石膏堆存量，有助于中化云龙有限公司安全处置磷石膏。</w:t>
                  </w:r>
                </w:p>
              </w:tc>
              <w:tc>
                <w:tcPr>
                  <w:tcW w:w="797" w:type="dxa"/>
                  <w:vAlign w:val="center"/>
                </w:tcPr>
                <w:p w14:paraId="39397BA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4594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2DDBCC9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利用、处置等信息，并采取防治工业固体废物污染环境的措施。工业固体废物管理台账应当保存5年以上。鼓励产生工业固体废物的单位在固体废物产生场所、贮存场所及计量设备等关键点位设置视频监控，提高台账记录信息的准确性。禁止向生活垃圾收集设施中投放工业固体废物。</w:t>
                  </w:r>
                </w:p>
              </w:tc>
              <w:tc>
                <w:tcPr>
                  <w:tcW w:w="3503" w:type="dxa"/>
                  <w:vAlign w:val="center"/>
                </w:tcPr>
                <w:p w14:paraId="64452B0D">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项目利用改性磷石膏生产路基材料，本项目</w:t>
                  </w:r>
                  <w:r>
                    <w:rPr>
                      <w:rFonts w:hint="eastAsia" w:ascii="Times New Roman" w:hAnsi="Times New Roman" w:eastAsia="宋体" w:cs="Times New Roman"/>
                      <w:color w:val="auto"/>
                      <w:sz w:val="21"/>
                      <w:szCs w:val="21"/>
                      <w:lang w:eastAsia="zh-CN"/>
                    </w:rPr>
                    <w:t>维修设备</w:t>
                  </w:r>
                  <w:r>
                    <w:rPr>
                      <w:rFonts w:ascii="Times New Roman" w:hAnsi="Times New Roman" w:eastAsia="宋体" w:cs="Times New Roman"/>
                      <w:color w:val="auto"/>
                      <w:sz w:val="21"/>
                      <w:szCs w:val="21"/>
                      <w:lang w:eastAsia="zh-CN"/>
                    </w:rPr>
                    <w:t>产生</w:t>
                  </w:r>
                  <w:r>
                    <w:rPr>
                      <w:rFonts w:hint="eastAsia" w:ascii="Times New Roman" w:hAnsi="Times New Roman" w:eastAsia="宋体" w:cs="Times New Roman"/>
                      <w:color w:val="auto"/>
                      <w:sz w:val="21"/>
                      <w:szCs w:val="21"/>
                      <w:lang w:eastAsia="zh-CN"/>
                    </w:rPr>
                    <w:t>废机油，统一收集后暂存于危废暂存间，建立管理台账，定期委托有资质单位清运处置。</w:t>
                  </w:r>
                  <w:r>
                    <w:rPr>
                      <w:rFonts w:ascii="Times New Roman" w:hAnsi="Times New Roman" w:eastAsia="宋体" w:cs="Times New Roman"/>
                      <w:color w:val="auto"/>
                      <w:sz w:val="21"/>
                      <w:szCs w:val="21"/>
                      <w:lang w:eastAsia="zh-CN"/>
                    </w:rPr>
                    <w:t>项目生产区、原料堆场、成品仓库、废品仓库严格按照《一般工业固体废物贮存和填埋污染控制标准》（GB18599-2020）的相关要求采取环境污染防治措施。项目运营</w:t>
                  </w:r>
                  <w:r>
                    <w:rPr>
                      <w:rFonts w:hint="eastAsia" w:ascii="Times New Roman" w:hAnsi="Times New Roman" w:eastAsia="宋体" w:cs="Times New Roman"/>
                      <w:color w:val="auto"/>
                      <w:sz w:val="21"/>
                      <w:szCs w:val="21"/>
                      <w:lang w:eastAsia="zh-CN"/>
                    </w:rPr>
                    <w:t>后将</w:t>
                  </w:r>
                  <w:r>
                    <w:rPr>
                      <w:rFonts w:ascii="Times New Roman" w:hAnsi="Times New Roman" w:eastAsia="宋体" w:cs="Times New Roman"/>
                      <w:color w:val="auto"/>
                      <w:sz w:val="21"/>
                      <w:szCs w:val="21"/>
                      <w:lang w:eastAsia="zh-CN"/>
                    </w:rPr>
                    <w:t>建立健全污染环境防治责任制度；环评要求项目禁止向生活垃圾收集设施中投放工业固体废物。</w:t>
                  </w:r>
                </w:p>
              </w:tc>
              <w:tc>
                <w:tcPr>
                  <w:tcW w:w="797" w:type="dxa"/>
                  <w:vAlign w:val="center"/>
                </w:tcPr>
                <w:p w14:paraId="4C917C4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47F17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70318E8D">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tc>
              <w:tc>
                <w:tcPr>
                  <w:tcW w:w="3503" w:type="dxa"/>
                  <w:vAlign w:val="center"/>
                </w:tcPr>
                <w:p w14:paraId="3836B2A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本项目产生的废机油、</w:t>
                  </w:r>
                  <w:r>
                    <w:rPr>
                      <w:rFonts w:ascii="Times New Roman" w:hAnsi="Times New Roman" w:eastAsia="宋体" w:cs="Times New Roman"/>
                      <w:color w:val="auto"/>
                      <w:sz w:val="21"/>
                      <w:szCs w:val="21"/>
                      <w:lang w:eastAsia="zh-CN"/>
                    </w:rPr>
                    <w:t>废含油手套及抹布</w:t>
                  </w:r>
                  <w:r>
                    <w:rPr>
                      <w:rFonts w:hint="eastAsia" w:ascii="Times New Roman" w:hAnsi="Times New Roman" w:eastAsia="宋体" w:cs="Times New Roman"/>
                      <w:color w:val="auto"/>
                      <w:sz w:val="21"/>
                      <w:szCs w:val="21"/>
                      <w:lang w:eastAsia="zh-CN"/>
                    </w:rPr>
                    <w:t>统一收集后暂存于危废暂存间，建立管理台账，定期委托有资质单位清运处置。</w:t>
                  </w:r>
                </w:p>
              </w:tc>
              <w:tc>
                <w:tcPr>
                  <w:tcW w:w="797" w:type="dxa"/>
                  <w:vAlign w:val="center"/>
                </w:tcPr>
                <w:p w14:paraId="256FAAA0">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490AB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149555A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依法实施清洁生产审核，合理选择和利用原材料、能源和其他资源，采用先进的生产工艺和设备，减少工业固体废物的产生量，降低工业固体废物的危害性。产生工业固体废物的单位应当根据经济、技术条件对工业固体废物加以利用；对暂时不利用或者不能利用的，应当按照国家规定建设贮存设施、场所，安全分类存放，或者采取无害化处置措施。贮存工业固体废物应当采取符合国家环境保护标准的防护措施。建设工业固体废物贮存、处置的设施、场所，应当符合国家环境保护标准。</w:t>
                  </w:r>
                </w:p>
              </w:tc>
              <w:tc>
                <w:tcPr>
                  <w:tcW w:w="3503" w:type="dxa"/>
                  <w:vAlign w:val="center"/>
                </w:tcPr>
                <w:p w14:paraId="40036246">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项目是利用改性磷石膏生产路基材料</w:t>
                  </w:r>
                  <w:r>
                    <w:rPr>
                      <w:rFonts w:hint="eastAsia" w:ascii="Times New Roman" w:hAnsi="Times New Roman" w:eastAsia="宋体" w:cs="Times New Roman"/>
                      <w:color w:val="auto"/>
                      <w:sz w:val="21"/>
                      <w:szCs w:val="21"/>
                      <w:lang w:eastAsia="zh-CN"/>
                    </w:rPr>
                    <w:t>，不属于强制清洁生产审核的行业；项目</w:t>
                  </w:r>
                  <w:r>
                    <w:rPr>
                      <w:rFonts w:ascii="Times New Roman" w:hAnsi="Times New Roman" w:eastAsia="宋体" w:cs="Times New Roman"/>
                      <w:color w:val="auto"/>
                      <w:sz w:val="21"/>
                      <w:szCs w:val="21"/>
                      <w:lang w:eastAsia="zh-CN"/>
                    </w:rPr>
                    <w:t>合理利用</w:t>
                  </w:r>
                  <w:r>
                    <w:rPr>
                      <w:rFonts w:hint="eastAsia" w:ascii="Times New Roman" w:hAnsi="Times New Roman" w:eastAsia="宋体" w:cs="Times New Roman"/>
                      <w:color w:val="auto"/>
                      <w:sz w:val="21"/>
                      <w:szCs w:val="21"/>
                      <w:lang w:eastAsia="zh-CN"/>
                    </w:rPr>
                    <w:t>改性磷石膏</w:t>
                  </w:r>
                  <w:r>
                    <w:rPr>
                      <w:rFonts w:ascii="Times New Roman" w:hAnsi="Times New Roman" w:eastAsia="宋体" w:cs="Times New Roman"/>
                      <w:color w:val="auto"/>
                      <w:sz w:val="21"/>
                      <w:szCs w:val="21"/>
                      <w:lang w:eastAsia="zh-CN"/>
                    </w:rPr>
                    <w:t>资源，降低了</w:t>
                  </w:r>
                  <w:r>
                    <w:rPr>
                      <w:rFonts w:hint="eastAsia" w:ascii="Times New Roman" w:hAnsi="Times New Roman" w:eastAsia="宋体" w:cs="Times New Roman"/>
                      <w:color w:val="auto"/>
                      <w:sz w:val="21"/>
                      <w:szCs w:val="21"/>
                      <w:lang w:eastAsia="zh-CN"/>
                    </w:rPr>
                    <w:t>其</w:t>
                  </w:r>
                  <w:r>
                    <w:rPr>
                      <w:rFonts w:ascii="Times New Roman" w:hAnsi="Times New Roman" w:eastAsia="宋体" w:cs="Times New Roman"/>
                      <w:color w:val="auto"/>
                      <w:sz w:val="21"/>
                      <w:szCs w:val="21"/>
                      <w:lang w:eastAsia="zh-CN"/>
                    </w:rPr>
                    <w:t>长期堆存、新增占地环境危害性的危害性。</w:t>
                  </w:r>
                  <w:r>
                    <w:rPr>
                      <w:rFonts w:hint="eastAsia" w:ascii="Times New Roman" w:hAnsi="Times New Roman" w:eastAsia="宋体" w:cs="Times New Roman"/>
                      <w:color w:val="auto"/>
                      <w:sz w:val="21"/>
                      <w:szCs w:val="21"/>
                      <w:lang w:eastAsia="zh-CN"/>
                    </w:rPr>
                    <w:t>项目</w:t>
                  </w:r>
                  <w:r>
                    <w:rPr>
                      <w:rFonts w:ascii="Times New Roman" w:hAnsi="Times New Roman" w:eastAsia="宋体" w:cs="Times New Roman"/>
                      <w:color w:val="auto"/>
                      <w:sz w:val="21"/>
                      <w:szCs w:val="21"/>
                      <w:lang w:eastAsia="zh-CN"/>
                    </w:rPr>
                    <w:t>生产区、原料堆场、成品仓库、废品仓库防渗</w:t>
                  </w:r>
                  <w:r>
                    <w:rPr>
                      <w:rFonts w:hint="eastAsia" w:ascii="Times New Roman" w:hAnsi="Times New Roman" w:eastAsia="宋体" w:cs="Times New Roman"/>
                      <w:color w:val="auto"/>
                      <w:sz w:val="21"/>
                      <w:szCs w:val="21"/>
                      <w:lang w:eastAsia="zh-CN"/>
                    </w:rPr>
                    <w:t>措施</w:t>
                  </w:r>
                  <w:r>
                    <w:rPr>
                      <w:rFonts w:ascii="Times New Roman" w:hAnsi="Times New Roman" w:eastAsia="宋体" w:cs="Times New Roman"/>
                      <w:color w:val="auto"/>
                      <w:sz w:val="21"/>
                      <w:szCs w:val="21"/>
                      <w:lang w:eastAsia="zh-CN"/>
                    </w:rPr>
                    <w:t>符合《一般工业固体废物贮存和填埋污染控制标准》（GB18599-2020）的相关要求。</w:t>
                  </w:r>
                </w:p>
              </w:tc>
              <w:tc>
                <w:tcPr>
                  <w:tcW w:w="797" w:type="dxa"/>
                  <w:vAlign w:val="center"/>
                </w:tcPr>
                <w:p w14:paraId="5CDDEE45">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5EE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3BB1616C">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工业固体废物的单位应当依法取得排污许可证，向所在地生态环境主管部门提供工业固体废物的种类、数量、流向、贮存、利用、处置等有关资料，以及减少工业固体废物产生、促进综合利用的具体措施，并执行排污许可管理制度的相关规定。</w:t>
                  </w:r>
                </w:p>
              </w:tc>
              <w:tc>
                <w:tcPr>
                  <w:tcW w:w="3503" w:type="dxa"/>
                  <w:vAlign w:val="center"/>
                </w:tcPr>
                <w:p w14:paraId="1EF351D7">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项目建设完成后将</w:t>
                  </w:r>
                  <w:r>
                    <w:rPr>
                      <w:rFonts w:ascii="Times New Roman" w:hAnsi="Times New Roman" w:eastAsia="宋体" w:cs="Times New Roman"/>
                      <w:color w:val="auto"/>
                      <w:sz w:val="21"/>
                      <w:szCs w:val="21"/>
                      <w:lang w:eastAsia="zh-CN"/>
                    </w:rPr>
                    <w:t>依法</w:t>
                  </w:r>
                  <w:r>
                    <w:rPr>
                      <w:rFonts w:hint="eastAsia" w:ascii="Times New Roman" w:hAnsi="Times New Roman" w:eastAsia="宋体" w:cs="Times New Roman"/>
                      <w:color w:val="auto"/>
                      <w:sz w:val="21"/>
                      <w:szCs w:val="21"/>
                      <w:lang w:eastAsia="zh-CN"/>
                    </w:rPr>
                    <w:t>申请</w:t>
                  </w:r>
                  <w:r>
                    <w:rPr>
                      <w:rFonts w:ascii="Times New Roman" w:hAnsi="Times New Roman" w:eastAsia="宋体" w:cs="Times New Roman"/>
                      <w:color w:val="auto"/>
                      <w:sz w:val="21"/>
                      <w:szCs w:val="21"/>
                      <w:lang w:eastAsia="zh-CN"/>
                    </w:rPr>
                    <w:t>排污许可证，并执行排污许可管理制度的相关规定。环评要求建设单位在实际发生排污行为之前申领排污许可证。</w:t>
                  </w:r>
                </w:p>
              </w:tc>
              <w:tc>
                <w:tcPr>
                  <w:tcW w:w="797" w:type="dxa"/>
                  <w:vAlign w:val="center"/>
                </w:tcPr>
                <w:p w14:paraId="77976444">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68B5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1" w:type="dxa"/>
                  <w:vAlign w:val="center"/>
                </w:tcPr>
                <w:p w14:paraId="2B22A1F5">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产生大宗工业固体废物的单位应当采取有效措施，减少大宗工业固体废物的产生量，加强大宗工业固体废物综合利用和无害化处置，制定相关计划逐步消纳大宗工业固体废物历史堆存量。</w:t>
                  </w:r>
                </w:p>
              </w:tc>
              <w:tc>
                <w:tcPr>
                  <w:tcW w:w="3503" w:type="dxa"/>
                  <w:vAlign w:val="center"/>
                </w:tcPr>
                <w:p w14:paraId="6AABFDE2">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项目是利用改性磷石膏生产路基材料</w:t>
                  </w:r>
                  <w:r>
                    <w:rPr>
                      <w:rFonts w:hint="eastAsia" w:ascii="Times New Roman" w:hAnsi="Times New Roman" w:eastAsia="宋体" w:cs="Times New Roman"/>
                      <w:color w:val="auto"/>
                      <w:sz w:val="21"/>
                      <w:szCs w:val="21"/>
                      <w:lang w:eastAsia="zh-CN"/>
                    </w:rPr>
                    <w:t>，不涉及磷石膏无害化处理</w:t>
                  </w:r>
                  <w:r>
                    <w:rPr>
                      <w:rFonts w:ascii="Times New Roman" w:hAnsi="Times New Roman" w:eastAsia="宋体" w:cs="Times New Roman"/>
                      <w:color w:val="auto"/>
                      <w:sz w:val="21"/>
                      <w:szCs w:val="21"/>
                      <w:lang w:eastAsia="zh-CN"/>
                    </w:rPr>
                    <w:t>；合理利用其他资源，加强了大宗工业固体废物综合利用和无害化处置，逐步消纳了大宗工业固体废物历史堆存量。</w:t>
                  </w:r>
                </w:p>
              </w:tc>
              <w:tc>
                <w:tcPr>
                  <w:tcW w:w="797" w:type="dxa"/>
                  <w:vAlign w:val="center"/>
                </w:tcPr>
                <w:p w14:paraId="6337A4A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20E385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综上所述，项目符合《云南省固体废物污染环境防治条例》相关要求。</w:t>
            </w:r>
          </w:p>
          <w:p w14:paraId="538A527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color w:val="auto"/>
                <w:sz w:val="24"/>
                <w:lang w:eastAsia="zh-CN"/>
              </w:rPr>
              <w:t>1</w:t>
            </w:r>
            <w:r>
              <w:rPr>
                <w:rFonts w:hint="eastAsia" w:cs="Times New Roman"/>
                <w:b/>
                <w:color w:val="auto"/>
                <w:sz w:val="24"/>
                <w:lang w:val="en-US" w:eastAsia="zh-CN"/>
              </w:rPr>
              <w:t>4</w:t>
            </w:r>
            <w:r>
              <w:rPr>
                <w:rFonts w:hint="eastAsia" w:ascii="Times New Roman" w:hAnsi="Times New Roman" w:eastAsia="宋体" w:cs="Times New Roman"/>
                <w:b/>
                <w:color w:val="auto"/>
                <w:sz w:val="24"/>
                <w:lang w:eastAsia="zh-CN"/>
              </w:rPr>
              <w:t>、</w:t>
            </w:r>
            <w:r>
              <w:rPr>
                <w:rFonts w:ascii="Times New Roman" w:hAnsi="Times New Roman" w:eastAsia="宋体" w:cs="Times New Roman"/>
                <w:b/>
                <w:bCs/>
                <w:color w:val="auto"/>
                <w:sz w:val="24"/>
                <w:szCs w:val="24"/>
                <w:lang w:eastAsia="zh-CN"/>
              </w:rPr>
              <w:t>与《云南省工业固体废物和重金属污染防治“十四五”规划》相符性分析</w:t>
            </w:r>
          </w:p>
          <w:p w14:paraId="7C89BAE6">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3</w:t>
            </w:r>
            <w:r>
              <w:rPr>
                <w:rFonts w:ascii="Times New Roman" w:hAnsi="Times New Roman" w:eastAsia="宋体" w:cs="Times New Roman"/>
                <w:b/>
                <w:snapToGrid/>
                <w:color w:val="auto"/>
                <w:kern w:val="2"/>
                <w:sz w:val="24"/>
                <w:szCs w:val="24"/>
                <w:lang w:eastAsia="zh-CN" w:bidi="ar"/>
              </w:rPr>
              <w:t>项目与《云南省工业固体废物和重金属污染防治“十四五”规划》相符性分析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4"/>
              <w:gridCol w:w="3803"/>
              <w:gridCol w:w="683"/>
            </w:tblGrid>
            <w:tr w14:paraId="28C0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4AD40171">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相关要求</w:t>
                  </w:r>
                </w:p>
              </w:tc>
              <w:tc>
                <w:tcPr>
                  <w:tcW w:w="3803" w:type="dxa"/>
                  <w:vAlign w:val="center"/>
                </w:tcPr>
                <w:p w14:paraId="42481781">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项目情况</w:t>
                  </w:r>
                </w:p>
              </w:tc>
              <w:tc>
                <w:tcPr>
                  <w:tcW w:w="683" w:type="dxa"/>
                  <w:vAlign w:val="center"/>
                </w:tcPr>
                <w:p w14:paraId="62BA865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38E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70DFF21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督促企业合理选择清洁的原料、能源和工艺、设备，减少有毒、有害原料的使用，提高资源利用效率。以有色金属矿采选业、有色金属冶炼和压延加工业、黑色金属冶炼和压延加工业、化学原料和化学制品制造业、环境治理业等工业固体废物产生量大的行业为重点，实施强制性清洁生产审核，督促企业实施清洁生产技术改造，从源头减少工业固体废物及危险废物产生。鼓励引导工业企业开展自愿清洁生产审核工作。</w:t>
                  </w:r>
                </w:p>
              </w:tc>
              <w:tc>
                <w:tcPr>
                  <w:tcW w:w="3803" w:type="dxa"/>
                  <w:vAlign w:val="center"/>
                </w:tcPr>
                <w:p w14:paraId="5A5872FD">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项目是利用</w:t>
                  </w:r>
                  <w:r>
                    <w:rPr>
                      <w:rFonts w:hint="eastAsia" w:ascii="Times New Roman" w:hAnsi="Times New Roman" w:eastAsia="宋体" w:cs="Times New Roman"/>
                      <w:color w:val="auto"/>
                      <w:sz w:val="21"/>
                      <w:szCs w:val="21"/>
                      <w:lang w:eastAsia="zh-CN"/>
                    </w:rPr>
                    <w:t>中化云龙有限公司</w:t>
                  </w:r>
                  <w:r>
                    <w:rPr>
                      <w:rFonts w:ascii="Times New Roman" w:hAnsi="Times New Roman" w:eastAsia="宋体" w:cs="Times New Roman"/>
                      <w:color w:val="auto"/>
                      <w:sz w:val="21"/>
                      <w:szCs w:val="21"/>
                      <w:lang w:eastAsia="zh-CN"/>
                    </w:rPr>
                    <w:t>的改性磷石膏作为生产原料，不使用有毒、有害的原料；改性磷石膏经鉴别属于I类一般工业固体废物，项目不属于有色金属矿采选业、有色金属冶炼和压延加工业、黑色金属冶炼和压延加工业、化学原料和化学制品制造业、环境治理业等工业固体废物产生量大的行业，项目生产工艺简单，生产过程</w:t>
                  </w:r>
                  <w:r>
                    <w:rPr>
                      <w:rFonts w:hint="eastAsia" w:ascii="Times New Roman" w:hAnsi="Times New Roman" w:eastAsia="宋体" w:cs="Times New Roman"/>
                      <w:color w:val="auto"/>
                      <w:sz w:val="21"/>
                      <w:szCs w:val="21"/>
                      <w:lang w:eastAsia="zh-CN"/>
                    </w:rPr>
                    <w:t>产生的收集尘回用于生产，仅设备维修</w:t>
                  </w:r>
                  <w:r>
                    <w:rPr>
                      <w:rFonts w:ascii="Times New Roman" w:hAnsi="Times New Roman" w:eastAsia="宋体" w:cs="Times New Roman"/>
                      <w:color w:val="auto"/>
                      <w:sz w:val="21"/>
                      <w:szCs w:val="21"/>
                      <w:lang w:eastAsia="zh-CN"/>
                    </w:rPr>
                    <w:t>产生</w:t>
                  </w:r>
                  <w:r>
                    <w:rPr>
                      <w:rFonts w:hint="eastAsia" w:ascii="Times New Roman" w:hAnsi="Times New Roman" w:eastAsia="宋体" w:cs="Times New Roman"/>
                      <w:color w:val="auto"/>
                      <w:sz w:val="21"/>
                      <w:szCs w:val="21"/>
                      <w:lang w:eastAsia="zh-CN"/>
                    </w:rPr>
                    <w:t>废机油、</w:t>
                  </w:r>
                  <w:r>
                    <w:rPr>
                      <w:rFonts w:ascii="Times New Roman" w:hAnsi="Times New Roman" w:eastAsia="宋体" w:cs="Times New Roman"/>
                      <w:color w:val="auto"/>
                      <w:sz w:val="21"/>
                      <w:szCs w:val="21"/>
                      <w:lang w:eastAsia="zh-CN"/>
                    </w:rPr>
                    <w:t>废含油手套及抹布。</w:t>
                  </w:r>
                </w:p>
              </w:tc>
              <w:tc>
                <w:tcPr>
                  <w:tcW w:w="683" w:type="dxa"/>
                  <w:vAlign w:val="center"/>
                </w:tcPr>
                <w:p w14:paraId="0E404B20">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6575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4" w:type="dxa"/>
                  <w:vAlign w:val="center"/>
                </w:tcPr>
                <w:p w14:paraId="26115DC4">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严格落实尾矿、粉煤灰、冶炼渣、工业副产石膏等工业固体废物综合利用技术和产品标准，规范工业固体废物综合利用行业发展。拓宽磷石膏利用途径，继续推广磷石膏在生产水泥和新型建筑材料等领域的利用，在确保环境安全的前提下，探索磷石膏在土壤改良、生态修复、路基材料等领域的应用。</w:t>
                  </w:r>
                </w:p>
              </w:tc>
              <w:tc>
                <w:tcPr>
                  <w:tcW w:w="3803" w:type="dxa"/>
                  <w:vAlign w:val="center"/>
                </w:tcPr>
                <w:p w14:paraId="0346EFD7">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项目利用改性磷石膏进行路基材料生产</w:t>
                  </w:r>
                  <w:r>
                    <w:rPr>
                      <w:rFonts w:hint="eastAsia" w:ascii="Times New Roman" w:hAnsi="Times New Roman" w:eastAsia="宋体" w:cs="Times New Roman"/>
                      <w:color w:val="auto"/>
                      <w:sz w:val="21"/>
                      <w:szCs w:val="21"/>
                      <w:lang w:eastAsia="zh-CN"/>
                    </w:rPr>
                    <w:t>，不涉及磷石膏无害化处理；</w:t>
                  </w:r>
                  <w:r>
                    <w:rPr>
                      <w:rFonts w:ascii="Times New Roman" w:hAnsi="Times New Roman" w:eastAsia="宋体" w:cs="Times New Roman"/>
                      <w:color w:val="auto"/>
                      <w:sz w:val="21"/>
                      <w:szCs w:val="21"/>
                      <w:lang w:eastAsia="zh-CN"/>
                    </w:rPr>
                    <w:t>经检测，项目使用的原料为第</w:t>
                  </w:r>
                  <w:r>
                    <w:rPr>
                      <w:rFonts w:hint="eastAsia" w:ascii="Times New Roman" w:hAnsi="Times New Roman" w:eastAsia="宋体" w:cs="Times New Roman"/>
                      <w:color w:val="auto"/>
                      <w:sz w:val="21"/>
                      <w:szCs w:val="21"/>
                      <w:lang w:eastAsia="zh-CN"/>
                    </w:rPr>
                    <w:t>Ⅰ</w:t>
                  </w:r>
                  <w:r>
                    <w:rPr>
                      <w:rFonts w:ascii="Times New Roman" w:hAnsi="Times New Roman" w:eastAsia="宋体" w:cs="Times New Roman"/>
                      <w:color w:val="auto"/>
                      <w:sz w:val="21"/>
                      <w:szCs w:val="21"/>
                      <w:lang w:eastAsia="zh-CN"/>
                    </w:rPr>
                    <w:t>类一般工业固体废物，项目生产工艺简单，生产过程不会产生其他有毒有害物质，确保了环境安全</w:t>
                  </w:r>
                  <w:r>
                    <w:rPr>
                      <w:rFonts w:hint="eastAsia" w:ascii="Times New Roman" w:hAnsi="Times New Roman" w:eastAsia="宋体" w:cs="Times New Roman"/>
                      <w:color w:val="auto"/>
                      <w:sz w:val="21"/>
                      <w:szCs w:val="21"/>
                      <w:lang w:eastAsia="zh-CN"/>
                    </w:rPr>
                    <w:t>；项目外购成品粉煤灰，使用符合《粉煤灰综合利用管理办法》。</w:t>
                  </w:r>
                </w:p>
              </w:tc>
              <w:tc>
                <w:tcPr>
                  <w:tcW w:w="683" w:type="dxa"/>
                  <w:vAlign w:val="center"/>
                </w:tcPr>
                <w:p w14:paraId="536BB118">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71C9D38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综上所述，项目符合《云南省工业固体废物和重金属污染防治“十四五”规划》的相关要求。</w:t>
            </w:r>
          </w:p>
          <w:p w14:paraId="66C5704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、项目与《粉煤灰综合利用管理办法》的符合性分析</w:t>
            </w:r>
          </w:p>
          <w:p w14:paraId="3F72676F">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4</w:t>
            </w:r>
            <w:r>
              <w:rPr>
                <w:rFonts w:hint="eastAsia" w:ascii="Times New Roman" w:hAnsi="Times New Roman" w:eastAsia="宋体" w:cs="Times New Roman"/>
                <w:b/>
                <w:snapToGrid/>
                <w:color w:val="auto"/>
                <w:kern w:val="2"/>
                <w:sz w:val="24"/>
                <w:szCs w:val="24"/>
                <w:lang w:eastAsia="zh-CN" w:bidi="ar"/>
              </w:rPr>
              <w:t>项目与《粉煤灰综合利用管理办法》相符性分析</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8"/>
              <w:gridCol w:w="3609"/>
              <w:gridCol w:w="683"/>
            </w:tblGrid>
            <w:tr w14:paraId="199A0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22F6D3E9">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相关要求</w:t>
                  </w:r>
                </w:p>
              </w:tc>
              <w:tc>
                <w:tcPr>
                  <w:tcW w:w="3493" w:type="dxa"/>
                  <w:vAlign w:val="center"/>
                </w:tcPr>
                <w:p w14:paraId="722C492A">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项目情况</w:t>
                  </w:r>
                </w:p>
              </w:tc>
              <w:tc>
                <w:tcPr>
                  <w:tcW w:w="661" w:type="dxa"/>
                  <w:vAlign w:val="center"/>
                </w:tcPr>
                <w:p w14:paraId="27FFC0F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DCA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45B0B82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第四条</w:t>
                  </w:r>
                  <w:r>
                    <w:rPr>
                      <w:rFonts w:hint="eastAsia" w:ascii="Times New Roman" w:hAnsi="Times New Roman" w:eastAsia="宋体" w:cs="Times New Roman"/>
                      <w:color w:val="auto"/>
                      <w:sz w:val="21"/>
                      <w:szCs w:val="21"/>
                      <w:lang w:eastAsia="zh-CN"/>
                    </w:rPr>
                    <w:t xml:space="preserve"> 本办法所称粉煤灰综合利用是指：从粉煤灰中进行物质提取，以粉煤灰为原料生产建材、化工、复合材料等产品，粉煤灰直接用于建筑工程、筑路、回填和农业等。</w:t>
                  </w:r>
                </w:p>
              </w:tc>
              <w:tc>
                <w:tcPr>
                  <w:tcW w:w="3493" w:type="dxa"/>
                  <w:vAlign w:val="center"/>
                </w:tcPr>
                <w:p w14:paraId="2795A3E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本项目使用粉煤灰生产路基材料，属于办法所称综合利用范围。</w:t>
                  </w:r>
                </w:p>
              </w:tc>
              <w:tc>
                <w:tcPr>
                  <w:tcW w:w="661" w:type="dxa"/>
                  <w:vAlign w:val="center"/>
                </w:tcPr>
                <w:p w14:paraId="32BED3A7">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2EA4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3CB4E3CC">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第十三条</w:t>
                  </w:r>
                  <w:r>
                    <w:rPr>
                      <w:rFonts w:ascii="Times New Roman" w:hAnsi="Times New Roman" w:eastAsia="宋体" w:cs="Times New Roman"/>
                      <w:color w:val="auto"/>
                      <w:sz w:val="21"/>
                      <w:szCs w:val="21"/>
                      <w:lang w:eastAsia="zh-CN"/>
                    </w:rPr>
                    <w:t xml:space="preserve"> 在堆场（库）提取粉煤灰，产灰单位应与用灰单位签订取灰安全及环保协议，产灰单位应对用灰单位从指定地点装运未经加工的粉煤灰（包括从湿排灰堆场（库）取灰点、电厂储装运设施中取原灰）提供装载方便，并维护灰场和生产现场的安全。</w:t>
                  </w:r>
                </w:p>
              </w:tc>
              <w:tc>
                <w:tcPr>
                  <w:tcW w:w="3493" w:type="dxa"/>
                  <w:vAlign w:val="center"/>
                </w:tcPr>
                <w:p w14:paraId="0293DE02">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项目建设完成后，建设单位将与粉煤灰供货单位签订</w:t>
                  </w:r>
                  <w:r>
                    <w:rPr>
                      <w:rFonts w:ascii="Times New Roman" w:hAnsi="Times New Roman" w:eastAsia="宋体" w:cs="Times New Roman"/>
                      <w:color w:val="auto"/>
                      <w:sz w:val="21"/>
                      <w:szCs w:val="21"/>
                      <w:lang w:eastAsia="zh-CN"/>
                    </w:rPr>
                    <w:t>安全及环保协议</w:t>
                  </w:r>
                  <w:r>
                    <w:rPr>
                      <w:rFonts w:hint="eastAsia" w:ascii="Times New Roman" w:hAnsi="Times New Roman" w:eastAsia="宋体" w:cs="Times New Roman"/>
                      <w:color w:val="auto"/>
                      <w:sz w:val="21"/>
                      <w:szCs w:val="21"/>
                      <w:lang w:eastAsia="zh-CN"/>
                    </w:rPr>
                    <w:t>。</w:t>
                  </w:r>
                </w:p>
              </w:tc>
              <w:tc>
                <w:tcPr>
                  <w:tcW w:w="661" w:type="dxa"/>
                  <w:vAlign w:val="center"/>
                </w:tcPr>
                <w:p w14:paraId="7DB89E7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5A134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04FAEBF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第十四条</w:t>
                  </w:r>
                  <w:r>
                    <w:rPr>
                      <w:rFonts w:ascii="Times New Roman" w:hAnsi="Times New Roman" w:eastAsia="宋体" w:cs="Times New Roman"/>
                      <w:color w:val="auto"/>
                      <w:sz w:val="21"/>
                      <w:szCs w:val="21"/>
                      <w:lang w:eastAsia="zh-CN"/>
                    </w:rPr>
                    <w:t xml:space="preserve"> 粉煤灰运输须使用专用封闭罐车，并严格遵守环境保护等有关部门规定和要求，避免二次污染。</w:t>
                  </w:r>
                </w:p>
              </w:tc>
              <w:tc>
                <w:tcPr>
                  <w:tcW w:w="3493" w:type="dxa"/>
                  <w:vAlign w:val="center"/>
                </w:tcPr>
                <w:p w14:paraId="293B4E08">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本项目粉煤灰运输时将使用专用封闭罐车运输。</w:t>
                  </w:r>
                </w:p>
              </w:tc>
              <w:tc>
                <w:tcPr>
                  <w:tcW w:w="661" w:type="dxa"/>
                  <w:vAlign w:val="center"/>
                </w:tcPr>
                <w:p w14:paraId="632D4093">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符合</w:t>
                  </w:r>
                </w:p>
              </w:tc>
            </w:tr>
            <w:tr w14:paraId="298F7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67" w:type="dxa"/>
                  <w:vAlign w:val="center"/>
                </w:tcPr>
                <w:p w14:paraId="307279B3">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第十九条</w:t>
                  </w:r>
                  <w:r>
                    <w:rPr>
                      <w:rFonts w:ascii="Times New Roman" w:hAnsi="Times New Roman" w:eastAsia="宋体" w:cs="Times New Roman"/>
                      <w:color w:val="auto"/>
                      <w:sz w:val="21"/>
                      <w:szCs w:val="21"/>
                      <w:lang w:eastAsia="zh-CN"/>
                    </w:rPr>
                    <w:t xml:space="preserve"> 鼓励在具备条件的建筑、筑路等工程中使用符合国家或行业质量标准的粉煤灰及其制品。</w:t>
                  </w:r>
                </w:p>
              </w:tc>
              <w:tc>
                <w:tcPr>
                  <w:tcW w:w="3493" w:type="dxa"/>
                  <w:vAlign w:val="center"/>
                </w:tcPr>
                <w:p w14:paraId="32B384D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本项目将外购符合质量标准的粉煤灰用于生产路基材料。</w:t>
                  </w:r>
                </w:p>
              </w:tc>
              <w:tc>
                <w:tcPr>
                  <w:tcW w:w="661" w:type="dxa"/>
                  <w:vAlign w:val="center"/>
                </w:tcPr>
                <w:p w14:paraId="2BFD255F">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7FC1967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w:t>
            </w:r>
            <w:r>
              <w:rPr>
                <w:rFonts w:hint="eastAsia" w:ascii="Times New Roman" w:hAnsi="Times New Roman" w:eastAsia="宋体" w:cs="Times New Roman"/>
                <w:color w:val="auto"/>
                <w:sz w:val="24"/>
                <w:szCs w:val="24"/>
                <w:lang w:eastAsia="zh-CN"/>
              </w:rPr>
              <w:t>粉煤灰综合利用管理办法</w:t>
            </w:r>
            <w:r>
              <w:rPr>
                <w:rFonts w:ascii="Times New Roman" w:hAnsi="Times New Roman" w:eastAsia="宋体" w:cs="Times New Roman"/>
                <w:color w:val="auto"/>
                <w:sz w:val="24"/>
                <w:szCs w:val="24"/>
                <w:lang w:eastAsia="zh-CN"/>
              </w:rPr>
              <w:t>》的相关要求。</w:t>
            </w:r>
          </w:p>
          <w:p w14:paraId="40B6332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eastAsia="zh-CN"/>
              </w:rPr>
              <w:t>项目与昆明市人民政府办公室关于印发昆明市全面加强磷石膏综合利用三年攻坚行动方案（2023—2025年）的通知相符性</w:t>
            </w:r>
          </w:p>
          <w:p w14:paraId="28D4B2BD">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5</w:t>
            </w:r>
            <w:r>
              <w:rPr>
                <w:rFonts w:ascii="Times New Roman" w:hAnsi="Times New Roman" w:eastAsia="宋体" w:cs="Times New Roman"/>
                <w:b/>
                <w:snapToGrid/>
                <w:color w:val="auto"/>
                <w:kern w:val="2"/>
                <w:sz w:val="24"/>
                <w:szCs w:val="24"/>
                <w:lang w:eastAsia="zh-CN" w:bidi="ar"/>
              </w:rPr>
              <w:t>项目与昆明市人民政府办公室关于印发昆明市全面加强磷石膏综合利用三年攻坚行动方案（2023—2025年）的通知相符性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9"/>
              <w:gridCol w:w="2870"/>
              <w:gridCol w:w="921"/>
            </w:tblGrid>
            <w:tr w14:paraId="2BB42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02D9BB28">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相关要求</w:t>
                  </w:r>
                </w:p>
              </w:tc>
              <w:tc>
                <w:tcPr>
                  <w:tcW w:w="2870" w:type="dxa"/>
                  <w:vAlign w:val="center"/>
                </w:tcPr>
                <w:p w14:paraId="75ED8D5F">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项目情况</w:t>
                  </w:r>
                </w:p>
              </w:tc>
              <w:tc>
                <w:tcPr>
                  <w:tcW w:w="921" w:type="dxa"/>
                  <w:vAlign w:val="center"/>
                </w:tcPr>
                <w:p w14:paraId="35557D49">
                  <w:pPr>
                    <w:pStyle w:val="27"/>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符合性</w:t>
                  </w:r>
                </w:p>
              </w:tc>
            </w:tr>
            <w:tr w14:paraId="0329D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399C33AF">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加快推进磷石膏综合利用规模化和产业化，培育壮大龙头企业，落实综合利用奖补，推动磷石膏综合利用项目尽快投产达产。到2025年，力争新增磷石膏综合利用能力200万吨。在确保安全环保的前提下，支持龙头企业加大资金投入、技术研发力度，采用生态修复、矿洞填充等方式对无害化磷石膏加以利用，切实加强生态修复项目全过程的监督管理。支持企业开展磷石膏制硫酸联产水泥（氧化钙材料）、采用先进技术对磷石膏进行活化改性，拓展在塑料制品、复合材料等领域的利用。</w:t>
                  </w:r>
                </w:p>
              </w:tc>
              <w:tc>
                <w:tcPr>
                  <w:tcW w:w="2870" w:type="dxa"/>
                  <w:vAlign w:val="center"/>
                </w:tcPr>
                <w:p w14:paraId="38778AFB">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项目利用改性磷石膏</w:t>
                  </w:r>
                  <w:r>
                    <w:rPr>
                      <w:rFonts w:hint="eastAsia" w:ascii="Times New Roman" w:hAnsi="Times New Roman" w:eastAsia="宋体" w:cs="Times New Roman"/>
                      <w:color w:val="auto"/>
                      <w:sz w:val="21"/>
                      <w:szCs w:val="21"/>
                      <w:lang w:eastAsia="zh-CN"/>
                    </w:rPr>
                    <w:t>生产</w:t>
                  </w:r>
                  <w:r>
                    <w:rPr>
                      <w:rFonts w:ascii="Times New Roman" w:hAnsi="Times New Roman" w:eastAsia="宋体" w:cs="Times New Roman"/>
                      <w:color w:val="auto"/>
                      <w:sz w:val="21"/>
                      <w:szCs w:val="21"/>
                      <w:lang w:eastAsia="zh-CN"/>
                    </w:rPr>
                    <w:t>路基材料，</w:t>
                  </w:r>
                  <w:r>
                    <w:rPr>
                      <w:rFonts w:hint="eastAsia" w:ascii="Times New Roman" w:hAnsi="Times New Roman" w:eastAsia="宋体" w:cs="Times New Roman"/>
                      <w:color w:val="auto"/>
                      <w:sz w:val="21"/>
                      <w:szCs w:val="21"/>
                      <w:lang w:val="en-US" w:eastAsia="zh-CN"/>
                    </w:rPr>
                    <w:t>年利用改性磷石膏量约为</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val="en-US" w:eastAsia="zh-CN"/>
                    </w:rPr>
                    <w:t>万吨，</w:t>
                  </w:r>
                  <w:r>
                    <w:rPr>
                      <w:rFonts w:ascii="Times New Roman" w:hAnsi="Times New Roman" w:eastAsia="宋体" w:cs="Times New Roman"/>
                      <w:color w:val="auto"/>
                      <w:sz w:val="21"/>
                      <w:szCs w:val="21"/>
                      <w:lang w:eastAsia="zh-CN"/>
                    </w:rPr>
                    <w:t>合理利用资源，增加了磷石膏的综合利用率。</w:t>
                  </w:r>
                </w:p>
              </w:tc>
              <w:tc>
                <w:tcPr>
                  <w:tcW w:w="921" w:type="dxa"/>
                  <w:vAlign w:val="center"/>
                </w:tcPr>
                <w:p w14:paraId="5D1B80D2">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06C9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771B85E6">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全面推行磷石膏无害化处理。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加强全流程监管。建立昆明市磷石膏信息化监管平台，督促磷石膏产生企业及其相关生产经营者规范建立磷石膏管理台账，如实记录产生磷石膏的数量、流向、贮存、利用、处置等信息，据实在平台进行填报，实现磷石膏可追溯、可查询，准确、科学测算磷石膏综合利用率。不定期对企业磷石膏利用相关凭证进行核实，核查情况纳入信用记录制度。督促企业依法公开磷石膏污染防治信息，主动接受社会监督。</w:t>
                  </w:r>
                </w:p>
              </w:tc>
              <w:tc>
                <w:tcPr>
                  <w:tcW w:w="2870" w:type="dxa"/>
                  <w:vAlign w:val="center"/>
                </w:tcPr>
                <w:p w14:paraId="75ECB739">
                  <w:pPr>
                    <w:pStyle w:val="30"/>
                    <w:widowControl/>
                    <w:kinsoku/>
                    <w:overflowPunct w:val="0"/>
                    <w:autoSpaceDE/>
                    <w:autoSpaceDN/>
                    <w:adjustRightInd/>
                    <w:snapToGrid/>
                    <w:spacing w:line="240" w:lineRule="auto"/>
                    <w:ind w:leftChars="0" w:rightChars="0"/>
                    <w:jc w:val="both"/>
                    <w:rPr>
                      <w:rFonts w:hint="eastAsia"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本项目不涉及磷石膏的无害化处理。</w:t>
                  </w:r>
                  <w:r>
                    <w:rPr>
                      <w:rFonts w:hint="eastAsia" w:ascii="Times New Roman" w:hAnsi="Times New Roman" w:eastAsia="宋体" w:cs="Times New Roman"/>
                      <w:color w:val="auto"/>
                      <w:sz w:val="21"/>
                      <w:szCs w:val="21"/>
                      <w:lang w:eastAsia="zh-CN"/>
                    </w:rPr>
                    <w:t>本项目</w:t>
                  </w:r>
                  <w:r>
                    <w:rPr>
                      <w:rFonts w:ascii="Times New Roman" w:hAnsi="Times New Roman" w:eastAsia="宋体" w:cs="Times New Roman"/>
                      <w:color w:val="auto"/>
                      <w:sz w:val="21"/>
                      <w:szCs w:val="21"/>
                      <w:lang w:eastAsia="zh-CN"/>
                    </w:rPr>
                    <w:t>利用</w:t>
                  </w:r>
                  <w:r>
                    <w:rPr>
                      <w:rFonts w:hint="eastAsia" w:ascii="Times New Roman" w:hAnsi="Times New Roman" w:eastAsia="宋体" w:cs="Times New Roman"/>
                      <w:color w:val="auto"/>
                      <w:sz w:val="21"/>
                      <w:szCs w:val="21"/>
                      <w:lang w:eastAsia="zh-CN"/>
                    </w:rPr>
                    <w:t>中化云龙有限公司</w:t>
                  </w:r>
                  <w:r>
                    <w:rPr>
                      <w:rFonts w:hint="eastAsia" w:ascii="Times New Roman" w:hAnsi="Times New Roman" w:eastAsia="宋体" w:cs="Times New Roman"/>
                      <w:color w:val="auto"/>
                      <w:sz w:val="21"/>
                      <w:szCs w:val="21"/>
                      <w:lang w:val="en-US" w:eastAsia="zh-CN"/>
                    </w:rPr>
                    <w:t>中和法无害化处理的</w:t>
                  </w:r>
                  <w:r>
                    <w:rPr>
                      <w:rFonts w:ascii="Times New Roman" w:hAnsi="Times New Roman" w:eastAsia="宋体" w:cs="Times New Roman"/>
                      <w:color w:val="auto"/>
                      <w:sz w:val="21"/>
                      <w:szCs w:val="21"/>
                      <w:lang w:eastAsia="zh-CN"/>
                    </w:rPr>
                    <w:t>改性磷石膏作为原料</w:t>
                  </w:r>
                  <w:r>
                    <w:rPr>
                      <w:rFonts w:hint="eastAsia" w:ascii="Times New Roman" w:hAnsi="Times New Roman" w:eastAsia="宋体" w:cs="Times New Roman"/>
                      <w:color w:val="auto"/>
                      <w:sz w:val="21"/>
                      <w:szCs w:val="21"/>
                      <w:lang w:eastAsia="zh-CN"/>
                    </w:rPr>
                    <w:t>生产路基材料</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根据检测结果（附件8），中化云龙有限公司</w:t>
                  </w:r>
                  <w:r>
                    <w:rPr>
                      <w:rFonts w:ascii="Times New Roman" w:hAnsi="Times New Roman" w:eastAsia="宋体" w:cs="Times New Roman"/>
                      <w:color w:val="auto"/>
                      <w:sz w:val="21"/>
                      <w:szCs w:val="21"/>
                      <w:lang w:eastAsia="zh-CN"/>
                    </w:rPr>
                    <w:t>的改性磷石膏</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路基材料</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属于第I类一般工业固体废物。</w:t>
                  </w:r>
                  <w:r>
                    <w:rPr>
                      <w:rFonts w:hint="eastAsia" w:ascii="Times New Roman" w:hAnsi="Times New Roman" w:eastAsia="宋体" w:cs="Times New Roman"/>
                      <w:color w:val="auto"/>
                      <w:sz w:val="21"/>
                      <w:szCs w:val="21"/>
                      <w:lang w:val="en-US" w:eastAsia="zh-CN"/>
                    </w:rPr>
                    <w:t>项目建设完成后，建设单位将</w:t>
                  </w:r>
                  <w:r>
                    <w:rPr>
                      <w:rFonts w:ascii="Times New Roman" w:hAnsi="Times New Roman" w:eastAsia="宋体" w:cs="Times New Roman"/>
                      <w:color w:val="auto"/>
                      <w:sz w:val="21"/>
                      <w:szCs w:val="21"/>
                    </w:rPr>
                    <w:t>按照规范要求制定磷石膏管理台账</w:t>
                  </w:r>
                  <w:r>
                    <w:rPr>
                      <w:rFonts w:hint="eastAsia" w:ascii="Times New Roman" w:hAnsi="Times New Roman" w:eastAsia="宋体" w:cs="Times New Roman"/>
                      <w:color w:val="auto"/>
                      <w:sz w:val="21"/>
                      <w:szCs w:val="21"/>
                      <w:lang w:eastAsia="zh-CN"/>
                    </w:rPr>
                    <w:t>。</w:t>
                  </w:r>
                </w:p>
              </w:tc>
              <w:tc>
                <w:tcPr>
                  <w:tcW w:w="921" w:type="dxa"/>
                  <w:vAlign w:val="center"/>
                </w:tcPr>
                <w:p w14:paraId="153E016B">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符合</w:t>
                  </w:r>
                </w:p>
              </w:tc>
            </w:tr>
            <w:tr w14:paraId="50289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99" w:type="dxa"/>
                  <w:vAlign w:val="center"/>
                </w:tcPr>
                <w:p w14:paraId="6B3D443E">
                  <w:pPr>
                    <w:pStyle w:val="30"/>
                    <w:widowControl/>
                    <w:kinsoku/>
                    <w:overflowPunct w:val="0"/>
                    <w:autoSpaceDE/>
                    <w:autoSpaceDN/>
                    <w:adjustRightInd/>
                    <w:snapToGrid/>
                    <w:spacing w:line="240" w:lineRule="auto"/>
                    <w:ind w:leftChars="0" w:rightChars="0"/>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严格磷石膏库监管。严格执行磷石膏库安全、环保标准和监管规范，对在用和停用磷石膏库严格监管。建立磷石膏库风险预警机制和应急联动机制，定期开展磷石膏库安全环保隐患排查整治，按照“一库一策”推进消纳库存磷石膏，对退库的磷石膏库实施生态修复治理，有效防控和化解磷石膏库环境和安全风险。</w:t>
                  </w:r>
                </w:p>
              </w:tc>
              <w:tc>
                <w:tcPr>
                  <w:tcW w:w="2870" w:type="dxa"/>
                  <w:vAlign w:val="center"/>
                </w:tcPr>
                <w:p w14:paraId="286FFEE1">
                  <w:pPr>
                    <w:pStyle w:val="30"/>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项目不属于磷石膏渣库，仅为改性磷石膏的综合利用项目，厂内的堆场</w:t>
                  </w:r>
                  <w:r>
                    <w:rPr>
                      <w:rFonts w:hint="eastAsia" w:ascii="Times New Roman" w:hAnsi="Times New Roman" w:eastAsia="宋体" w:cs="Times New Roman"/>
                      <w:color w:val="auto"/>
                      <w:sz w:val="21"/>
                      <w:szCs w:val="21"/>
                      <w:lang w:eastAsia="zh-CN"/>
                    </w:rPr>
                    <w:t>仅</w:t>
                  </w:r>
                  <w:r>
                    <w:rPr>
                      <w:rFonts w:ascii="Times New Roman" w:hAnsi="Times New Roman" w:eastAsia="宋体" w:cs="Times New Roman"/>
                      <w:color w:val="auto"/>
                      <w:sz w:val="21"/>
                      <w:szCs w:val="21"/>
                      <w:lang w:eastAsia="zh-CN"/>
                    </w:rPr>
                    <w:t>进行改性磷石膏的临时堆放，不涉及“一库一策”的建设和管理。</w:t>
                  </w:r>
                </w:p>
              </w:tc>
              <w:tc>
                <w:tcPr>
                  <w:tcW w:w="921" w:type="dxa"/>
                  <w:vAlign w:val="center"/>
                </w:tcPr>
                <w:p w14:paraId="6B91B70E">
                  <w:pPr>
                    <w:pStyle w:val="30"/>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符合</w:t>
                  </w:r>
                </w:p>
              </w:tc>
            </w:tr>
          </w:tbl>
          <w:p w14:paraId="3F8B8F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综上所述，项目符合昆明市全面加强磷石膏综合利用三年攻坚行动方案（2023—2025年）通知的相关要求。</w:t>
            </w:r>
          </w:p>
          <w:p w14:paraId="680E197D">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1</w:t>
            </w:r>
            <w:r>
              <w:rPr>
                <w:rFonts w:hint="eastAsia" w:hAnsi="Times New Roman" w:cs="Times New Roman"/>
                <w:b/>
                <w:color w:val="auto"/>
                <w:sz w:val="24"/>
                <w:lang w:val="en-US" w:eastAsia="zh-CN"/>
              </w:rPr>
              <w:t>7</w:t>
            </w:r>
            <w:r>
              <w:rPr>
                <w:rFonts w:hint="eastAsia" w:ascii="Times New Roman" w:hAnsi="Times New Roman" w:eastAsia="宋体" w:cs="Times New Roman"/>
                <w:b/>
                <w:color w:val="auto"/>
                <w:sz w:val="24"/>
                <w:lang w:eastAsia="zh-CN"/>
              </w:rPr>
              <w:t>、与《磷石膏利用和无害化贮存污染控制技术规范》（HJ</w:t>
            </w:r>
            <w:r>
              <w:rPr>
                <w:rFonts w:hint="eastAsia" w:hAnsi="Times New Roman" w:cs="Times New Roman"/>
                <w:b/>
                <w:color w:val="auto"/>
                <w:sz w:val="24"/>
                <w:lang w:val="en-US" w:eastAsia="zh-CN"/>
              </w:rPr>
              <w:t xml:space="preserve"> </w:t>
            </w:r>
            <w:r>
              <w:rPr>
                <w:rFonts w:hint="eastAsia" w:ascii="Times New Roman" w:hAnsi="Times New Roman" w:eastAsia="宋体" w:cs="Times New Roman"/>
                <w:b/>
                <w:color w:val="auto"/>
                <w:sz w:val="24"/>
                <w:lang w:eastAsia="zh-CN"/>
              </w:rPr>
              <w:t>1415-2025）的符合性分析</w:t>
            </w:r>
          </w:p>
          <w:p w14:paraId="7FF4BC61">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6</w:t>
            </w:r>
            <w:r>
              <w:rPr>
                <w:rFonts w:ascii="Times New Roman" w:hAnsi="Times New Roman" w:eastAsia="宋体" w:cs="Times New Roman"/>
                <w:b/>
                <w:snapToGrid/>
                <w:color w:val="auto"/>
                <w:kern w:val="2"/>
                <w:sz w:val="24"/>
                <w:szCs w:val="24"/>
                <w:lang w:eastAsia="zh-CN" w:bidi="ar"/>
              </w:rPr>
              <w:t>项目与《磷石膏利用和无害化贮存污染控制技术规范》（HJ</w:t>
            </w:r>
            <w:r>
              <w:rPr>
                <w:rFonts w:hint="eastAsia" w:cs="Times New Roman"/>
                <w:b/>
                <w:snapToGrid/>
                <w:color w:val="auto"/>
                <w:kern w:val="2"/>
                <w:sz w:val="24"/>
                <w:szCs w:val="24"/>
                <w:lang w:val="en-US" w:eastAsia="zh-CN" w:bidi="ar"/>
              </w:rPr>
              <w:t xml:space="preserve"> </w:t>
            </w:r>
            <w:r>
              <w:rPr>
                <w:rFonts w:ascii="Times New Roman" w:hAnsi="Times New Roman" w:eastAsia="宋体" w:cs="Times New Roman"/>
                <w:b/>
                <w:snapToGrid/>
                <w:color w:val="auto"/>
                <w:kern w:val="2"/>
                <w:sz w:val="24"/>
                <w:szCs w:val="24"/>
                <w:lang w:eastAsia="zh-CN" w:bidi="ar"/>
              </w:rPr>
              <w:t>1415-2025）相符性</w:t>
            </w:r>
          </w:p>
          <w:tbl>
            <w:tblPr>
              <w:tblStyle w:val="20"/>
              <w:tblW w:w="84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4023"/>
              <w:gridCol w:w="3166"/>
              <w:gridCol w:w="908"/>
            </w:tblGrid>
            <w:tr w14:paraId="33A1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73" w:type="dxa"/>
                  <w:gridSpan w:val="2"/>
                  <w:vAlign w:val="center"/>
                </w:tcPr>
                <w:p w14:paraId="6AEBCB9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166" w:type="dxa"/>
                  <w:vAlign w:val="center"/>
                </w:tcPr>
                <w:p w14:paraId="72EF92A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908" w:type="dxa"/>
                  <w:vAlign w:val="center"/>
                </w:tcPr>
                <w:p w14:paraId="6BDA5FF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2807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Align w:val="center"/>
                </w:tcPr>
                <w:p w14:paraId="76A6C491">
                  <w:pPr>
                    <w:keepNext w:val="0"/>
                    <w:keepLines w:val="0"/>
                    <w:pageBreakBefore w:val="0"/>
                    <w:widowControl/>
                    <w:kinsoku/>
                    <w:wordWrap/>
                    <w:overflowPunct w:val="0"/>
                    <w:topLinePunct w:val="0"/>
                    <w:autoSpaceDE/>
                    <w:autoSpaceDN/>
                    <w:bidi w:val="0"/>
                    <w:adjustRightInd w:val="0"/>
                    <w:snapToGrid w:val="0"/>
                    <w:spacing w:line="240" w:lineRule="auto"/>
                    <w:ind w:leftChars="0" w:rightChars="0"/>
                    <w:textAlignment w:val="baseline"/>
                    <w:rPr>
                      <w:rFonts w:ascii="Times New Roman" w:hAnsi="Times New Roman" w:eastAsia="宋体" w:cs="Times New Roman"/>
                      <w:color w:val="auto"/>
                      <w:lang w:eastAsia="zh-CN"/>
                    </w:rPr>
                  </w:pPr>
                  <w:r>
                    <w:rPr>
                      <w:rFonts w:ascii="Times New Roman" w:hAnsi="Times New Roman" w:eastAsia="宋体" w:cs="Times New Roman"/>
                      <w:b w:val="0"/>
                      <w:bCs w:val="0"/>
                      <w:color w:val="auto"/>
                      <w:lang w:eastAsia="zh-CN"/>
                    </w:rPr>
                    <w:t>总体要求</w:t>
                  </w:r>
                </w:p>
              </w:tc>
              <w:tc>
                <w:tcPr>
                  <w:tcW w:w="4023" w:type="dxa"/>
                  <w:vAlign w:val="center"/>
                </w:tcPr>
                <w:p w14:paraId="337EE7D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b w:val="0"/>
                      <w:bCs w:val="0"/>
                      <w:color w:val="auto"/>
                      <w:lang w:val="en-US" w:eastAsia="zh-CN"/>
                    </w:rPr>
                    <w:t>4.1</w:t>
                  </w:r>
                  <w:r>
                    <w:rPr>
                      <w:rFonts w:ascii="Times New Roman" w:hAnsi="Times New Roman" w:eastAsia="宋体" w:cs="Times New Roman"/>
                      <w:b w:val="0"/>
                      <w:bCs w:val="0"/>
                      <w:color w:val="auto"/>
                      <w:lang w:eastAsia="zh-CN"/>
                    </w:rPr>
                    <w:t>磷</w:t>
                  </w:r>
                  <w:r>
                    <w:rPr>
                      <w:rFonts w:ascii="Times New Roman" w:hAnsi="Times New Roman" w:eastAsia="宋体" w:cs="Times New Roman"/>
                      <w:color w:val="auto"/>
                      <w:lang w:eastAsia="zh-CN"/>
                    </w:rPr>
                    <w:t>石膏产生单位应实施清洁生产，提高资源利用率，降低磷石膏的产生量，减少磷石膏中污染物含量。</w:t>
                  </w:r>
                </w:p>
                <w:p w14:paraId="2690ED8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4.2</w:t>
                  </w:r>
                  <w:r>
                    <w:rPr>
                      <w:rFonts w:ascii="Times New Roman" w:hAnsi="Times New Roman" w:eastAsia="宋体" w:cs="Times New Roman"/>
                      <w:color w:val="auto"/>
                      <w:lang w:eastAsia="zh-CN"/>
                    </w:rPr>
                    <w:t>磷石膏利用单位应尽可能对磷石膏进行利用，最大限度降低磷石膏的贮存量，控制环境风险。</w:t>
                  </w:r>
                </w:p>
                <w:p w14:paraId="20F47C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4.3</w:t>
                  </w:r>
                  <w:r>
                    <w:rPr>
                      <w:rFonts w:ascii="Times New Roman" w:hAnsi="Times New Roman" w:eastAsia="宋体" w:cs="Times New Roman"/>
                      <w:color w:val="auto"/>
                      <w:lang w:eastAsia="zh-CN"/>
                    </w:rPr>
                    <w:t>磷石膏用于符合本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p w14:paraId="5E4E9B6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4.4</w:t>
                  </w:r>
                  <w:r>
                    <w:rPr>
                      <w:rFonts w:ascii="Times New Roman" w:hAnsi="Times New Roman" w:eastAsia="宋体" w:cs="Times New Roman"/>
                      <w:color w:val="auto"/>
                      <w:lang w:eastAsia="zh-CN"/>
                    </w:rPr>
                    <w:t>磷石膏利用和贮存过程涉及的国家安全生产、职业健康、交通运输、消防等，应符合国家和地方相关法律法规及标准的规定。</w:t>
                  </w:r>
                </w:p>
              </w:tc>
              <w:tc>
                <w:tcPr>
                  <w:tcW w:w="3166" w:type="dxa"/>
                  <w:vAlign w:val="center"/>
                </w:tcPr>
                <w:p w14:paraId="08ACB28F">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1、项目不涉及磷石膏无害化处理，仅对改性磷石膏进行综合利用；</w:t>
                  </w:r>
                </w:p>
                <w:p w14:paraId="644AE04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2、项目距离中化云龙有限公司生产厂区较近，</w:t>
                  </w:r>
                  <w:r>
                    <w:rPr>
                      <w:rFonts w:hint="eastAsia" w:ascii="Times New Roman" w:hAnsi="Times New Roman" w:eastAsia="宋体" w:cs="Times New Roman"/>
                      <w:color w:val="auto"/>
                      <w:sz w:val="21"/>
                      <w:szCs w:val="21"/>
                    </w:rPr>
                    <w:t>可根据产品订单量输运所需改性磷石膏，能最大限度降低改性磷石膏在本项目厂区内的贮存量，有效控制了环境风险</w:t>
                  </w:r>
                  <w:r>
                    <w:rPr>
                      <w:rFonts w:ascii="Times New Roman" w:hAnsi="Times New Roman" w:eastAsia="宋体" w:cs="Times New Roman"/>
                      <w:color w:val="auto"/>
                      <w:sz w:val="21"/>
                      <w:szCs w:val="21"/>
                    </w:rPr>
                    <w:t>；</w:t>
                  </w:r>
                </w:p>
                <w:p w14:paraId="278A025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3、项目</w:t>
                  </w:r>
                  <w:r>
                    <w:rPr>
                      <w:rFonts w:hint="eastAsia" w:ascii="Times New Roman" w:hAnsi="Times New Roman" w:eastAsia="宋体" w:cs="Times New Roman"/>
                      <w:color w:val="auto"/>
                      <w:sz w:val="21"/>
                      <w:szCs w:val="21"/>
                    </w:rPr>
                    <w:t>利用改性</w:t>
                  </w:r>
                  <w:r>
                    <w:rPr>
                      <w:rFonts w:ascii="Times New Roman" w:hAnsi="Times New Roman" w:eastAsia="宋体" w:cs="Times New Roman"/>
                      <w:color w:val="auto"/>
                      <w:sz w:val="21"/>
                      <w:szCs w:val="21"/>
                    </w:rPr>
                    <w:t>磷石膏</w:t>
                  </w:r>
                  <w:r>
                    <w:rPr>
                      <w:rFonts w:hint="eastAsia" w:ascii="Times New Roman" w:hAnsi="Times New Roman" w:eastAsia="宋体" w:cs="Times New Roman"/>
                      <w:color w:val="auto"/>
                      <w:sz w:val="21"/>
                      <w:szCs w:val="21"/>
                    </w:rPr>
                    <w:t>生产</w:t>
                  </w:r>
                  <w:r>
                    <w:rPr>
                      <w:rFonts w:ascii="Times New Roman" w:hAnsi="Times New Roman" w:eastAsia="宋体" w:cs="Times New Roman"/>
                      <w:color w:val="auto"/>
                      <w:sz w:val="21"/>
                      <w:szCs w:val="21"/>
                    </w:rPr>
                    <w:t>路基材料，路基材料外售时与购买方明确说明应避开活动断层，泉域保护范围以及岩溶强发育、存在较多落水洞和岩溶漏斗等区域；</w:t>
                  </w:r>
                </w:p>
                <w:p w14:paraId="7487BC0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rPr>
                    <w:t>项目磷石膏</w:t>
                  </w:r>
                  <w:r>
                    <w:rPr>
                      <w:rFonts w:ascii="Times New Roman" w:hAnsi="Times New Roman" w:eastAsia="宋体" w:cs="Times New Roman"/>
                      <w:color w:val="auto"/>
                      <w:sz w:val="21"/>
                      <w:szCs w:val="21"/>
                    </w:rPr>
                    <w:t>利用和贮存过程</w:t>
                  </w:r>
                  <w:r>
                    <w:rPr>
                      <w:rFonts w:hint="eastAsia" w:ascii="Times New Roman" w:hAnsi="Times New Roman" w:eastAsia="宋体" w:cs="Times New Roman"/>
                      <w:color w:val="auto"/>
                      <w:sz w:val="21"/>
                      <w:szCs w:val="21"/>
                    </w:rPr>
                    <w:t>严格按照相关要求、标准进行，并设置严格的管控措施；</w:t>
                  </w:r>
                </w:p>
              </w:tc>
              <w:tc>
                <w:tcPr>
                  <w:tcW w:w="908" w:type="dxa"/>
                  <w:vAlign w:val="center"/>
                </w:tcPr>
                <w:p w14:paraId="1646751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D50C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Align w:val="center"/>
                </w:tcPr>
                <w:p w14:paraId="414DB12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b w:val="0"/>
                      <w:bCs w:val="0"/>
                      <w:color w:val="auto"/>
                      <w:szCs w:val="21"/>
                      <w:lang w:eastAsia="zh-CN"/>
                    </w:rPr>
                    <w:t>利用过程污染控制技术要求</w:t>
                  </w:r>
                </w:p>
              </w:tc>
              <w:tc>
                <w:tcPr>
                  <w:tcW w:w="4023" w:type="dxa"/>
                  <w:vAlign w:val="center"/>
                </w:tcPr>
                <w:p w14:paraId="4D1FF49C">
                  <w:pPr>
                    <w:widowControl/>
                    <w:kinsoku/>
                    <w:overflowPunct w:val="0"/>
                    <w:autoSpaceDE/>
                    <w:autoSpaceDN/>
                    <w:adjustRightInd/>
                    <w:snapToGrid/>
                    <w:spacing w:line="240" w:lineRule="auto"/>
                    <w:ind w:leftChars="0" w:rightChars="0"/>
                    <w:rPr>
                      <w:rFonts w:ascii="Times New Roman" w:hAnsi="Times New Roman" w:eastAsia="宋体" w:cs="Times New Roman"/>
                      <w:b w:val="0"/>
                      <w:bCs w:val="0"/>
                      <w:color w:val="auto"/>
                      <w:lang w:eastAsia="zh-CN"/>
                    </w:rPr>
                  </w:pPr>
                  <w:r>
                    <w:rPr>
                      <w:rFonts w:hint="eastAsia" w:cs="Times New Roman"/>
                      <w:b w:val="0"/>
                      <w:bCs w:val="0"/>
                      <w:color w:val="auto"/>
                      <w:lang w:val="en-US" w:eastAsia="zh-CN"/>
                    </w:rPr>
                    <w:t>5.1</w:t>
                  </w:r>
                  <w:r>
                    <w:rPr>
                      <w:rFonts w:ascii="Times New Roman" w:hAnsi="Times New Roman" w:eastAsia="宋体" w:cs="Times New Roman"/>
                      <w:b w:val="0"/>
                      <w:bCs w:val="0"/>
                      <w:color w:val="auto"/>
                      <w:lang w:eastAsia="zh-CN"/>
                    </w:rPr>
                    <w:t>筑路利用</w:t>
                  </w:r>
                </w:p>
                <w:p w14:paraId="5DF7E96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5.1.1</w:t>
                  </w:r>
                  <w:r>
                    <w:rPr>
                      <w:rFonts w:ascii="Times New Roman" w:hAnsi="Times New Roman" w:eastAsia="宋体" w:cs="Times New Roman"/>
                      <w:color w:val="auto"/>
                      <w:lang w:eastAsia="zh-CN"/>
                    </w:rPr>
                    <w:t>磷石膏经预处理后可用于道路基层，经养护后的筑路物料按照HJ557制备的浸出液中氟化物、磷酸盐（以P计）、氨氮、化学需氧量、总铅、总镉、总砷、总汞和总铬浓度应满足GB18599中界定的第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w:t>
                  </w:r>
                </w:p>
                <w:p w14:paraId="0AC0E68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5.1.2</w:t>
                  </w:r>
                  <w:r>
                    <w:rPr>
                      <w:rFonts w:ascii="Times New Roman" w:hAnsi="Times New Roman" w:eastAsia="宋体" w:cs="Times New Roman"/>
                      <w:color w:val="auto"/>
                      <w:lang w:eastAsia="zh-CN"/>
                    </w:rPr>
                    <w:t>、磷石膏筑路物料利用过程中的转运和临时存放应采取相应的防渗漏、防雨淋、防扬尘措施。</w:t>
                  </w:r>
                </w:p>
                <w:p w14:paraId="2557F2E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5.1.3</w:t>
                  </w:r>
                  <w:r>
                    <w:rPr>
                      <w:rFonts w:ascii="Times New Roman" w:hAnsi="Times New Roman" w:eastAsia="宋体" w:cs="Times New Roman"/>
                      <w:color w:val="auto"/>
                      <w:lang w:eastAsia="zh-CN"/>
                    </w:rPr>
                    <w:t>磷石膏筑路利用的道路工程设计、施工应满足相关的国家和地方技术要求。</w:t>
                  </w:r>
                </w:p>
              </w:tc>
              <w:tc>
                <w:tcPr>
                  <w:tcW w:w="3166" w:type="dxa"/>
                  <w:vAlign w:val="center"/>
                </w:tcPr>
                <w:p w14:paraId="3A0D599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r>
                    <w:rPr>
                      <w:rFonts w:hint="eastAsia" w:ascii="Times New Roman" w:hAnsi="Times New Roman" w:eastAsia="宋体" w:cs="Times New Roman"/>
                      <w:color w:val="auto"/>
                      <w:lang w:eastAsia="zh-CN"/>
                    </w:rPr>
                    <w:t>项目使用改性磷石膏、砂石骨料、粉煤灰混合后生产路基材料用于道路建设，根据中化云龙有限公司提供的改性磷石膏浸出液检测报告（附件8，</w:t>
                  </w:r>
                  <w:r>
                    <w:rPr>
                      <w:rFonts w:hint="eastAsia" w:ascii="Times New Roman" w:hAnsi="Times New Roman" w:eastAsia="宋体" w:cs="Times New Roman"/>
                      <w:color w:val="auto"/>
                      <w:lang w:val="en-US" w:eastAsia="zh-CN"/>
                    </w:rPr>
                    <w:t>YNFY2025092301-1</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氟化物、磷酸盐（以P计）、氨氮、化学需氧量、总铅、总镉、总砷、总汞和总铬浓度满足GB18599中界定的第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w:t>
                  </w:r>
                </w:p>
                <w:p w14:paraId="2D31A92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项目路基材料外售时向购买方明确采取相应的防渗漏、防雨淋、防扬尘措施；</w:t>
                  </w:r>
                </w:p>
                <w:p w14:paraId="65330DB7">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3、</w:t>
                  </w:r>
                  <w:r>
                    <w:rPr>
                      <w:rFonts w:hint="eastAsia" w:ascii="Times New Roman" w:hAnsi="Times New Roman" w:eastAsia="宋体" w:cs="Times New Roman"/>
                      <w:color w:val="auto"/>
                      <w:lang w:eastAsia="zh-CN"/>
                    </w:rPr>
                    <w:t>项目路基材料使用的</w:t>
                  </w:r>
                  <w:r>
                    <w:rPr>
                      <w:rFonts w:ascii="Times New Roman" w:hAnsi="Times New Roman" w:eastAsia="宋体" w:cs="Times New Roman"/>
                      <w:color w:val="auto"/>
                      <w:lang w:eastAsia="zh-CN"/>
                    </w:rPr>
                    <w:t>道路工程设计、施工</w:t>
                  </w:r>
                  <w:r>
                    <w:rPr>
                      <w:rFonts w:hint="eastAsia" w:ascii="Times New Roman" w:hAnsi="Times New Roman" w:eastAsia="宋体" w:cs="Times New Roman"/>
                      <w:color w:val="auto"/>
                      <w:lang w:eastAsia="zh-CN"/>
                    </w:rPr>
                    <w:t>可</w:t>
                  </w:r>
                  <w:r>
                    <w:rPr>
                      <w:rFonts w:ascii="Times New Roman" w:hAnsi="Times New Roman" w:eastAsia="宋体" w:cs="Times New Roman"/>
                      <w:color w:val="auto"/>
                      <w:lang w:eastAsia="zh-CN"/>
                    </w:rPr>
                    <w:t>满足相关的国家和地方技术要求</w:t>
                  </w:r>
                  <w:r>
                    <w:rPr>
                      <w:rFonts w:hint="eastAsia" w:ascii="Times New Roman" w:hAnsi="Times New Roman" w:eastAsia="宋体" w:cs="Times New Roman"/>
                      <w:color w:val="auto"/>
                      <w:lang w:eastAsia="zh-CN"/>
                    </w:rPr>
                    <w:t>。</w:t>
                  </w:r>
                </w:p>
              </w:tc>
              <w:tc>
                <w:tcPr>
                  <w:tcW w:w="908" w:type="dxa"/>
                  <w:vAlign w:val="center"/>
                </w:tcPr>
                <w:p w14:paraId="72A2096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符合</w:t>
                  </w:r>
                </w:p>
              </w:tc>
            </w:tr>
            <w:tr w14:paraId="50A6B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Align w:val="center"/>
                </w:tcPr>
                <w:p w14:paraId="4F44741F">
                  <w:pPr>
                    <w:pStyle w:val="7"/>
                    <w:widowControl w:val="0"/>
                    <w:adjustRightInd/>
                    <w:snapToGrid/>
                    <w:spacing w:line="240" w:lineRule="auto"/>
                    <w:ind w:leftChars="0" w:right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b w:val="0"/>
                      <w:bCs w:val="0"/>
                      <w:color w:val="auto"/>
                      <w:sz w:val="21"/>
                      <w:szCs w:val="21"/>
                      <w:lang w:eastAsia="zh-CN"/>
                    </w:rPr>
                    <w:t>贮存过程污染控制技术要求</w:t>
                  </w:r>
                </w:p>
              </w:tc>
              <w:tc>
                <w:tcPr>
                  <w:tcW w:w="4023" w:type="dxa"/>
                  <w:vAlign w:val="center"/>
                </w:tcPr>
                <w:p w14:paraId="6001AB87">
                  <w:pPr>
                    <w:pStyle w:val="7"/>
                    <w:widowControl w:val="0"/>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cs="Times New Roman"/>
                      <w:color w:val="auto"/>
                      <w:sz w:val="21"/>
                      <w:szCs w:val="21"/>
                      <w:lang w:val="en-US" w:eastAsia="zh-CN"/>
                    </w:rPr>
                    <w:t>6.3</w:t>
                  </w:r>
                  <w:r>
                    <w:rPr>
                      <w:rFonts w:hint="eastAsia" w:ascii="Times New Roman" w:hAnsi="Times New Roman" w:eastAsia="宋体" w:cs="Times New Roman"/>
                      <w:color w:val="auto"/>
                      <w:sz w:val="21"/>
                      <w:szCs w:val="21"/>
                      <w:lang w:val="en-US" w:eastAsia="zh-CN"/>
                    </w:rPr>
                    <w:t>资源</w:t>
                  </w:r>
                  <w:r>
                    <w:rPr>
                      <w:rFonts w:ascii="Times New Roman" w:hAnsi="Times New Roman" w:eastAsia="宋体" w:cs="Times New Roman"/>
                      <w:color w:val="auto"/>
                      <w:sz w:val="21"/>
                      <w:szCs w:val="21"/>
                      <w:lang w:eastAsia="zh-CN"/>
                    </w:rPr>
                    <w:t>贮存场</w:t>
                  </w:r>
                </w:p>
                <w:p w14:paraId="3B1E4CC2">
                  <w:pPr>
                    <w:pStyle w:val="7"/>
                    <w:widowControl w:val="0"/>
                    <w:adjustRightInd/>
                    <w:snapToGrid/>
                    <w:spacing w:line="240" w:lineRule="auto"/>
                    <w:ind w:leftChars="0" w:rightChars="0"/>
                    <w:rPr>
                      <w:rFonts w:ascii="Times New Roman" w:hAnsi="Times New Roman" w:eastAsia="宋体" w:cs="Times New Roman"/>
                      <w:color w:val="auto"/>
                      <w:sz w:val="21"/>
                      <w:szCs w:val="21"/>
                      <w:lang w:eastAsia="zh-CN"/>
                    </w:rPr>
                  </w:pPr>
                  <w:r>
                    <w:rPr>
                      <w:rFonts w:hint="eastAsia" w:cs="Times New Roman"/>
                      <w:color w:val="auto"/>
                      <w:sz w:val="21"/>
                      <w:szCs w:val="21"/>
                      <w:lang w:val="en-US" w:eastAsia="zh-CN"/>
                    </w:rPr>
                    <w:t>6.3.1</w:t>
                  </w:r>
                  <w:r>
                    <w:rPr>
                      <w:rFonts w:hint="eastAsia" w:ascii="Times New Roman" w:hAnsi="Times New Roman" w:eastAsia="宋体" w:cs="Times New Roman"/>
                      <w:color w:val="auto"/>
                      <w:sz w:val="21"/>
                      <w:szCs w:val="21"/>
                      <w:lang w:eastAsia="zh-CN"/>
                    </w:rPr>
                    <w:t>新建资源贮存场的设计应符合GB 18599中Ⅱ类场技术要求，库容应按照不超过3年磷石膏产生量设计。</w:t>
                  </w:r>
                </w:p>
                <w:p w14:paraId="14738BD7">
                  <w:pPr>
                    <w:pStyle w:val="7"/>
                    <w:widowControl w:val="0"/>
                    <w:adjustRightInd/>
                    <w:snapToGrid/>
                    <w:spacing w:line="240" w:lineRule="auto"/>
                    <w:ind w:leftChars="0" w:rightChars="0"/>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6.3.2</w:t>
                  </w:r>
                  <w:r>
                    <w:rPr>
                      <w:rFonts w:hint="eastAsia" w:ascii="Times New Roman" w:hAnsi="Times New Roman" w:eastAsia="宋体" w:cs="Times New Roman"/>
                      <w:color w:val="auto"/>
                      <w:sz w:val="21"/>
                      <w:szCs w:val="21"/>
                      <w:lang w:eastAsia="zh-CN"/>
                    </w:rPr>
                    <w:t>新建资源贮存场仅作为周转场使用，服务期满后应清空其中的磷石膏，并根据国家相关规定对清空后的场地进行环境调查和风险评估等。</w:t>
                  </w:r>
                </w:p>
                <w:p w14:paraId="3148991E">
                  <w:pPr>
                    <w:pStyle w:val="7"/>
                    <w:widowControl w:val="0"/>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6.3.3</w:t>
                  </w:r>
                  <w:r>
                    <w:rPr>
                      <w:rFonts w:hint="eastAsia" w:ascii="Times New Roman" w:hAnsi="Times New Roman" w:eastAsia="宋体" w:cs="Times New Roman"/>
                      <w:color w:val="auto"/>
                      <w:sz w:val="21"/>
                      <w:szCs w:val="21"/>
                      <w:lang w:val="en-US" w:eastAsia="zh-CN"/>
                    </w:rPr>
                    <w:t>无害化处理后进入资源贮存场的磷石膏按照JC/T 2073测得的水溶性五氧化二磷和水溶性氟离子含量应分别不大于0.2%和0.1%。</w:t>
                  </w:r>
                </w:p>
              </w:tc>
              <w:tc>
                <w:tcPr>
                  <w:tcW w:w="3166" w:type="dxa"/>
                  <w:vAlign w:val="center"/>
                </w:tcPr>
                <w:p w14:paraId="2FC8770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1、本项目改性磷石膏原料堆场设计符合GB18599中Ⅱ类场技术要求，</w:t>
                  </w:r>
                  <w:r>
                    <w:rPr>
                      <w:rFonts w:hint="eastAsia" w:ascii="Times New Roman" w:hAnsi="Times New Roman" w:eastAsia="宋体" w:cs="Times New Roman"/>
                      <w:color w:val="auto"/>
                      <w:lang w:val="en-US" w:eastAsia="zh-CN"/>
                    </w:rPr>
                    <w:t>仅作为生产原料暂存，库容未超过3年改性磷石膏入场量</w:t>
                  </w:r>
                  <w:r>
                    <w:rPr>
                      <w:rFonts w:hint="eastAsia" w:ascii="Times New Roman" w:hAnsi="Times New Roman" w:eastAsia="宋体" w:cs="Times New Roman"/>
                      <w:color w:val="auto"/>
                      <w:lang w:eastAsia="zh-CN"/>
                    </w:rPr>
                    <w:t>。</w:t>
                  </w:r>
                </w:p>
                <w:p w14:paraId="388AD255">
                  <w:pPr>
                    <w:pStyle w:val="7"/>
                    <w:widowControl w:val="0"/>
                    <w:adjustRightInd/>
                    <w:snapToGrid/>
                    <w:spacing w:line="240" w:lineRule="auto"/>
                    <w:ind w:leftChars="0" w:rightChars="0"/>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2、本项目原料堆场建设后将一直用于本项目原料暂存。</w:t>
                  </w:r>
                </w:p>
                <w:p w14:paraId="6673091B">
                  <w:pPr>
                    <w:pStyle w:val="7"/>
                    <w:widowControl w:val="0"/>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3、根据中化云龙提供的产品合格证（附件</w:t>
                  </w:r>
                  <w:r>
                    <w:rPr>
                      <w:rFonts w:hint="eastAsia" w:cs="Times New Roman"/>
                      <w:color w:val="auto"/>
                      <w:sz w:val="21"/>
                      <w:szCs w:val="21"/>
                      <w:lang w:val="en-US" w:eastAsia="zh-CN"/>
                    </w:rPr>
                    <w:t>9</w:t>
                  </w:r>
                  <w:r>
                    <w:rPr>
                      <w:rFonts w:hint="eastAsia" w:ascii="Times New Roman" w:hAnsi="Times New Roman" w:eastAsia="宋体" w:cs="Times New Roman"/>
                      <w:color w:val="auto"/>
                      <w:sz w:val="21"/>
                      <w:szCs w:val="21"/>
                      <w:lang w:val="en-US" w:eastAsia="zh-CN"/>
                    </w:rPr>
                    <w:t>），无害化处理后的改性磷石膏水溶性五氧化二磷含量为0.012%，水溶性氟离子含量为0.017%。</w:t>
                  </w:r>
                </w:p>
              </w:tc>
              <w:tc>
                <w:tcPr>
                  <w:tcW w:w="908" w:type="dxa"/>
                  <w:vAlign w:val="center"/>
                </w:tcPr>
                <w:p w14:paraId="40B3E6B6">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38A2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Merge w:val="restart"/>
                  <w:vAlign w:val="center"/>
                </w:tcPr>
                <w:p w14:paraId="7C871195">
                  <w:pPr>
                    <w:pStyle w:val="7"/>
                    <w:widowControl w:val="0"/>
                    <w:adjustRightInd/>
                    <w:snapToGrid/>
                    <w:spacing w:line="240" w:lineRule="auto"/>
                    <w:ind w:leftChars="0" w:rightChars="0"/>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环境和污染物监测要求</w:t>
                  </w:r>
                </w:p>
              </w:tc>
              <w:tc>
                <w:tcPr>
                  <w:tcW w:w="4023" w:type="dxa"/>
                  <w:vAlign w:val="center"/>
                </w:tcPr>
                <w:p w14:paraId="2E592C44">
                  <w:pPr>
                    <w:pStyle w:val="7"/>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cs="Times New Roman"/>
                      <w:color w:val="auto"/>
                      <w:sz w:val="21"/>
                      <w:szCs w:val="21"/>
                      <w:lang w:val="en-US" w:eastAsia="zh-CN"/>
                    </w:rPr>
                  </w:pPr>
                  <w:r>
                    <w:rPr>
                      <w:rFonts w:hint="eastAsia" w:cs="Times New Roman"/>
                      <w:color w:val="auto"/>
                      <w:sz w:val="21"/>
                      <w:szCs w:val="21"/>
                      <w:lang w:val="en-US" w:eastAsia="zh-CN"/>
                    </w:rPr>
                    <w:t>7.1利用过程污染物监测</w:t>
                  </w:r>
                </w:p>
                <w:p w14:paraId="72BB6D4A">
                  <w:pPr>
                    <w:pStyle w:val="7"/>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eastAsia" w:cs="Times New Roman"/>
                      <w:color w:val="auto"/>
                      <w:sz w:val="21"/>
                      <w:szCs w:val="21"/>
                      <w:lang w:val="en-US" w:eastAsia="zh-CN"/>
                    </w:rPr>
                  </w:pPr>
                  <w:r>
                    <w:rPr>
                      <w:rFonts w:hint="eastAsia" w:cs="Times New Roman"/>
                      <w:color w:val="auto"/>
                      <w:sz w:val="21"/>
                      <w:szCs w:val="21"/>
                      <w:lang w:val="en-US" w:eastAsia="zh-CN"/>
                    </w:rPr>
                    <w:t>7.1.1筑路、回填、填充和土地利用产物的监测应满足以下要求：</w:t>
                  </w:r>
                </w:p>
                <w:p w14:paraId="67CA97C8">
                  <w:pPr>
                    <w:pStyle w:val="7"/>
                    <w:keepNext w:val="0"/>
                    <w:keepLines w:val="0"/>
                    <w:pageBreakBefore w:val="0"/>
                    <w:widowControl/>
                    <w:kinsoku/>
                    <w:wordWrap/>
                    <w:overflowPunct w:val="0"/>
                    <w:topLinePunct w:val="0"/>
                    <w:autoSpaceDE/>
                    <w:autoSpaceDN/>
                    <w:bidi w:val="0"/>
                    <w:adjustRightInd/>
                    <w:snapToGrid/>
                    <w:spacing w:line="240" w:lineRule="auto"/>
                    <w:ind w:leftChars="0" w:rightChars="0"/>
                    <w:textAlignment w:val="baseline"/>
                    <w:rPr>
                      <w:rFonts w:hint="default" w:cs="Times New Roman"/>
                      <w:color w:val="auto"/>
                      <w:sz w:val="21"/>
                      <w:szCs w:val="21"/>
                      <w:lang w:val="en-US" w:eastAsia="zh-CN"/>
                    </w:rPr>
                  </w:pPr>
                  <w:r>
                    <w:rPr>
                      <w:rFonts w:hint="default" w:cs="Times New Roman"/>
                      <w:color w:val="auto"/>
                      <w:sz w:val="21"/>
                      <w:szCs w:val="21"/>
                      <w:lang w:val="en-US" w:eastAsia="zh-CN"/>
                    </w:rPr>
                    <w:t>b）应对磷石膏筑路产物进行留样监测，监测结果应满足5.1.1规定限值，监测频次应不低于每周 3 次；连续 2 周监测结果均不超出5.1.1规定限值时，在磷石膏来源及投加量稳定的前提下，频次可减为每月 1 次；连续 3 个月监测结果均不超出规定限值，频次可减为每年 2 次。若在此期间监测结果超出规定限值，或磷石膏来源发生变化，或利用活动中断 3 个月以上，则监测频次重新调整为每周 3 次，依次重复。每次采样数量应不少于 10 份，每份样品不小于 0.5 kg，混合均匀后进行分析测试。</w:t>
                  </w:r>
                </w:p>
              </w:tc>
              <w:tc>
                <w:tcPr>
                  <w:tcW w:w="3166" w:type="dxa"/>
                  <w:vAlign w:val="center"/>
                </w:tcPr>
                <w:p w14:paraId="0A04A382">
                  <w:pPr>
                    <w:pStyle w:val="7"/>
                    <w:widowControl w:val="0"/>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本评价已提出建设单位在外售路基材料时应向购买方明确说明，需按照规定进行利用过程监测的要求。</w:t>
                  </w:r>
                </w:p>
              </w:tc>
              <w:tc>
                <w:tcPr>
                  <w:tcW w:w="908" w:type="dxa"/>
                  <w:vAlign w:val="center"/>
                </w:tcPr>
                <w:p w14:paraId="0640EA3A">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hAnsi="Times New Roman" w:cs="Times New Roman"/>
                      <w:color w:val="auto"/>
                      <w:kern w:val="0"/>
                      <w:szCs w:val="21"/>
                      <w:lang w:val="en-US" w:eastAsia="zh-CN"/>
                    </w:rPr>
                    <w:t>符合</w:t>
                  </w:r>
                </w:p>
              </w:tc>
            </w:tr>
            <w:tr w14:paraId="51A6C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Merge w:val="continue"/>
                  <w:vAlign w:val="center"/>
                </w:tcPr>
                <w:p w14:paraId="60A49E6A">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p>
              </w:tc>
              <w:tc>
                <w:tcPr>
                  <w:tcW w:w="4023" w:type="dxa"/>
                  <w:vAlign w:val="center"/>
                </w:tcPr>
                <w:p w14:paraId="2740EC99">
                  <w:pPr>
                    <w:pStyle w:val="8"/>
                    <w:widowControl/>
                    <w:kinsoku/>
                    <w:overflowPunct w:val="0"/>
                    <w:autoSpaceDE/>
                    <w:autoSpaceDN/>
                    <w:adjustRightInd/>
                    <w:snapToGrid/>
                    <w:spacing w:line="240" w:lineRule="auto"/>
                    <w:ind w:leftChars="0" w:rightChars="0"/>
                    <w:rPr>
                      <w:rFonts w:ascii="Times New Roman" w:hAnsi="Times New Roman" w:eastAsia="宋体" w:cs="Times New Roman"/>
                      <w:b w:val="0"/>
                      <w:bCs w:val="0"/>
                      <w:color w:val="auto"/>
                      <w:kern w:val="0"/>
                      <w:szCs w:val="21"/>
                      <w:lang w:eastAsia="zh-CN"/>
                    </w:rPr>
                  </w:pPr>
                  <w:r>
                    <w:rPr>
                      <w:rFonts w:hint="eastAsia" w:hAnsi="Times New Roman" w:cs="Times New Roman"/>
                      <w:b w:val="0"/>
                      <w:bCs w:val="0"/>
                      <w:color w:val="auto"/>
                      <w:kern w:val="0"/>
                      <w:szCs w:val="21"/>
                      <w:lang w:val="en-US" w:eastAsia="zh-CN"/>
                    </w:rPr>
                    <w:t>7.2</w:t>
                  </w:r>
                  <w:r>
                    <w:rPr>
                      <w:rFonts w:ascii="Times New Roman" w:hAnsi="Times New Roman" w:eastAsia="宋体" w:cs="Times New Roman"/>
                      <w:b w:val="0"/>
                      <w:bCs w:val="0"/>
                      <w:color w:val="auto"/>
                      <w:kern w:val="0"/>
                      <w:szCs w:val="21"/>
                      <w:lang w:eastAsia="zh-CN"/>
                    </w:rPr>
                    <w:t>贮存过程污染物监测</w:t>
                  </w:r>
                </w:p>
                <w:p w14:paraId="00C16F6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贮存场的地下水和土壤监测应满足以下要求：</w:t>
                  </w:r>
                </w:p>
                <w:p w14:paraId="17DC1A7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a）深层土壤监测点的采样深度应根据可能影响的深度适当调整，原则上在贮存场深度以下，监测点的设置还应符合HJ1209相关规定。</w:t>
                  </w:r>
                </w:p>
                <w:p w14:paraId="71EF07D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b）地下水监测因子应根据企业生产工艺、磷矿和辅料中存在的对环境可能产生污染的物质确定，特征污染物测定项目至少包括：pH值、总磷、氟化物、砷、铅、镉、汞、铬和硫酸盐。</w:t>
                  </w:r>
                </w:p>
              </w:tc>
              <w:tc>
                <w:tcPr>
                  <w:tcW w:w="3166" w:type="dxa"/>
                  <w:vAlign w:val="center"/>
                </w:tcPr>
                <w:p w14:paraId="7A0D9212">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hint="eastAsia" w:ascii="Times New Roman" w:hAnsi="Times New Roman" w:eastAsia="宋体" w:cs="Times New Roman"/>
                      <w:color w:val="auto"/>
                      <w:kern w:val="0"/>
                      <w:szCs w:val="21"/>
                      <w:lang w:eastAsia="zh-CN"/>
                    </w:rPr>
                    <w:t>1、根据</w:t>
                  </w:r>
                  <w:r>
                    <w:rPr>
                      <w:rFonts w:ascii="Times New Roman" w:hAnsi="Times New Roman" w:eastAsia="宋体" w:cs="Times New Roman"/>
                      <w:color w:val="auto"/>
                      <w:szCs w:val="21"/>
                      <w:lang w:eastAsia="zh-CN"/>
                    </w:rPr>
                    <w:t>HJ1209</w:t>
                  </w:r>
                  <w:r>
                    <w:rPr>
                      <w:rFonts w:hint="eastAsia" w:ascii="Times New Roman" w:hAnsi="Times New Roman" w:eastAsia="宋体" w:cs="Times New Roman"/>
                      <w:color w:val="auto"/>
                      <w:szCs w:val="21"/>
                      <w:lang w:eastAsia="zh-CN"/>
                    </w:rPr>
                    <w:t>，本项目属于二类单元，需</w:t>
                  </w:r>
                  <w:r>
                    <w:rPr>
                      <w:rFonts w:hint="eastAsia" w:ascii="Times New Roman" w:hAnsi="Times New Roman" w:eastAsia="宋体" w:cs="Times New Roman"/>
                      <w:color w:val="auto"/>
                      <w:kern w:val="0"/>
                      <w:szCs w:val="21"/>
                      <w:lang w:eastAsia="zh-CN"/>
                    </w:rPr>
                    <w:t>在项目厂区内设置一个</w:t>
                  </w:r>
                  <w:r>
                    <w:rPr>
                      <w:rFonts w:hint="eastAsia" w:ascii="Times New Roman" w:hAnsi="Times New Roman" w:eastAsia="宋体" w:cs="Times New Roman"/>
                      <w:color w:val="auto"/>
                      <w:szCs w:val="21"/>
                      <w:lang w:eastAsia="zh-CN"/>
                    </w:rPr>
                    <w:t>表</w:t>
                  </w:r>
                  <w:r>
                    <w:rPr>
                      <w:rFonts w:ascii="Times New Roman" w:hAnsi="Times New Roman" w:eastAsia="宋体" w:cs="Times New Roman"/>
                      <w:color w:val="auto"/>
                      <w:szCs w:val="21"/>
                      <w:lang w:eastAsia="zh-CN"/>
                    </w:rPr>
                    <w:t>层土壤监测点</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lang w:eastAsia="zh-CN"/>
                    </w:rPr>
                    <w:t>采样深度为0～0.5m</w:t>
                  </w:r>
                  <w:r>
                    <w:rPr>
                      <w:rFonts w:hint="eastAsia" w:ascii="Times New Roman" w:hAnsi="Times New Roman" w:eastAsia="宋体" w:cs="Times New Roman"/>
                      <w:color w:val="auto"/>
                      <w:szCs w:val="21"/>
                      <w:lang w:eastAsia="zh-CN"/>
                    </w:rPr>
                    <w:t>；土壤监测因子：pH、铬、锌、铊、磷酸盐、氟化物。</w:t>
                  </w:r>
                </w:p>
                <w:p w14:paraId="75A9AA9B">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2、</w:t>
                  </w:r>
                  <w:r>
                    <w:rPr>
                      <w:rFonts w:hint="eastAsia" w:ascii="Times New Roman" w:hAnsi="Times New Roman" w:eastAsia="宋体" w:cs="Times New Roman"/>
                      <w:color w:val="auto"/>
                      <w:szCs w:val="21"/>
                      <w:lang w:val="en-US" w:eastAsia="zh-CN"/>
                    </w:rPr>
                    <w:t>在项目区东南侧建设</w:t>
                  </w:r>
                  <w:r>
                    <w:rPr>
                      <w:rFonts w:hint="eastAsia" w:ascii="Times New Roman" w:hAnsi="Times New Roman" w:eastAsia="宋体" w:cs="Times New Roman"/>
                      <w:color w:val="auto"/>
                      <w:szCs w:val="21"/>
                      <w:lang w:eastAsia="zh-CN"/>
                    </w:rPr>
                    <w:t>地下水监测</w:t>
                  </w:r>
                  <w:r>
                    <w:rPr>
                      <w:rFonts w:hint="eastAsia" w:ascii="Times New Roman" w:hAnsi="Times New Roman" w:eastAsia="宋体" w:cs="Times New Roman"/>
                      <w:color w:val="auto"/>
                      <w:szCs w:val="21"/>
                      <w:lang w:val="en-US" w:eastAsia="zh-CN"/>
                    </w:rPr>
                    <w:t>井用于后续跟踪监测</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lang w:eastAsia="zh-CN"/>
                    </w:rPr>
                    <w:t>地下水监测因子：pH值、总磷、氟化物、砷、铅、镉、汞、铬和硫酸盐</w:t>
                  </w:r>
                  <w:r>
                    <w:rPr>
                      <w:rFonts w:hint="eastAsia" w:ascii="Times New Roman" w:hAnsi="Times New Roman" w:eastAsia="宋体" w:cs="Times New Roman"/>
                      <w:color w:val="auto"/>
                      <w:szCs w:val="21"/>
                      <w:lang w:eastAsia="zh-CN"/>
                    </w:rPr>
                    <w:t>。</w:t>
                  </w:r>
                </w:p>
              </w:tc>
              <w:tc>
                <w:tcPr>
                  <w:tcW w:w="908" w:type="dxa"/>
                  <w:vAlign w:val="center"/>
                </w:tcPr>
                <w:p w14:paraId="0902F612">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6FD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dxa"/>
                  <w:vAlign w:val="center"/>
                </w:tcPr>
                <w:p w14:paraId="49F13187">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b w:val="0"/>
                      <w:bCs w:val="0"/>
                      <w:color w:val="auto"/>
                      <w:kern w:val="0"/>
                      <w:szCs w:val="21"/>
                      <w:lang w:eastAsia="zh-CN"/>
                    </w:rPr>
                    <w:t>环境管理要求</w:t>
                  </w:r>
                </w:p>
              </w:tc>
              <w:tc>
                <w:tcPr>
                  <w:tcW w:w="4023" w:type="dxa"/>
                  <w:vAlign w:val="center"/>
                </w:tcPr>
                <w:p w14:paraId="6F1EFA9C">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hint="eastAsia" w:hAnsi="Times New Roman" w:cs="Times New Roman"/>
                      <w:b w:val="0"/>
                      <w:bCs w:val="0"/>
                      <w:color w:val="auto"/>
                      <w:kern w:val="0"/>
                      <w:szCs w:val="21"/>
                      <w:lang w:val="en-US" w:eastAsia="zh-CN"/>
                    </w:rPr>
                    <w:t>8.1</w:t>
                  </w:r>
                  <w:r>
                    <w:rPr>
                      <w:rFonts w:ascii="Times New Roman" w:hAnsi="Times New Roman" w:eastAsia="宋体" w:cs="Times New Roman"/>
                      <w:color w:val="auto"/>
                      <w:kern w:val="0"/>
                      <w:szCs w:val="21"/>
                      <w:lang w:eastAsia="zh-CN"/>
                    </w:rPr>
                    <w:t>磷石膏贮存企业应编制环境应急预案，并定期开展培训和演练。环境应急预案可参照HJ740及《尾矿库环境应急预案编制指南》的要求编制。</w:t>
                  </w:r>
                </w:p>
                <w:p w14:paraId="1281211F">
                  <w:pPr>
                    <w:pStyle w:val="8"/>
                    <w:widowControl/>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hint="eastAsia" w:hAnsi="Times New Roman" w:cs="Times New Roman"/>
                      <w:color w:val="auto"/>
                      <w:kern w:val="0"/>
                      <w:szCs w:val="21"/>
                      <w:lang w:val="en-US" w:eastAsia="zh-CN"/>
                    </w:rPr>
                    <w:t>8.2</w:t>
                  </w:r>
                  <w:r>
                    <w:rPr>
                      <w:rFonts w:ascii="Times New Roman" w:hAnsi="Times New Roman" w:eastAsia="宋体" w:cs="Times New Roman"/>
                      <w:color w:val="auto"/>
                      <w:kern w:val="0"/>
                      <w:szCs w:val="21"/>
                      <w:lang w:eastAsia="zh-CN"/>
                    </w:rPr>
                    <w:t>企业应保存环境应急预案及培训记录、环境管理台账等，保存时间不得少于5年。</w:t>
                  </w:r>
                </w:p>
              </w:tc>
              <w:tc>
                <w:tcPr>
                  <w:tcW w:w="3166" w:type="dxa"/>
                  <w:vAlign w:val="center"/>
                </w:tcPr>
                <w:p w14:paraId="7EE04BD8">
                  <w:pPr>
                    <w:pStyle w:val="8"/>
                    <w:widowControl/>
                    <w:numPr>
                      <w:ilvl w:val="0"/>
                      <w:numId w:val="6"/>
                    </w:numPr>
                    <w:kinsoku/>
                    <w:overflowPunct w:val="0"/>
                    <w:autoSpaceDE/>
                    <w:autoSpaceDN/>
                    <w:adjustRightInd/>
                    <w:snapToGrid/>
                    <w:spacing w:line="240" w:lineRule="auto"/>
                    <w:ind w:leftChars="0" w:rightChars="0"/>
                    <w:rPr>
                      <w:rFonts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lang w:eastAsia="zh-CN"/>
                    </w:rPr>
                    <w:t>项目</w:t>
                  </w:r>
                  <w:r>
                    <w:rPr>
                      <w:rFonts w:hint="eastAsia" w:ascii="Times New Roman" w:hAnsi="Times New Roman" w:eastAsia="宋体" w:cs="Times New Roman"/>
                      <w:color w:val="auto"/>
                      <w:kern w:val="0"/>
                      <w:szCs w:val="21"/>
                      <w:lang w:eastAsia="zh-CN"/>
                    </w:rPr>
                    <w:t>不属于磷石膏贮存企业，</w:t>
                  </w:r>
                  <w:r>
                    <w:rPr>
                      <w:rFonts w:ascii="Times New Roman" w:hAnsi="Times New Roman" w:eastAsia="宋体" w:cs="Times New Roman"/>
                      <w:color w:val="auto"/>
                      <w:kern w:val="0"/>
                      <w:szCs w:val="21"/>
                      <w:lang w:eastAsia="zh-CN"/>
                    </w:rPr>
                    <w:t>建设完成后按照相关要求编制环境应急预案；</w:t>
                  </w:r>
                </w:p>
                <w:p w14:paraId="7DCA9666">
                  <w:pPr>
                    <w:pStyle w:val="27"/>
                    <w:widowControl/>
                    <w:numPr>
                      <w:ilvl w:val="0"/>
                      <w:numId w:val="6"/>
                    </w:numPr>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同时保存环境应急预案及培训记录、环境管理台账等，保存时间不得少于5年。</w:t>
                  </w:r>
                </w:p>
              </w:tc>
              <w:tc>
                <w:tcPr>
                  <w:tcW w:w="908" w:type="dxa"/>
                  <w:vAlign w:val="center"/>
                </w:tcPr>
                <w:p w14:paraId="5FF8CDD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37B9FFF2">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综上所述，项目建设符合《磷石膏利用和无害化贮存污染控制技术规范》（HJ</w:t>
            </w:r>
            <w:r>
              <w:rPr>
                <w:rFonts w:hint="eastAsia" w:ascii="Times New Roman" w:hAnsi="Times New Roman" w:cs="Times New Roman"/>
                <w:color w:val="auto"/>
                <w:lang w:val="en-US" w:eastAsia="zh-CN"/>
              </w:rPr>
              <w:t xml:space="preserve"> </w:t>
            </w:r>
            <w:r>
              <w:rPr>
                <w:rFonts w:ascii="Times New Roman" w:hAnsi="Times New Roman" w:eastAsia="宋体" w:cs="Times New Roman"/>
                <w:color w:val="auto"/>
              </w:rPr>
              <w:t>1415-2025）的相关要求。</w:t>
            </w:r>
          </w:p>
          <w:p w14:paraId="759CAB9F">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ascii="Times New Roman" w:hAnsi="Times New Roman" w:eastAsia="宋体" w:cs="Times New Roman"/>
                <w:b/>
                <w:color w:val="auto"/>
              </w:rPr>
              <w:t>1</w:t>
            </w:r>
            <w:r>
              <w:rPr>
                <w:rFonts w:hint="eastAsia" w:ascii="Times New Roman" w:hAnsi="Times New Roman" w:cs="Times New Roman"/>
                <w:b/>
                <w:color w:val="auto"/>
                <w:lang w:val="en-US" w:eastAsia="zh-CN"/>
              </w:rPr>
              <w:t>8</w:t>
            </w:r>
            <w:r>
              <w:rPr>
                <w:rFonts w:ascii="Times New Roman" w:hAnsi="Times New Roman" w:eastAsia="宋体" w:cs="Times New Roman"/>
                <w:b/>
                <w:color w:val="auto"/>
              </w:rPr>
              <w:t>、</w:t>
            </w:r>
            <w:r>
              <w:rPr>
                <w:rFonts w:hint="eastAsia" w:ascii="Times New Roman" w:hAnsi="Times New Roman" w:eastAsia="宋体" w:cs="Times New Roman"/>
                <w:b/>
                <w:color w:val="auto"/>
              </w:rPr>
              <w:t>与</w:t>
            </w:r>
            <w:r>
              <w:rPr>
                <w:rFonts w:ascii="Times New Roman" w:hAnsi="Times New Roman" w:eastAsia="宋体" w:cs="Times New Roman"/>
                <w:b/>
                <w:color w:val="auto"/>
              </w:rPr>
              <w:t>《磷石膏的处理处置规范》</w:t>
            </w:r>
            <w:r>
              <w:rPr>
                <w:rFonts w:hint="eastAsia" w:ascii="Times New Roman" w:hAnsi="Times New Roman" w:eastAsia="宋体" w:cs="Times New Roman"/>
                <w:b/>
                <w:color w:val="auto"/>
              </w:rPr>
              <w:t>（</w:t>
            </w:r>
            <w:r>
              <w:rPr>
                <w:rFonts w:ascii="Times New Roman" w:hAnsi="Times New Roman" w:eastAsia="宋体" w:cs="Times New Roman"/>
                <w:b/>
                <w:color w:val="auto"/>
              </w:rPr>
              <w:t>GB/T</w:t>
            </w:r>
            <w:r>
              <w:rPr>
                <w:rFonts w:hint="eastAsia" w:ascii="Times New Roman" w:hAnsi="Times New Roman" w:cs="Times New Roman"/>
                <w:b/>
                <w:color w:val="auto"/>
                <w:lang w:val="en-US" w:eastAsia="zh-CN"/>
              </w:rPr>
              <w:t xml:space="preserve"> </w:t>
            </w:r>
            <w:r>
              <w:rPr>
                <w:rFonts w:ascii="Times New Roman" w:hAnsi="Times New Roman" w:eastAsia="宋体" w:cs="Times New Roman"/>
                <w:b/>
                <w:color w:val="auto"/>
              </w:rPr>
              <w:t>32124-2024</w:t>
            </w:r>
            <w:r>
              <w:rPr>
                <w:rFonts w:hint="eastAsia" w:ascii="Times New Roman" w:hAnsi="Times New Roman" w:eastAsia="宋体" w:cs="Times New Roman"/>
                <w:b/>
                <w:color w:val="auto"/>
              </w:rPr>
              <w:t>）的符合性分析</w:t>
            </w:r>
          </w:p>
          <w:p w14:paraId="1670E242">
            <w:pPr>
              <w:kinsoku/>
              <w:overflowPunct w:val="0"/>
              <w:autoSpaceDE/>
              <w:autoSpaceDN/>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表1-1</w:t>
            </w:r>
            <w:r>
              <w:rPr>
                <w:rFonts w:hint="eastAsia" w:cs="Times New Roman"/>
                <w:b/>
                <w:snapToGrid/>
                <w:color w:val="auto"/>
                <w:kern w:val="2"/>
                <w:sz w:val="24"/>
                <w:szCs w:val="24"/>
                <w:lang w:val="en-US" w:eastAsia="zh-CN" w:bidi="ar"/>
              </w:rPr>
              <w:t>7</w:t>
            </w:r>
            <w:r>
              <w:rPr>
                <w:rFonts w:ascii="Times New Roman" w:hAnsi="Times New Roman" w:eastAsia="宋体" w:cs="Times New Roman"/>
                <w:b/>
                <w:snapToGrid/>
                <w:color w:val="auto"/>
                <w:kern w:val="2"/>
                <w:sz w:val="24"/>
                <w:szCs w:val="24"/>
                <w:lang w:eastAsia="zh-CN" w:bidi="ar"/>
              </w:rPr>
              <w:t>项目与</w:t>
            </w:r>
            <w:r>
              <w:rPr>
                <w:rFonts w:ascii="Times New Roman" w:hAnsi="Times New Roman" w:eastAsia="宋体" w:cs="Times New Roman"/>
                <w:b/>
                <w:color w:val="auto"/>
                <w:sz w:val="24"/>
                <w:lang w:eastAsia="zh-CN"/>
              </w:rPr>
              <w:t>《磷石膏的处理处置规范》</w:t>
            </w:r>
            <w:r>
              <w:rPr>
                <w:rFonts w:hint="eastAsia" w:ascii="Times New Roman" w:hAnsi="Times New Roman" w:eastAsia="宋体" w:cs="Times New Roman"/>
                <w:b/>
                <w:color w:val="auto"/>
                <w:sz w:val="24"/>
                <w:lang w:eastAsia="zh-CN"/>
              </w:rPr>
              <w:t>（</w:t>
            </w:r>
            <w:r>
              <w:rPr>
                <w:rFonts w:ascii="Times New Roman" w:hAnsi="Times New Roman" w:eastAsia="宋体" w:cs="Times New Roman"/>
                <w:b/>
                <w:color w:val="auto"/>
                <w:sz w:val="24"/>
                <w:lang w:eastAsia="zh-CN"/>
              </w:rPr>
              <w:t>GB/T</w:t>
            </w:r>
            <w:r>
              <w:rPr>
                <w:rFonts w:hint="eastAsia" w:cs="Times New Roman"/>
                <w:b/>
                <w:color w:val="auto"/>
                <w:sz w:val="24"/>
                <w:lang w:val="en-US" w:eastAsia="zh-CN"/>
              </w:rPr>
              <w:t xml:space="preserve"> </w:t>
            </w:r>
            <w:r>
              <w:rPr>
                <w:rFonts w:ascii="Times New Roman" w:hAnsi="Times New Roman" w:eastAsia="宋体" w:cs="Times New Roman"/>
                <w:b/>
                <w:color w:val="auto"/>
                <w:sz w:val="24"/>
                <w:lang w:eastAsia="zh-CN"/>
              </w:rPr>
              <w:t>32124-2024</w:t>
            </w:r>
            <w:r>
              <w:rPr>
                <w:rFonts w:hint="eastAsia" w:ascii="Times New Roman" w:hAnsi="Times New Roman" w:eastAsia="宋体" w:cs="Times New Roman"/>
                <w:b/>
                <w:color w:val="auto"/>
                <w:sz w:val="24"/>
                <w:lang w:eastAsia="zh-CN"/>
              </w:rPr>
              <w:t>）</w:t>
            </w:r>
            <w:r>
              <w:rPr>
                <w:rFonts w:ascii="Times New Roman" w:hAnsi="Times New Roman" w:eastAsia="宋体" w:cs="Times New Roman"/>
                <w:b/>
                <w:snapToGrid/>
                <w:color w:val="auto"/>
                <w:kern w:val="2"/>
                <w:sz w:val="24"/>
                <w:szCs w:val="24"/>
                <w:lang w:eastAsia="zh-CN" w:bidi="ar"/>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699"/>
              <w:gridCol w:w="2556"/>
              <w:gridCol w:w="709"/>
            </w:tblGrid>
            <w:tr w14:paraId="2090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25" w:type="dxa"/>
                  <w:gridSpan w:val="2"/>
                  <w:vAlign w:val="center"/>
                </w:tcPr>
                <w:p w14:paraId="03A4BC3F">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2556" w:type="dxa"/>
                  <w:vAlign w:val="center"/>
                </w:tcPr>
                <w:p w14:paraId="61D66E30">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09" w:type="dxa"/>
                  <w:vAlign w:val="center"/>
                </w:tcPr>
                <w:p w14:paraId="7A4E153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1FF06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6027FF89">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总体要求</w:t>
                  </w:r>
                </w:p>
              </w:tc>
              <w:tc>
                <w:tcPr>
                  <w:tcW w:w="4699" w:type="dxa"/>
                  <w:vAlign w:val="center"/>
                </w:tcPr>
                <w:p w14:paraId="79830FE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4.1</w:t>
                  </w:r>
                  <w:r>
                    <w:rPr>
                      <w:rFonts w:ascii="Times New Roman" w:hAnsi="Times New Roman" w:eastAsia="宋体" w:cs="Times New Roman"/>
                      <w:color w:val="auto"/>
                      <w:lang w:eastAsia="zh-CN"/>
                    </w:rPr>
                    <w:t>产生磷石膏的企业和其他相关生产经营单位应建立磷石膏的管理台账。</w:t>
                  </w:r>
                </w:p>
              </w:tc>
              <w:tc>
                <w:tcPr>
                  <w:tcW w:w="2556" w:type="dxa"/>
                  <w:vAlign w:val="center"/>
                </w:tcPr>
                <w:p w14:paraId="3406B2D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建设单位按照规范要求制定磷石膏管理台账</w:t>
                  </w:r>
                  <w:r>
                    <w:rPr>
                      <w:rFonts w:hint="eastAsia" w:ascii="Times New Roman" w:hAnsi="Times New Roman" w:eastAsia="宋体" w:cs="Times New Roman"/>
                      <w:color w:val="auto"/>
                      <w:sz w:val="21"/>
                      <w:szCs w:val="21"/>
                    </w:rPr>
                    <w:t>。</w:t>
                  </w:r>
                </w:p>
              </w:tc>
              <w:tc>
                <w:tcPr>
                  <w:tcW w:w="709" w:type="dxa"/>
                  <w:vAlign w:val="center"/>
                </w:tcPr>
                <w:p w14:paraId="0006CCE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15B1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3CB48AA">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08AF9E24">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4.2</w:t>
                  </w:r>
                  <w:r>
                    <w:rPr>
                      <w:rFonts w:ascii="Times New Roman" w:hAnsi="Times New Roman" w:eastAsia="宋体" w:cs="Times New Roman"/>
                      <w:color w:val="auto"/>
                      <w:lang w:eastAsia="zh-CN"/>
                    </w:rPr>
                    <w:t>产生磷石膏的企业应配套建设磷石膏的处理处置设施</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加强磷石膏污染防治。</w:t>
                  </w:r>
                </w:p>
              </w:tc>
              <w:tc>
                <w:tcPr>
                  <w:tcW w:w="2556" w:type="dxa"/>
                  <w:vAlign w:val="center"/>
                </w:tcPr>
                <w:p w14:paraId="545292A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磷石膏的无害化处理由中化云龙进行，不在本项目进行。</w:t>
                  </w:r>
                </w:p>
              </w:tc>
              <w:tc>
                <w:tcPr>
                  <w:tcW w:w="709" w:type="dxa"/>
                  <w:vAlign w:val="center"/>
                </w:tcPr>
                <w:p w14:paraId="7ED03C9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9CC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9969ACA">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01BD196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4.3</w:t>
                  </w:r>
                  <w:r>
                    <w:rPr>
                      <w:rFonts w:ascii="Times New Roman" w:hAnsi="Times New Roman" w:eastAsia="宋体" w:cs="Times New Roman"/>
                      <w:color w:val="auto"/>
                      <w:lang w:eastAsia="zh-CN"/>
                    </w:rPr>
                    <w:t>产生磷石膏的企业和其他相关生产经营单位应充分综合利用磷石膏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开发和生产磷石膏的相关产品。</w:t>
                  </w:r>
                </w:p>
              </w:tc>
              <w:tc>
                <w:tcPr>
                  <w:tcW w:w="2556" w:type="dxa"/>
                  <w:vAlign w:val="center"/>
                </w:tcPr>
                <w:p w14:paraId="4E83DB4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建设单位利用</w:t>
                  </w:r>
                  <w:r>
                    <w:rPr>
                      <w:rFonts w:hint="eastAsia" w:ascii="Times New Roman" w:hAnsi="Times New Roman" w:eastAsia="宋体" w:cs="Times New Roman"/>
                      <w:color w:val="auto"/>
                      <w:sz w:val="21"/>
                      <w:szCs w:val="21"/>
                    </w:rPr>
                    <w:t>中化云龙无害</w:t>
                  </w:r>
                  <w:r>
                    <w:rPr>
                      <w:rFonts w:ascii="Times New Roman" w:hAnsi="Times New Roman" w:eastAsia="宋体" w:cs="Times New Roman"/>
                      <w:color w:val="auto"/>
                      <w:sz w:val="21"/>
                      <w:szCs w:val="21"/>
                    </w:rPr>
                    <w:t>化处理后的磷石膏生产</w:t>
                  </w:r>
                  <w:r>
                    <w:rPr>
                      <w:rFonts w:hint="eastAsia" w:ascii="Times New Roman" w:hAnsi="Times New Roman" w:eastAsia="宋体" w:cs="Times New Roman"/>
                      <w:color w:val="auto"/>
                      <w:sz w:val="21"/>
                      <w:szCs w:val="21"/>
                    </w:rPr>
                    <w:t>路基材料</w:t>
                  </w:r>
                  <w:r>
                    <w:rPr>
                      <w:rFonts w:ascii="Times New Roman" w:hAnsi="Times New Roman" w:eastAsia="宋体" w:cs="Times New Roman"/>
                      <w:color w:val="auto"/>
                      <w:sz w:val="21"/>
                      <w:szCs w:val="21"/>
                    </w:rPr>
                    <w:t>。</w:t>
                  </w:r>
                </w:p>
              </w:tc>
              <w:tc>
                <w:tcPr>
                  <w:tcW w:w="709" w:type="dxa"/>
                  <w:vAlign w:val="center"/>
                </w:tcPr>
                <w:p w14:paraId="33803DB7">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27B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F2B78C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磷石膏的预处理</w:t>
                  </w:r>
                </w:p>
              </w:tc>
              <w:tc>
                <w:tcPr>
                  <w:tcW w:w="4699" w:type="dxa"/>
                  <w:vAlign w:val="center"/>
                </w:tcPr>
                <w:p w14:paraId="11C43C0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5.1</w:t>
                  </w:r>
                  <w:r>
                    <w:rPr>
                      <w:rFonts w:ascii="Times New Roman" w:hAnsi="Times New Roman" w:eastAsia="宋体" w:cs="Times New Roman"/>
                      <w:color w:val="auto"/>
                      <w:lang w:eastAsia="zh-CN"/>
                    </w:rPr>
                    <w:t>水洗法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经调浆、固液分离、洗涤等工序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通过控制水洗温度、水料比、水洗次数和搅拌时间</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降低磷石膏的酸性和水溶性磷、氟等杂质的含量。</w:t>
                  </w:r>
                </w:p>
              </w:tc>
              <w:tc>
                <w:tcPr>
                  <w:tcW w:w="2556" w:type="dxa"/>
                  <w:vMerge w:val="restart"/>
                  <w:vAlign w:val="center"/>
                </w:tcPr>
                <w:p w14:paraId="303F05E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项目采用磷石膏为</w:t>
                  </w:r>
                  <w:r>
                    <w:rPr>
                      <w:rFonts w:hint="eastAsia" w:ascii="Times New Roman" w:hAnsi="Times New Roman" w:eastAsia="宋体" w:cs="Times New Roman"/>
                      <w:color w:val="auto"/>
                      <w:sz w:val="21"/>
                      <w:szCs w:val="21"/>
                    </w:rPr>
                    <w:t>中化云龙有限公司</w:t>
                  </w:r>
                  <w:r>
                    <w:rPr>
                      <w:rFonts w:ascii="Times New Roman" w:hAnsi="Times New Roman" w:eastAsia="宋体" w:cs="Times New Roman"/>
                      <w:color w:val="auto"/>
                      <w:sz w:val="21"/>
                      <w:szCs w:val="21"/>
                    </w:rPr>
                    <w:t>通过</w:t>
                  </w:r>
                  <w:r>
                    <w:rPr>
                      <w:rFonts w:hint="eastAsia" w:ascii="Times New Roman" w:hAnsi="Times New Roman" w:eastAsia="宋体" w:cs="Times New Roman"/>
                      <w:color w:val="auto"/>
                      <w:sz w:val="21"/>
                      <w:szCs w:val="21"/>
                      <w:lang w:val="en-US" w:eastAsia="zh-CN"/>
                    </w:rPr>
                    <w:t>中和法</w:t>
                  </w:r>
                  <w:r>
                    <w:rPr>
                      <w:rFonts w:ascii="Times New Roman" w:hAnsi="Times New Roman" w:eastAsia="宋体" w:cs="Times New Roman"/>
                      <w:color w:val="auto"/>
                      <w:sz w:val="21"/>
                      <w:szCs w:val="21"/>
                    </w:rPr>
                    <w:t>无害化处理后的磷石膏。所用原料已在产生地进行了预处理。</w:t>
                  </w:r>
                </w:p>
              </w:tc>
              <w:tc>
                <w:tcPr>
                  <w:tcW w:w="709" w:type="dxa"/>
                  <w:vMerge w:val="restart"/>
                  <w:vAlign w:val="center"/>
                </w:tcPr>
                <w:p w14:paraId="7CD214F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B99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15514D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380C9B2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5.2</w:t>
                  </w:r>
                  <w:r>
                    <w:rPr>
                      <w:rFonts w:ascii="Times New Roman" w:hAnsi="Times New Roman" w:eastAsia="宋体" w:cs="Times New Roman"/>
                      <w:color w:val="auto"/>
                      <w:lang w:eastAsia="zh-CN"/>
                    </w:rPr>
                    <w:t>中和法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在磷石膏</w:t>
                  </w:r>
                  <w:r>
                    <w:rPr>
                      <w:rFonts w:hint="eastAsia" w:ascii="Times New Roman" w:hAnsi="Times New Roman" w:eastAsia="宋体" w:cs="Times New Roman"/>
                      <w:color w:val="auto"/>
                      <w:lang w:eastAsia="zh-CN"/>
                    </w:rPr>
                    <w:t>中加入</w:t>
                  </w:r>
                  <w:r>
                    <w:rPr>
                      <w:rFonts w:ascii="Times New Roman" w:hAnsi="Times New Roman" w:eastAsia="宋体" w:cs="Times New Roman"/>
                      <w:color w:val="auto"/>
                      <w:lang w:eastAsia="zh-CN"/>
                    </w:rPr>
                    <w:t>石灰</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电石渣等适宜的碱性物质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与磷石膏中的游离酸和水溶性磷</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氣等杂质反应生成不溶或难溶物质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去除其酸性和水溶性杂质。</w:t>
                  </w:r>
                </w:p>
              </w:tc>
              <w:tc>
                <w:tcPr>
                  <w:tcW w:w="2556" w:type="dxa"/>
                  <w:vMerge w:val="continue"/>
                  <w:vAlign w:val="center"/>
                </w:tcPr>
                <w:p w14:paraId="56A8D8FF">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09" w:type="dxa"/>
                  <w:vMerge w:val="continue"/>
                  <w:vAlign w:val="center"/>
                </w:tcPr>
                <w:p w14:paraId="26998BED">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701D5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3CFCDA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56109F6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5.3</w:t>
                  </w:r>
                  <w:r>
                    <w:rPr>
                      <w:rFonts w:ascii="Times New Roman" w:hAnsi="Times New Roman" w:eastAsia="宋体" w:cs="Times New Roman"/>
                      <w:color w:val="auto"/>
                      <w:lang w:eastAsia="zh-CN"/>
                    </w:rPr>
                    <w:t>浮选法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在水洗时</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加入适合的浮选药剂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利用磷石膏与杂质表面物理、化学性质的差异</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从一定固液比浆料中浮选、分离、去除杂质。</w:t>
                  </w:r>
                </w:p>
              </w:tc>
              <w:tc>
                <w:tcPr>
                  <w:tcW w:w="2556" w:type="dxa"/>
                  <w:vMerge w:val="continue"/>
                  <w:vAlign w:val="center"/>
                </w:tcPr>
                <w:p w14:paraId="56BF6325">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09" w:type="dxa"/>
                  <w:vMerge w:val="continue"/>
                  <w:vAlign w:val="center"/>
                </w:tcPr>
                <w:p w14:paraId="074B558A">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2C924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017EF3F">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214216D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cs="Times New Roman"/>
                      <w:color w:val="auto"/>
                      <w:lang w:val="en-US" w:eastAsia="zh-CN"/>
                    </w:rPr>
                    <w:t>5.4</w:t>
                  </w:r>
                  <w:r>
                    <w:rPr>
                      <w:rFonts w:ascii="Times New Roman" w:hAnsi="Times New Roman" w:eastAsia="宋体" w:cs="Times New Roman"/>
                      <w:color w:val="auto"/>
                      <w:lang w:eastAsia="zh-CN"/>
                    </w:rPr>
                    <w:t>其他方法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在处理过程中</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添加固化剂、絮凝剂、激发剂或采用生物菌种去除和固定磷石膏中杂质的方法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也可选择合适的无机</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有机或混合型溶剂溶解磷石膏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通过固液分离除去不溶性杂质</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液相重</w:t>
                  </w:r>
                  <w:r>
                    <w:rPr>
                      <w:rFonts w:hint="eastAsia" w:ascii="Times New Roman" w:hAnsi="Times New Roman" w:eastAsia="宋体" w:cs="Times New Roman"/>
                      <w:color w:val="auto"/>
                      <w:lang w:eastAsia="zh-CN"/>
                    </w:rPr>
                    <w:t>结晶</w:t>
                  </w:r>
                  <w:r>
                    <w:rPr>
                      <w:rFonts w:ascii="Times New Roman" w:hAnsi="Times New Roman" w:eastAsia="宋体" w:cs="Times New Roman"/>
                      <w:color w:val="auto"/>
                      <w:lang w:eastAsia="zh-CN"/>
                    </w:rPr>
                    <w:t>得到硫酸钙的方法</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磷石膏通过水溶液法或盐溶液法</w:t>
                  </w:r>
                  <w:r>
                    <w:rPr>
                      <w:rFonts w:hint="eastAsia" w:ascii="Times New Roman" w:hAnsi="Times New Roman" w:eastAsia="宋体" w:cs="Times New Roman"/>
                      <w:color w:val="auto"/>
                      <w:lang w:eastAsia="zh-CN"/>
                    </w:rPr>
                    <w:t>，重结晶</w:t>
                  </w:r>
                  <w:r>
                    <w:rPr>
                      <w:rFonts w:ascii="Times New Roman" w:hAnsi="Times New Roman" w:eastAsia="宋体" w:cs="Times New Roman"/>
                      <w:color w:val="auto"/>
                      <w:lang w:eastAsia="zh-CN"/>
                    </w:rPr>
                    <w:t>得到的硫酸钙。</w:t>
                  </w:r>
                </w:p>
              </w:tc>
              <w:tc>
                <w:tcPr>
                  <w:tcW w:w="2556" w:type="dxa"/>
                  <w:vMerge w:val="continue"/>
                  <w:vAlign w:val="center"/>
                </w:tcPr>
                <w:p w14:paraId="7F72C623">
                  <w:pPr>
                    <w:pStyle w:val="27"/>
                    <w:widowControl/>
                    <w:kinsoku/>
                    <w:overflowPunct w:val="0"/>
                    <w:autoSpaceDE/>
                    <w:autoSpaceDN/>
                    <w:adjustRightInd/>
                    <w:snapToGrid/>
                    <w:spacing w:line="480" w:lineRule="atLeast"/>
                    <w:rPr>
                      <w:rFonts w:ascii="Times New Roman" w:hAnsi="Times New Roman" w:eastAsia="宋体" w:cs="Times New Roman"/>
                      <w:color w:val="auto"/>
                      <w:sz w:val="21"/>
                      <w:szCs w:val="21"/>
                    </w:rPr>
                  </w:pPr>
                </w:p>
              </w:tc>
              <w:tc>
                <w:tcPr>
                  <w:tcW w:w="709" w:type="dxa"/>
                  <w:vMerge w:val="continue"/>
                  <w:vAlign w:val="center"/>
                </w:tcPr>
                <w:p w14:paraId="712827F8">
                  <w:pPr>
                    <w:pStyle w:val="8"/>
                    <w:widowControl/>
                    <w:kinsoku/>
                    <w:overflowPunct w:val="0"/>
                    <w:autoSpaceDE/>
                    <w:autoSpaceDN/>
                    <w:adjustRightInd/>
                    <w:snapToGrid/>
                    <w:spacing w:line="480" w:lineRule="atLeast"/>
                    <w:jc w:val="center"/>
                    <w:rPr>
                      <w:rFonts w:ascii="Times New Roman" w:hAnsi="Times New Roman" w:eastAsia="宋体" w:cs="Times New Roman"/>
                      <w:color w:val="auto"/>
                      <w:kern w:val="0"/>
                      <w:szCs w:val="21"/>
                      <w:lang w:eastAsia="zh-CN"/>
                    </w:rPr>
                  </w:pPr>
                </w:p>
              </w:tc>
            </w:tr>
            <w:tr w14:paraId="0B02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3B9E38D">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筑路材料</w:t>
                  </w:r>
                </w:p>
              </w:tc>
              <w:tc>
                <w:tcPr>
                  <w:tcW w:w="4699" w:type="dxa"/>
                  <w:vAlign w:val="center"/>
                </w:tcPr>
                <w:p w14:paraId="689D1870">
                  <w:pPr>
                    <w:widowControl/>
                    <w:kinsoku/>
                    <w:overflowPunct w:val="0"/>
                    <w:autoSpaceDE/>
                    <w:autoSpaceDN/>
                    <w:adjustRightInd/>
                    <w:snapToGrid/>
                    <w:spacing w:line="240" w:lineRule="auto"/>
                    <w:ind w:leftChars="0" w:rightChars="0"/>
                    <w:rPr>
                      <w:rFonts w:hint="eastAsia" w:cs="Times New Roman"/>
                      <w:color w:val="auto"/>
                      <w:lang w:val="en-US" w:eastAsia="zh-CN"/>
                    </w:rPr>
                  </w:pPr>
                  <w:r>
                    <w:rPr>
                      <w:rFonts w:hint="eastAsia" w:cs="Times New Roman"/>
                      <w:color w:val="auto"/>
                      <w:lang w:val="en-US" w:eastAsia="zh-CN"/>
                    </w:rPr>
                    <w:t>6.6.1方法提要</w:t>
                  </w:r>
                </w:p>
                <w:p w14:paraId="0D5B509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将磷石膏、水泥、石灰等按照一定的比例混合配制的胶凝材料，用于道路的基础垫层、底基层、基层。</w:t>
                  </w:r>
                </w:p>
              </w:tc>
              <w:tc>
                <w:tcPr>
                  <w:tcW w:w="2556" w:type="dxa"/>
                  <w:vAlign w:val="center"/>
                </w:tcPr>
                <w:p w14:paraId="032EBB4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w:t>
                  </w:r>
                  <w:r>
                    <w:rPr>
                      <w:rFonts w:hint="eastAsia" w:ascii="Times New Roman" w:hAnsi="Times New Roman" w:eastAsia="宋体" w:cs="Times New Roman"/>
                      <w:color w:val="auto"/>
                      <w:sz w:val="21"/>
                      <w:szCs w:val="21"/>
                    </w:rPr>
                    <w:t>粉煤灰和砂石骨料</w:t>
                  </w:r>
                  <w:r>
                    <w:rPr>
                      <w:rFonts w:ascii="Times New Roman" w:hAnsi="Times New Roman" w:eastAsia="宋体" w:cs="Times New Roman"/>
                      <w:color w:val="auto"/>
                      <w:sz w:val="21"/>
                      <w:szCs w:val="21"/>
                    </w:rPr>
                    <w:t>按比例混合生产</w:t>
                  </w:r>
                  <w:r>
                    <w:rPr>
                      <w:rFonts w:hint="eastAsia" w:ascii="Times New Roman" w:hAnsi="Times New Roman" w:eastAsia="宋体" w:cs="Times New Roman"/>
                      <w:color w:val="auto"/>
                      <w:sz w:val="21"/>
                      <w:szCs w:val="21"/>
                    </w:rPr>
                    <w:t>路基材料，施工时与水泥混合后凝结。</w:t>
                  </w:r>
                </w:p>
              </w:tc>
              <w:tc>
                <w:tcPr>
                  <w:tcW w:w="709" w:type="dxa"/>
                  <w:vAlign w:val="center"/>
                </w:tcPr>
                <w:p w14:paraId="32D40650">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D08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A08E6D3">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6BB30919">
                  <w:pPr>
                    <w:widowControl/>
                    <w:kinsoku/>
                    <w:overflowPunct w:val="0"/>
                    <w:autoSpaceDE/>
                    <w:autoSpaceDN/>
                    <w:adjustRightInd/>
                    <w:snapToGrid/>
                    <w:spacing w:line="240" w:lineRule="auto"/>
                    <w:ind w:leftChars="0" w:rightChars="0"/>
                    <w:rPr>
                      <w:rFonts w:hint="eastAsia" w:cs="Times New Roman"/>
                      <w:color w:val="auto"/>
                      <w:lang w:val="en-US" w:eastAsia="zh-CN"/>
                    </w:rPr>
                  </w:pPr>
                  <w:r>
                    <w:rPr>
                      <w:rFonts w:hint="eastAsia" w:cs="Times New Roman"/>
                      <w:color w:val="auto"/>
                      <w:lang w:val="en-US" w:eastAsia="zh-CN"/>
                    </w:rPr>
                    <w:t>6.6.2生产工艺流程</w:t>
                  </w:r>
                </w:p>
                <w:p w14:paraId="128BF2F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磷石膏经预处理后</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与水泥或其他凝胶材料、固化剂、水及其他辅料混合搅拌均匀</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配制成道路的基础垫层、底基层、基层。</w:t>
                  </w:r>
                </w:p>
              </w:tc>
              <w:tc>
                <w:tcPr>
                  <w:tcW w:w="2556" w:type="dxa"/>
                  <w:vAlign w:val="center"/>
                </w:tcPr>
                <w:p w14:paraId="1DF3A33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项目采用磷石膏、</w:t>
                  </w:r>
                  <w:r>
                    <w:rPr>
                      <w:rFonts w:hint="eastAsia" w:ascii="Times New Roman" w:hAnsi="Times New Roman" w:eastAsia="宋体" w:cs="Times New Roman"/>
                      <w:color w:val="auto"/>
                      <w:sz w:val="21"/>
                      <w:szCs w:val="21"/>
                    </w:rPr>
                    <w:t>粉煤灰和砂石骨料</w:t>
                  </w:r>
                  <w:r>
                    <w:rPr>
                      <w:rFonts w:ascii="Times New Roman" w:hAnsi="Times New Roman" w:eastAsia="宋体" w:cs="Times New Roman"/>
                      <w:color w:val="auto"/>
                      <w:sz w:val="21"/>
                      <w:szCs w:val="21"/>
                    </w:rPr>
                    <w:t>按比例混合生产</w:t>
                  </w:r>
                  <w:r>
                    <w:rPr>
                      <w:rFonts w:hint="eastAsia" w:ascii="Times New Roman" w:hAnsi="Times New Roman" w:eastAsia="宋体" w:cs="Times New Roman"/>
                      <w:color w:val="auto"/>
                      <w:sz w:val="21"/>
                      <w:szCs w:val="21"/>
                    </w:rPr>
                    <w:t>路基材料，施工时与水泥混合后凝结</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符合筑路材料生产工艺</w:t>
                  </w:r>
                  <w:r>
                    <w:rPr>
                      <w:rFonts w:hint="eastAsia" w:ascii="Times New Roman" w:hAnsi="Times New Roman" w:eastAsia="宋体" w:cs="Times New Roman"/>
                      <w:color w:val="auto"/>
                      <w:sz w:val="21"/>
                      <w:szCs w:val="21"/>
                    </w:rPr>
                    <w:t>。</w:t>
                  </w:r>
                </w:p>
              </w:tc>
              <w:tc>
                <w:tcPr>
                  <w:tcW w:w="709" w:type="dxa"/>
                  <w:vAlign w:val="center"/>
                </w:tcPr>
                <w:p w14:paraId="26C8B65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14B4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806BA42">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44D6E61F">
                  <w:pPr>
                    <w:widowControl/>
                    <w:kinsoku/>
                    <w:overflowPunct w:val="0"/>
                    <w:autoSpaceDE/>
                    <w:autoSpaceDN/>
                    <w:adjustRightInd/>
                    <w:snapToGrid/>
                    <w:spacing w:line="240" w:lineRule="auto"/>
                    <w:ind w:leftChars="0" w:rightChars="0"/>
                    <w:rPr>
                      <w:rFonts w:hint="eastAsia" w:cs="Times New Roman"/>
                      <w:color w:val="auto"/>
                      <w:lang w:val="en-US" w:eastAsia="zh-CN"/>
                    </w:rPr>
                  </w:pPr>
                  <w:r>
                    <w:rPr>
                      <w:rFonts w:hint="eastAsia" w:cs="Times New Roman"/>
                      <w:color w:val="auto"/>
                      <w:lang w:val="en-US" w:eastAsia="zh-CN"/>
                    </w:rPr>
                    <w:t>6.6.3原辅材料要求</w:t>
                  </w:r>
                </w:p>
                <w:p w14:paraId="7524493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磷石膏原料中二水硫酸钙含量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65%，附着水</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25%，水溶性五氧化二磷含量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0.2</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%，水溶性氟离子含量</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0.1</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水溶性</w:t>
                  </w:r>
                  <w:r>
                    <w:rPr>
                      <w:rFonts w:ascii="Times New Roman" w:hAnsi="Times New Roman" w:eastAsia="宋体" w:cs="Times New Roman"/>
                      <w:color w:val="auto"/>
                      <w:lang w:eastAsia="zh-CN"/>
                    </w:rPr>
                    <w:t>氯离子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0.02%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水溶性氧化镁</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0.3</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%，水溶性氧化钠</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0.1</w:t>
                  </w:r>
                  <w:r>
                    <w:rPr>
                      <w:rFonts w:hint="eastAsia" w:ascii="Times New Roman" w:hAnsi="Times New Roman" w:eastAsia="宋体" w:cs="Times New Roman"/>
                      <w:color w:val="auto"/>
                      <w:lang w:eastAsia="zh-CN"/>
                    </w:rPr>
                    <w:t>0</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w:t>
                  </w:r>
                </w:p>
              </w:tc>
              <w:tc>
                <w:tcPr>
                  <w:tcW w:w="2556" w:type="dxa"/>
                  <w:vAlign w:val="center"/>
                </w:tcPr>
                <w:p w14:paraId="0C19E1F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根据项目磷石膏成分检测报告，各项指标均可满足要求。具体对照分析结果见产品质量要求章节内容</w:t>
                  </w:r>
                  <w:r>
                    <w:rPr>
                      <w:rFonts w:hint="eastAsia" w:ascii="Times New Roman" w:hAnsi="Times New Roman" w:eastAsia="宋体" w:cs="Times New Roman"/>
                      <w:color w:val="auto"/>
                      <w:sz w:val="21"/>
                      <w:szCs w:val="21"/>
                    </w:rPr>
                    <w:t>。</w:t>
                  </w:r>
                </w:p>
              </w:tc>
              <w:tc>
                <w:tcPr>
                  <w:tcW w:w="709" w:type="dxa"/>
                  <w:vAlign w:val="center"/>
                </w:tcPr>
                <w:p w14:paraId="57FF1EB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bookmarkStart w:id="9" w:name="OLE_LINK1"/>
                  <w:r>
                    <w:rPr>
                      <w:rFonts w:hint="eastAsia" w:ascii="Times New Roman" w:hAnsi="Times New Roman" w:eastAsia="宋体" w:cs="Times New Roman"/>
                      <w:color w:val="auto"/>
                      <w:kern w:val="0"/>
                      <w:szCs w:val="21"/>
                      <w:lang w:eastAsia="zh-CN"/>
                    </w:rPr>
                    <w:t>符合</w:t>
                  </w:r>
                  <w:bookmarkEnd w:id="9"/>
                </w:p>
              </w:tc>
            </w:tr>
            <w:tr w14:paraId="48CC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4A46769">
                  <w:pPr>
                    <w:widowControl/>
                    <w:kinsoku/>
                    <w:overflowPunct w:val="0"/>
                    <w:autoSpaceDE/>
                    <w:autoSpaceDN/>
                    <w:adjustRightInd/>
                    <w:snapToGrid/>
                    <w:spacing w:line="480" w:lineRule="atLeast"/>
                    <w:rPr>
                      <w:rFonts w:ascii="Times New Roman" w:hAnsi="Times New Roman" w:eastAsia="宋体" w:cs="Times New Roman"/>
                      <w:color w:val="auto"/>
                      <w:lang w:eastAsia="zh-CN"/>
                    </w:rPr>
                  </w:pPr>
                </w:p>
              </w:tc>
              <w:tc>
                <w:tcPr>
                  <w:tcW w:w="4699" w:type="dxa"/>
                  <w:vAlign w:val="center"/>
                </w:tcPr>
                <w:p w14:paraId="37346A11">
                  <w:pPr>
                    <w:widowControl/>
                    <w:kinsoku/>
                    <w:overflowPunct w:val="0"/>
                    <w:autoSpaceDE/>
                    <w:autoSpaceDN/>
                    <w:adjustRightInd/>
                    <w:snapToGrid/>
                    <w:spacing w:line="240" w:lineRule="auto"/>
                    <w:ind w:leftChars="0" w:rightChars="0"/>
                    <w:rPr>
                      <w:rFonts w:hint="eastAsia" w:cs="Times New Roman"/>
                      <w:color w:val="auto"/>
                      <w:lang w:val="en-US" w:eastAsia="zh-CN"/>
                    </w:rPr>
                  </w:pPr>
                  <w:r>
                    <w:rPr>
                      <w:rFonts w:hint="eastAsia" w:cs="Times New Roman"/>
                      <w:color w:val="auto"/>
                      <w:lang w:val="en-US" w:eastAsia="zh-CN"/>
                    </w:rPr>
                    <w:t>6.6.4产品要求</w:t>
                  </w:r>
                </w:p>
                <w:p w14:paraId="7451BA0B">
                  <w:pPr>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磷石膏筑路材料应用于道路的基础垫层、底基层、基层等筑路材料时，应采用14d龄期无侧限抗压强度作为设计的主要指标</w:t>
                  </w:r>
                  <w:r>
                    <w:rPr>
                      <w:rFonts w:hint="eastAsia" w:cs="Times New Roman"/>
                      <w:color w:val="auto"/>
                      <w:lang w:eastAsia="zh-CN"/>
                    </w:rPr>
                    <w:t>，强度代表值应符合表 10 的规定，且水稳定系数不小于0.8。</w:t>
                  </w:r>
                  <w:r>
                    <w:rPr>
                      <w:rFonts w:hint="eastAsia" w:ascii="Times New Roman" w:hAnsi="Times New Roman" w:eastAsia="宋体" w:cs="Times New Roman"/>
                      <w:color w:val="auto"/>
                      <w:lang w:eastAsia="zh-CN"/>
                    </w:rPr>
                    <w:t>磷石膏筑路材料在工程应用养护期满后取芯样，按照 HJ 557 制取的浸出液应满足：pH：6~9、总磷≤0.5 mg/L、氟化物≤10 mg/L</w:t>
                  </w:r>
                  <w:r>
                    <w:rPr>
                      <w:rFonts w:hint="eastAsia" w:cs="Times New Roman"/>
                      <w:color w:val="auto"/>
                      <w:lang w:eastAsia="zh-CN"/>
                    </w:rPr>
                    <w:t>。</w:t>
                  </w:r>
                </w:p>
              </w:tc>
              <w:tc>
                <w:tcPr>
                  <w:tcW w:w="2556" w:type="dxa"/>
                  <w:vAlign w:val="center"/>
                </w:tcPr>
                <w:p w14:paraId="1BCC6229">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cs="Times New Roman"/>
                      <w:color w:val="auto"/>
                      <w:sz w:val="21"/>
                      <w:szCs w:val="21"/>
                      <w:lang w:val="en-US" w:eastAsia="zh-CN"/>
                    </w:rPr>
                    <w:t>本项目路基材料产品质量要求符合该规定，</w:t>
                  </w:r>
                  <w:r>
                    <w:rPr>
                      <w:rFonts w:ascii="Times New Roman" w:hAnsi="Times New Roman" w:eastAsia="宋体" w:cs="Times New Roman"/>
                      <w:color w:val="auto"/>
                      <w:sz w:val="21"/>
                      <w:szCs w:val="21"/>
                    </w:rPr>
                    <w:t>具体对照分析结果见产品质量要求章节内容</w:t>
                  </w:r>
                  <w:r>
                    <w:rPr>
                      <w:rFonts w:hint="eastAsia" w:ascii="Times New Roman" w:hAnsi="Times New Roman" w:eastAsia="宋体" w:cs="Times New Roman"/>
                      <w:color w:val="auto"/>
                      <w:sz w:val="21"/>
                      <w:szCs w:val="21"/>
                    </w:rPr>
                    <w:t>。</w:t>
                  </w:r>
                </w:p>
              </w:tc>
              <w:tc>
                <w:tcPr>
                  <w:tcW w:w="709" w:type="dxa"/>
                  <w:vAlign w:val="center"/>
                </w:tcPr>
                <w:p w14:paraId="39775EEF">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hAnsi="Times New Roman" w:cs="Times New Roman"/>
                      <w:color w:val="auto"/>
                      <w:kern w:val="0"/>
                      <w:szCs w:val="21"/>
                      <w:lang w:val="en-US" w:eastAsia="zh-CN"/>
                    </w:rPr>
                    <w:t>符合</w:t>
                  </w:r>
                </w:p>
              </w:tc>
            </w:tr>
          </w:tbl>
          <w:p w14:paraId="6407095D">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rPr>
            </w:pPr>
            <w:r>
              <w:rPr>
                <w:rFonts w:ascii="Times New Roman" w:hAnsi="Times New Roman" w:eastAsia="宋体" w:cs="Times New Roman"/>
                <w:color w:val="auto"/>
              </w:rPr>
              <w:t>综上所述，项目建设符合《磷石膏的处理处置规范》（GB/T32124-2024）的相关要求。</w:t>
            </w:r>
          </w:p>
          <w:p w14:paraId="7CFF0F4C">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cs="Times New Roman"/>
                <w:b/>
                <w:color w:val="auto"/>
                <w:lang w:val="en-US" w:eastAsia="zh-CN"/>
              </w:rPr>
              <w:t>19</w:t>
            </w:r>
            <w:r>
              <w:rPr>
                <w:rFonts w:ascii="Times New Roman" w:hAnsi="Times New Roman" w:eastAsia="宋体" w:cs="Times New Roman"/>
                <w:b/>
                <w:color w:val="auto"/>
              </w:rPr>
              <w:t>、</w:t>
            </w:r>
            <w:r>
              <w:rPr>
                <w:rFonts w:hint="eastAsia" w:ascii="Times New Roman" w:hAnsi="Times New Roman" w:eastAsia="宋体" w:cs="Times New Roman"/>
                <w:b/>
                <w:color w:val="auto"/>
              </w:rPr>
              <w:t>与《云南省全面推进磷石膏综合利用工作方案》的符合性分析</w:t>
            </w:r>
          </w:p>
          <w:p w14:paraId="5FFAC0A2">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表1-1</w:t>
            </w:r>
            <w:r>
              <w:rPr>
                <w:rFonts w:hint="eastAsia" w:cs="Times New Roman"/>
                <w:b/>
                <w:color w:val="auto"/>
                <w:sz w:val="24"/>
                <w:lang w:val="en-US" w:eastAsia="zh-CN"/>
              </w:rPr>
              <w:t>8</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《云南省全面推进磷石膏综合利用工作方案》</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3331"/>
              <w:gridCol w:w="710"/>
            </w:tblGrid>
            <w:tr w14:paraId="03DE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31BCE197">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331" w:type="dxa"/>
                  <w:vAlign w:val="center"/>
                </w:tcPr>
                <w:p w14:paraId="3627366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10" w:type="dxa"/>
                  <w:vAlign w:val="center"/>
                </w:tcPr>
                <w:p w14:paraId="195F9B8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6E015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10190EA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实施磷石膏废弃矿坑生态修复利用类工程。总结推广示范项目经验，加快研究发布《磷石膏无害化处理用于矿山废弃地生态修复回填技术规范》等相关标准，开展项目谋划实施。加强全过程服务监管，开展地质结构和水源边界勘测，在确保安全环保前提下，积极推动磷石膏在废弃矿坑生态修复等领域应用。在符合条件的地区，鼓励支持使用符合相关标准的无害化磷石膏材料实施废弃矿坑回填、边坡治理和石漠化修复；磷矿企业同等条件下优先使用无害化磷石膏开展废弃矿坑生态修复及井下填充。鼓励各地因地制宜，在人造土制备、土壤改良、石漠化土壤治理、胶凝型护坡材料制备等方面探索磷石膏示范利用新途径。到2025年，力争全省生态修复类工程年综合利用磷石膏1225万吨以上。</w:t>
                  </w:r>
                </w:p>
              </w:tc>
              <w:tc>
                <w:tcPr>
                  <w:tcW w:w="3331" w:type="dxa"/>
                  <w:vAlign w:val="center"/>
                </w:tcPr>
                <w:p w14:paraId="2C5317B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w:t>
                  </w:r>
                  <w:r>
                    <w:rPr>
                      <w:rFonts w:hint="eastAsia" w:ascii="Times New Roman" w:hAnsi="Times New Roman" w:cs="Times New Roman"/>
                      <w:color w:val="auto"/>
                      <w:sz w:val="21"/>
                      <w:szCs w:val="21"/>
                      <w:lang w:val="en-US" w:eastAsia="zh-CN"/>
                    </w:rPr>
                    <w:t>不涉及</w:t>
                  </w:r>
                  <w:r>
                    <w:rPr>
                      <w:rFonts w:ascii="Times New Roman" w:hAnsi="Times New Roman" w:eastAsia="宋体" w:cs="Times New Roman"/>
                      <w:color w:val="auto"/>
                      <w:sz w:val="21"/>
                      <w:szCs w:val="21"/>
                    </w:rPr>
                    <w:t>土壤改良方面</w:t>
                  </w:r>
                  <w:r>
                    <w:rPr>
                      <w:rFonts w:hint="eastAsia" w:ascii="Times New Roman" w:hAnsi="Times New Roman" w:eastAsia="宋体" w:cs="Times New Roman"/>
                      <w:color w:val="auto"/>
                      <w:sz w:val="21"/>
                      <w:szCs w:val="21"/>
                    </w:rPr>
                    <w:t>的</w:t>
                  </w:r>
                  <w:r>
                    <w:rPr>
                      <w:rFonts w:ascii="Times New Roman" w:hAnsi="Times New Roman" w:eastAsia="宋体" w:cs="Times New Roman"/>
                      <w:color w:val="auto"/>
                      <w:sz w:val="21"/>
                      <w:szCs w:val="21"/>
                    </w:rPr>
                    <w:t>磷石膏示范利用新途径。</w:t>
                  </w:r>
                </w:p>
              </w:tc>
              <w:tc>
                <w:tcPr>
                  <w:tcW w:w="710" w:type="dxa"/>
                  <w:vAlign w:val="center"/>
                </w:tcPr>
                <w:p w14:paraId="0AC2CB6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hAnsi="Times New Roman" w:cs="Times New Roman"/>
                      <w:color w:val="auto"/>
                      <w:kern w:val="0"/>
                      <w:szCs w:val="21"/>
                      <w:lang w:val="en-US" w:eastAsia="zh-CN"/>
                    </w:rPr>
                    <w:t>/</w:t>
                  </w:r>
                </w:p>
              </w:tc>
            </w:tr>
            <w:tr w14:paraId="7024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44D315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实施磷石膏路基材料利用类工程。加快标准制定和使用验证，引进先进技术和行业标杆企业，提升磷石膏路基材料应用能力水平。在符合有关条件标准的前提下，大力推动磷石膏在水稳基层材料、路基填料、路面修补材料、路基加固材料、隔音屏障等公路工程领域的示范应用，重点推动磷石膏路基材料在磷石膏产生州（市）公路工程、市政道路、园区道路建设中的使用。到2025年，力争全省磷石膏路基材料年综合利用磷石膏100万吨以上</w:t>
                  </w:r>
                  <w:r>
                    <w:rPr>
                      <w:rFonts w:hint="eastAsia" w:ascii="Times New Roman" w:hAnsi="Times New Roman" w:eastAsia="宋体" w:cs="Times New Roman"/>
                      <w:color w:val="auto"/>
                      <w:lang w:eastAsia="zh-CN"/>
                    </w:rPr>
                    <w:t>。</w:t>
                  </w:r>
                </w:p>
              </w:tc>
              <w:tc>
                <w:tcPr>
                  <w:tcW w:w="3331" w:type="dxa"/>
                  <w:vAlign w:val="center"/>
                </w:tcPr>
                <w:p w14:paraId="6069B8E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路基材料，属于</w:t>
                  </w:r>
                  <w:r>
                    <w:rPr>
                      <w:rFonts w:ascii="Times New Roman" w:hAnsi="Times New Roman" w:eastAsia="宋体" w:cs="Times New Roman"/>
                      <w:color w:val="auto"/>
                      <w:sz w:val="21"/>
                      <w:szCs w:val="21"/>
                    </w:rPr>
                    <w:t>磷石膏路基材料利用类工程</w:t>
                  </w:r>
                  <w:r>
                    <w:rPr>
                      <w:rFonts w:hint="eastAsia" w:ascii="Times New Roman" w:hAnsi="Times New Roman" w:eastAsia="宋体" w:cs="Times New Roman"/>
                      <w:color w:val="auto"/>
                      <w:sz w:val="21"/>
                      <w:szCs w:val="21"/>
                    </w:rPr>
                    <w:t>。</w:t>
                  </w:r>
                </w:p>
              </w:tc>
              <w:tc>
                <w:tcPr>
                  <w:tcW w:w="710" w:type="dxa"/>
                  <w:vAlign w:val="center"/>
                </w:tcPr>
                <w:p w14:paraId="52E6826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504E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7269FE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推进无害化处理。相关磷化工企业应采用水洗、焙烧、浮选、中和等技术对磷石膏进行无害化处理，降低影响下游产品质量的水溶磷、水溶氟等杂质和环境风险因子，提高磷石膏可资源化品质。加快推进磷石膏无害化处理设施建设，所有湿法磷酸生产企业应配套建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或委托建成</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相应能力的磷石膏无害化处理设施，具备对企业自产磷石膏的完全处理能力。鼓励和支持配套建设现有库存磷石膏的无害化处理设施，推动磷石膏无害化处理。到2025年，新增且不能综合利用的磷石膏，全部实现无害化处理。在满足安全环保前提下，按照《一般工业固体废物贮存和填埋污染控制标准》等要求，依法依规做好经无害化处理的磷石膏的贮存。</w:t>
                  </w:r>
                </w:p>
              </w:tc>
              <w:tc>
                <w:tcPr>
                  <w:tcW w:w="3331" w:type="dxa"/>
                  <w:vAlign w:val="center"/>
                </w:tcPr>
                <w:p w14:paraId="2FD09E9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项目磷石膏无害化处理由中化云龙进行，项目不涉及磷石膏无害化处理</w:t>
                  </w:r>
                  <w:r>
                    <w:rPr>
                      <w:rFonts w:hint="eastAsia" w:ascii="Times New Roman" w:hAnsi="Times New Roman" w:eastAsia="宋体" w:cs="Times New Roman"/>
                      <w:color w:val="auto"/>
                      <w:sz w:val="21"/>
                      <w:szCs w:val="21"/>
                      <w:lang w:eastAsia="zh-CN"/>
                    </w:rPr>
                    <w:t>。项目生产区、原料堆场、成品仓库、废品仓库严格按照《一般工业固体废物贮存和填埋污染控制标准》（GB18599-2020）的相关要求采取环境污染防治措施</w:t>
                  </w:r>
                  <w:r>
                    <w:rPr>
                      <w:rFonts w:ascii="Times New Roman" w:hAnsi="Times New Roman" w:eastAsia="宋体" w:cs="Times New Roman"/>
                      <w:color w:val="auto"/>
                      <w:sz w:val="21"/>
                      <w:szCs w:val="21"/>
                    </w:rPr>
                    <w:t>。</w:t>
                  </w:r>
                </w:p>
              </w:tc>
              <w:tc>
                <w:tcPr>
                  <w:tcW w:w="710" w:type="dxa"/>
                  <w:vAlign w:val="center"/>
                </w:tcPr>
                <w:p w14:paraId="716183A9">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04297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67D40AE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推进技术攻关。鼓励龙头企业牵头，联合科研院所组建省级创新平台</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集聚产学研用资源优势</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体系化推进磷石膏质量在线监测和处理技术、绿色磷酸生产工艺、低成本除杂净化技术、磷石膏大掺比利用共性关键技术、磷石膏环境污染控制技术等攻关，推动跨领域、跨学科技术交叉融合创新，不断探索磷石膏规模化、高值化利用新领域。按照急用先行原则，将磷石膏无害化处理以及生产高强石膏粉及其制品、道路基层材料、土壤调理剂、生态修复材料等先进技术转化为标准规范。</w:t>
                  </w:r>
                </w:p>
              </w:tc>
              <w:tc>
                <w:tcPr>
                  <w:tcW w:w="3331" w:type="dxa"/>
                  <w:vAlign w:val="center"/>
                </w:tcPr>
                <w:p w14:paraId="4CB2F7F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项目为固体废物治理，利用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w:t>
                  </w:r>
                  <w:r>
                    <w:rPr>
                      <w:rFonts w:hint="eastAsia" w:ascii="Times New Roman" w:hAnsi="Times New Roman" w:eastAsia="宋体" w:cs="Times New Roman"/>
                      <w:color w:val="auto"/>
                      <w:sz w:val="21"/>
                      <w:szCs w:val="21"/>
                      <w:lang w:eastAsia="zh-CN"/>
                    </w:rPr>
                    <w:t>，属于所列先进技术之一，</w:t>
                  </w:r>
                  <w:r>
                    <w:rPr>
                      <w:rFonts w:ascii="Times New Roman" w:hAnsi="Times New Roman" w:eastAsia="宋体" w:cs="Times New Roman"/>
                      <w:color w:val="auto"/>
                      <w:sz w:val="21"/>
                      <w:szCs w:val="21"/>
                    </w:rPr>
                    <w:t>属于鼓励类建设项目，符合方案要求</w:t>
                  </w:r>
                  <w:r>
                    <w:rPr>
                      <w:rFonts w:hint="eastAsia" w:ascii="Times New Roman" w:hAnsi="Times New Roman" w:eastAsia="宋体" w:cs="Times New Roman"/>
                      <w:color w:val="auto"/>
                      <w:sz w:val="21"/>
                      <w:szCs w:val="21"/>
                    </w:rPr>
                    <w:t>。</w:t>
                  </w:r>
                </w:p>
              </w:tc>
              <w:tc>
                <w:tcPr>
                  <w:tcW w:w="710" w:type="dxa"/>
                  <w:vAlign w:val="center"/>
                </w:tcPr>
                <w:p w14:paraId="08DF937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454100F1">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综上所述，项目建设符合《云南省全面推进磷石膏综合利用工作方案》的相关要求。</w:t>
            </w:r>
          </w:p>
          <w:p w14:paraId="69CDF8A9">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w:t>
            </w:r>
            <w:r>
              <w:rPr>
                <w:rFonts w:hint="eastAsia" w:ascii="Times New Roman" w:hAnsi="Times New Roman" w:cs="Times New Roman"/>
                <w:b/>
                <w:color w:val="auto"/>
                <w:lang w:val="en-US" w:eastAsia="zh-CN"/>
              </w:rPr>
              <w:t>0</w:t>
            </w:r>
            <w:r>
              <w:rPr>
                <w:rFonts w:ascii="Times New Roman" w:hAnsi="Times New Roman" w:eastAsia="宋体" w:cs="Times New Roman"/>
                <w:b/>
                <w:color w:val="auto"/>
              </w:rPr>
              <w:t>、</w:t>
            </w:r>
            <w:r>
              <w:rPr>
                <w:rFonts w:hint="eastAsia" w:ascii="Times New Roman" w:hAnsi="Times New Roman" w:eastAsia="宋体" w:cs="Times New Roman"/>
                <w:b/>
                <w:color w:val="auto"/>
              </w:rPr>
              <w:t>与《昆明市磷石膏综合利用环境污染防治政策指引（试行）》的符合性分析</w:t>
            </w:r>
          </w:p>
          <w:p w14:paraId="1DC966CE">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1</w:t>
            </w:r>
            <w:r>
              <w:rPr>
                <w:rFonts w:hint="eastAsia" w:cs="Times New Roman"/>
                <w:b/>
                <w:color w:val="auto"/>
                <w:sz w:val="24"/>
                <w:lang w:val="en-US" w:eastAsia="zh-CN"/>
              </w:rPr>
              <w:t>9</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《昆明市磷石膏综合利用环境污染防治政策指引（试行）》</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9"/>
              <w:gridCol w:w="3331"/>
              <w:gridCol w:w="710"/>
            </w:tblGrid>
            <w:tr w14:paraId="6B79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5279A68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331" w:type="dxa"/>
                  <w:vAlign w:val="center"/>
                </w:tcPr>
                <w:p w14:paraId="1FF6840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710" w:type="dxa"/>
                  <w:vAlign w:val="center"/>
                </w:tcPr>
                <w:p w14:paraId="4F32D09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104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3D4633A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鼓励磷石膏在全市范围社会生产生活各领域资源化利用。支持磷石膏作为回填充填材料、建筑材料、筑路材料，以及用作石漠化治理、退化林草地修复、土地整理、废弃地治理、矿山边坡治理、园林绿化等土地利用的材料。对于使用磷石膏产品的建设项目，在办理环境影响评价、排污许可、危险废物经营许可、申报各级污染防治专项资金、开展“无废城市”建设等事项时开辟“绿色通道”，给予优惠支持。</w:t>
                  </w:r>
                </w:p>
              </w:tc>
              <w:tc>
                <w:tcPr>
                  <w:tcW w:w="3331" w:type="dxa"/>
                  <w:vAlign w:val="center"/>
                </w:tcPr>
                <w:p w14:paraId="4937D07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路基材料，属于</w:t>
                  </w:r>
                  <w:r>
                    <w:rPr>
                      <w:rFonts w:hint="eastAsia" w:ascii="Times New Roman" w:hAnsi="Times New Roman" w:eastAsia="宋体" w:cs="Times New Roman"/>
                      <w:color w:val="auto"/>
                      <w:sz w:val="21"/>
                      <w:szCs w:val="21"/>
                      <w:lang w:val="en-US" w:eastAsia="zh-CN"/>
                    </w:rPr>
                    <w:t>所列支持</w:t>
                  </w:r>
                  <w:r>
                    <w:rPr>
                      <w:rFonts w:hint="eastAsia" w:ascii="Times New Roman" w:hAnsi="Times New Roman" w:eastAsia="宋体" w:cs="Times New Roman"/>
                      <w:color w:val="auto"/>
                      <w:sz w:val="21"/>
                      <w:szCs w:val="21"/>
                    </w:rPr>
                    <w:t>磷石膏的资源化利用</w:t>
                  </w:r>
                  <w:r>
                    <w:rPr>
                      <w:rFonts w:hint="eastAsia" w:ascii="Times New Roman" w:hAnsi="Times New Roman" w:eastAsia="宋体" w:cs="Times New Roman"/>
                      <w:color w:val="auto"/>
                      <w:sz w:val="21"/>
                      <w:szCs w:val="21"/>
                      <w:lang w:val="en-US" w:eastAsia="zh-CN"/>
                    </w:rPr>
                    <w:t>项目之一</w:t>
                  </w:r>
                  <w:r>
                    <w:rPr>
                      <w:rFonts w:hint="eastAsia" w:ascii="Times New Roman" w:hAnsi="Times New Roman" w:eastAsia="宋体" w:cs="Times New Roman"/>
                      <w:color w:val="auto"/>
                      <w:sz w:val="21"/>
                      <w:szCs w:val="21"/>
                    </w:rPr>
                    <w:t>。</w:t>
                  </w:r>
                </w:p>
              </w:tc>
              <w:tc>
                <w:tcPr>
                  <w:tcW w:w="710" w:type="dxa"/>
                  <w:vAlign w:val="center"/>
                </w:tcPr>
                <w:p w14:paraId="7D44BC9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4DBD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4533870">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执行标准规范。磷石膏产生企业开展综合利用、磷石膏综合利用处置企业按照《磷石膏的处理处置规范》（GB/T</w:t>
                  </w:r>
                  <w:r>
                    <w:rPr>
                      <w:rFonts w:hint="eastAsia" w:cs="Times New Roman"/>
                      <w:color w:val="auto"/>
                      <w:lang w:val="en-US" w:eastAsia="zh-CN"/>
                    </w:rPr>
                    <w:t xml:space="preserve"> </w:t>
                  </w:r>
                  <w:r>
                    <w:rPr>
                      <w:rFonts w:hint="eastAsia" w:ascii="Times New Roman" w:hAnsi="Times New Roman" w:eastAsia="宋体" w:cs="Times New Roman"/>
                      <w:color w:val="auto"/>
                      <w:lang w:eastAsia="zh-CN"/>
                    </w:rPr>
                    <w:t>32124-2024）、《磷石膏利用和无害化贮存污染控制技术规范》（HJ</w:t>
                  </w:r>
                  <w:r>
                    <w:rPr>
                      <w:rFonts w:hint="eastAsia" w:cs="Times New Roman"/>
                      <w:color w:val="auto"/>
                      <w:lang w:val="en-US" w:eastAsia="zh-CN"/>
                    </w:rPr>
                    <w:t xml:space="preserve"> </w:t>
                  </w:r>
                  <w:r>
                    <w:rPr>
                      <w:rFonts w:hint="eastAsia" w:ascii="Times New Roman" w:hAnsi="Times New Roman" w:eastAsia="宋体" w:cs="Times New Roman"/>
                      <w:color w:val="auto"/>
                      <w:lang w:eastAsia="zh-CN"/>
                    </w:rPr>
                    <w:t>1415-2025）等有关环境标准规范以及其他行业领域标准规范的要求对磷石膏进行预处理，开展综合利用的磷石膏符合相应利用方式所要求达到的环境标准以及相应领域的控制标准。经检测预处理达标的磷石膏在出厂、转运、利用、贮存过程中，各县（市）区、各开发（度假）区不得阻碍，应提供便利和指导。</w:t>
                  </w:r>
                </w:p>
              </w:tc>
              <w:tc>
                <w:tcPr>
                  <w:tcW w:w="3331" w:type="dxa"/>
                  <w:vAlign w:val="center"/>
                </w:tcPr>
                <w:p w14:paraId="47A8F5CE">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项目利用的磷石膏属于中华云龙预处理后满足所列规范要求的改性磷石膏；</w:t>
                  </w: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路基材料，属于磷石膏综合利用处置企业，已对照《磷石膏的处理处置规范》（GB/T</w:t>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rPr>
                    <w:t>32124-2024）、《磷石膏利用和无害化贮存污染控制技术规范》（HJ</w:t>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rPr>
                    <w:t>1415-2025）进行符合性分析，确保符合相应利用方式所要求达到的环境标准以及相应领域的控制标准。</w:t>
                  </w:r>
                </w:p>
              </w:tc>
              <w:tc>
                <w:tcPr>
                  <w:tcW w:w="710" w:type="dxa"/>
                  <w:vAlign w:val="center"/>
                </w:tcPr>
                <w:p w14:paraId="37EAC6D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68E8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1B0DB76">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支持利用项目建设。支持磷石膏综合利用项目、使用磷石膏产品的项目建设，达到《建设项目环境影响评价分类管理名录》需要报批环境影响评价手续的按要求办理。磷石膏用于符合有关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tc>
              <w:tc>
                <w:tcPr>
                  <w:tcW w:w="3331" w:type="dxa"/>
                  <w:vAlign w:val="center"/>
                </w:tcPr>
                <w:p w14:paraId="38E027A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路基材料，属于</w:t>
                  </w:r>
                  <w:r>
                    <w:rPr>
                      <w:rFonts w:ascii="Times New Roman" w:hAnsi="Times New Roman" w:eastAsia="宋体" w:cs="Times New Roman"/>
                      <w:color w:val="auto"/>
                      <w:sz w:val="21"/>
                      <w:szCs w:val="21"/>
                    </w:rPr>
                    <w:t>磷石膏综合利用项目</w:t>
                  </w:r>
                  <w:r>
                    <w:rPr>
                      <w:rFonts w:hint="eastAsia" w:ascii="Times New Roman" w:hAnsi="Times New Roman" w:eastAsia="宋体" w:cs="Times New Roman"/>
                      <w:color w:val="auto"/>
                      <w:sz w:val="21"/>
                      <w:szCs w:val="21"/>
                    </w:rPr>
                    <w:t>，正在依法办理</w:t>
                  </w:r>
                  <w:r>
                    <w:rPr>
                      <w:rFonts w:ascii="Times New Roman" w:hAnsi="Times New Roman" w:eastAsia="宋体" w:cs="Times New Roman"/>
                      <w:color w:val="auto"/>
                      <w:sz w:val="21"/>
                      <w:szCs w:val="21"/>
                    </w:rPr>
                    <w:t>环境影响评价手续</w:t>
                  </w:r>
                  <w:r>
                    <w:rPr>
                      <w:rFonts w:hint="eastAsia" w:ascii="Times New Roman" w:hAnsi="Times New Roman" w:eastAsia="宋体" w:cs="Times New Roman"/>
                      <w:color w:val="auto"/>
                      <w:sz w:val="21"/>
                      <w:szCs w:val="21"/>
                    </w:rPr>
                    <w:t>。路基材料</w:t>
                  </w:r>
                  <w:r>
                    <w:rPr>
                      <w:rFonts w:ascii="Times New Roman" w:hAnsi="Times New Roman" w:eastAsia="宋体" w:cs="Times New Roman"/>
                      <w:color w:val="auto"/>
                      <w:sz w:val="21"/>
                      <w:szCs w:val="21"/>
                    </w:rPr>
                    <w:t>外售时与购买方明确说明避开活动断层，泉域保护范围以及岩溶强发育、存在较多落水洞和岩溶漏斗的区域，湿地，江河、湖泊、运河、渠道、最高水位线以下的滩地和岸坡，以及国家和地方规划中的水库等人工蓄水设施的淹没区和保护区等</w:t>
                  </w:r>
                  <w:r>
                    <w:rPr>
                      <w:rFonts w:hint="eastAsia" w:ascii="Times New Roman" w:hAnsi="Times New Roman" w:eastAsia="宋体" w:cs="Times New Roman"/>
                      <w:color w:val="auto"/>
                      <w:sz w:val="21"/>
                      <w:szCs w:val="21"/>
                    </w:rPr>
                    <w:t>。</w:t>
                  </w:r>
                </w:p>
              </w:tc>
              <w:tc>
                <w:tcPr>
                  <w:tcW w:w="710" w:type="dxa"/>
                  <w:vAlign w:val="center"/>
                </w:tcPr>
                <w:p w14:paraId="0A5E90E2">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2454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49C0D55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强化过程台账管理。磷石膏产生单位应严格落实环境污染防治主体责任，建立健全磷石膏产生、收集、贮存、运输、利用处置全过程的环境污染防治责任制度，明确主管负责人及具体责任人。磷石膏产生单位委托他人利用、处置的，应核实受托人经营范围、证照信息、环境影响评价文件和相应技术能力等，在依法签订的书面合同中明确运输责任、污染防治要求和利用处置方式，不得委托无利用处置能力的第三方。委托他人运输磷石膏的，应当核实承运人经营范围、证照信息和技术能力，在依法签订的书面合同中明确运输方式、起运地点、接收地点、接收人及运输过程中的污染防治要求等。要按照《昆明市生态环境局关于印发〈磷石膏规范化管理台账编制指南〉（试行）的通知》（昆生环通〔2024〕30号）规范建立运行台账资料。对于需要跨区域进行磷石膏运输的综合利用项目，磷石膏产生和利用单位应当分别报磷石膏移出地、移入地的县级生态环境部门和行业主管部门备案，备案内容包括磷石膏综合利用项目情况、双方签订的书面合同（需包含运输责任、污染防治主体和利用处置方式等）。各县（市）区、各开发（度假）区生态环境和行业主管部门要对企业台账资料和备案事项严格监督检查，严格防止磷石膏综合利用演变为随意倾倒、堆放、丢弃固体废物。</w:t>
                  </w:r>
                </w:p>
              </w:tc>
              <w:tc>
                <w:tcPr>
                  <w:tcW w:w="3331" w:type="dxa"/>
                  <w:vAlign w:val="center"/>
                </w:tcPr>
                <w:p w14:paraId="05C4AE1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建设单位按照规范要求制定磷石膏管理台账</w:t>
                  </w:r>
                  <w:r>
                    <w:rPr>
                      <w:rFonts w:hint="eastAsia" w:ascii="Times New Roman" w:hAnsi="Times New Roman" w:eastAsia="宋体" w:cs="Times New Roman"/>
                      <w:color w:val="auto"/>
                      <w:sz w:val="21"/>
                      <w:szCs w:val="21"/>
                    </w:rPr>
                    <w:t>；建设单位取得环境影响评价手续后，</w:t>
                  </w:r>
                  <w:r>
                    <w:rPr>
                      <w:rFonts w:ascii="Times New Roman" w:hAnsi="Times New Roman" w:eastAsia="宋体" w:cs="Times New Roman"/>
                      <w:color w:val="auto"/>
                      <w:sz w:val="21"/>
                      <w:szCs w:val="21"/>
                    </w:rPr>
                    <w:t>在</w:t>
                  </w:r>
                  <w:r>
                    <w:rPr>
                      <w:rFonts w:hint="eastAsia" w:ascii="Times New Roman" w:hAnsi="Times New Roman" w:eastAsia="宋体" w:cs="Times New Roman"/>
                      <w:color w:val="auto"/>
                      <w:sz w:val="21"/>
                      <w:szCs w:val="21"/>
                    </w:rPr>
                    <w:t>与中化云龙有限公司</w:t>
                  </w:r>
                  <w:r>
                    <w:rPr>
                      <w:rFonts w:ascii="Times New Roman" w:hAnsi="Times New Roman" w:eastAsia="宋体" w:cs="Times New Roman"/>
                      <w:color w:val="auto"/>
                      <w:sz w:val="21"/>
                      <w:szCs w:val="21"/>
                    </w:rPr>
                    <w:t>签订的书面合同中明确运输责任、污染防治要求和利用处置方式，不得委托无利用处置能力的第三方</w:t>
                  </w:r>
                  <w:r>
                    <w:rPr>
                      <w:rFonts w:hint="eastAsia" w:ascii="Times New Roman" w:hAnsi="Times New Roman" w:eastAsia="宋体" w:cs="Times New Roman"/>
                      <w:color w:val="auto"/>
                      <w:sz w:val="21"/>
                      <w:szCs w:val="21"/>
                    </w:rPr>
                    <w:t>；建设单位</w:t>
                  </w:r>
                  <w:r>
                    <w:rPr>
                      <w:rFonts w:ascii="Times New Roman" w:hAnsi="Times New Roman" w:eastAsia="宋体" w:cs="Times New Roman"/>
                      <w:color w:val="auto"/>
                      <w:sz w:val="21"/>
                      <w:szCs w:val="21"/>
                    </w:rPr>
                    <w:t>严格防止磷石膏综合利用演变为随意倾倒、堆放、丢弃固体废物</w:t>
                  </w:r>
                  <w:r>
                    <w:rPr>
                      <w:rFonts w:hint="eastAsia" w:ascii="Times New Roman" w:hAnsi="Times New Roman" w:eastAsia="宋体" w:cs="Times New Roman"/>
                      <w:color w:val="auto"/>
                      <w:sz w:val="21"/>
                      <w:szCs w:val="21"/>
                    </w:rPr>
                    <w:t>。</w:t>
                  </w:r>
                </w:p>
              </w:tc>
              <w:tc>
                <w:tcPr>
                  <w:tcW w:w="710" w:type="dxa"/>
                  <w:vAlign w:val="center"/>
                </w:tcPr>
                <w:p w14:paraId="65567EA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B3E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9" w:type="dxa"/>
                  <w:vAlign w:val="center"/>
                </w:tcPr>
                <w:p w14:paraId="772DDADF">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落实贮存污染控制要求。2026年底前，新增磷石膏堆存方式全部采取干法堆存。资源贮存场的设计应符合《一般工业固体废物贮存和填埋污染控制标准》（GB 18599）中</w:t>
                  </w:r>
                  <w:r>
                    <w:rPr>
                      <w:rFonts w:hint="eastAsia" w:ascii="Times New Roman" w:hAnsi="Times New Roman" w:eastAsia="宋体" w:cs="Times New Roman"/>
                      <w:color w:val="auto"/>
                      <w:lang w:eastAsia="zh-CN"/>
                    </w:rPr>
                    <w:t>Ⅱ</w:t>
                  </w:r>
                  <w:r>
                    <w:rPr>
                      <w:rFonts w:ascii="Times New Roman" w:hAnsi="Times New Roman" w:eastAsia="宋体" w:cs="Times New Roman"/>
                      <w:color w:val="auto"/>
                      <w:lang w:eastAsia="zh-CN"/>
                    </w:rPr>
                    <w:t>类场技术要求，新建资源贮存场仅作为周转场使用，服务期满后应清空其中的磷石膏，并根据国家相关规定对清空后的场地进行环境调查和风险评估等。无害化贮存场的设计应符合GB 18599中</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类场技术要求，无害化处理后进入无害化贮存场的磷石膏应满足GB 18599中界定的第</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类一般工业固体废物的要求。符合GB 18599规定的现有</w:t>
                  </w:r>
                  <w:r>
                    <w:rPr>
                      <w:rFonts w:hint="eastAsia" w:ascii="Times New Roman" w:hAnsi="Times New Roman" w:eastAsia="宋体" w:cs="Times New Roman"/>
                      <w:color w:val="auto"/>
                      <w:lang w:eastAsia="zh-CN"/>
                    </w:rPr>
                    <w:t>Ⅰ</w:t>
                  </w:r>
                  <w:r>
                    <w:rPr>
                      <w:rFonts w:ascii="Times New Roman" w:hAnsi="Times New Roman" w:eastAsia="宋体" w:cs="Times New Roman"/>
                      <w:color w:val="auto"/>
                      <w:lang w:eastAsia="zh-CN"/>
                    </w:rPr>
                    <w:t>类场，只作为无害化贮存场使用，符合GB18599规定的现有</w:t>
                  </w:r>
                  <w:r>
                    <w:rPr>
                      <w:rFonts w:hint="eastAsia" w:ascii="Times New Roman" w:hAnsi="Times New Roman" w:eastAsia="宋体" w:cs="Times New Roman"/>
                      <w:color w:val="auto"/>
                      <w:lang w:eastAsia="zh-CN"/>
                    </w:rPr>
                    <w:t>Ⅱ</w:t>
                  </w:r>
                  <w:r>
                    <w:rPr>
                      <w:rFonts w:ascii="Times New Roman" w:hAnsi="Times New Roman" w:eastAsia="宋体" w:cs="Times New Roman"/>
                      <w:color w:val="auto"/>
                      <w:lang w:eastAsia="zh-CN"/>
                    </w:rPr>
                    <w:t>类场，可作为资源贮存场或无害化贮存场使用。</w:t>
                  </w:r>
                </w:p>
              </w:tc>
              <w:tc>
                <w:tcPr>
                  <w:tcW w:w="3331" w:type="dxa"/>
                  <w:vAlign w:val="center"/>
                </w:tcPr>
                <w:p w14:paraId="3532983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项目利用</w:t>
                  </w:r>
                  <w:r>
                    <w:rPr>
                      <w:rFonts w:hint="eastAsia" w:ascii="Times New Roman" w:hAnsi="Times New Roman" w:eastAsia="宋体" w:cs="Times New Roman"/>
                      <w:color w:val="auto"/>
                      <w:sz w:val="21"/>
                      <w:szCs w:val="21"/>
                    </w:rPr>
                    <w:t>改性</w:t>
                  </w:r>
                  <w:r>
                    <w:rPr>
                      <w:rFonts w:ascii="Times New Roman" w:hAnsi="Times New Roman" w:eastAsia="宋体" w:cs="Times New Roman"/>
                      <w:color w:val="auto"/>
                      <w:sz w:val="21"/>
                      <w:szCs w:val="21"/>
                    </w:rPr>
                    <w:t>磷石膏生产</w:t>
                  </w:r>
                  <w:r>
                    <w:rPr>
                      <w:rFonts w:hint="eastAsia" w:ascii="Times New Roman" w:hAnsi="Times New Roman" w:eastAsia="宋体" w:cs="Times New Roman"/>
                      <w:color w:val="auto"/>
                      <w:sz w:val="21"/>
                      <w:szCs w:val="21"/>
                    </w:rPr>
                    <w:t>路基材料，根据中化云龙有限公司提供的改性磷石膏浸出液检测报告（附件8），项目所用改性磷石膏满足GB18599中界定的第</w:t>
                  </w:r>
                  <w:r>
                    <w:rPr>
                      <w:rFonts w:hint="eastAsia" w:ascii="Times New Roman" w:hAnsi="Times New Roman" w:eastAsia="宋体" w:cs="Times New Roman"/>
                      <w:b w:val="0"/>
                      <w:bCs w:val="0"/>
                      <w:color w:val="auto"/>
                      <w:sz w:val="21"/>
                      <w:szCs w:val="21"/>
                      <w:lang w:eastAsia="zh-CN"/>
                    </w:rPr>
                    <w:t>Ⅰ</w:t>
                  </w:r>
                  <w:r>
                    <w:rPr>
                      <w:rFonts w:hint="eastAsia" w:ascii="Times New Roman" w:hAnsi="Times New Roman" w:eastAsia="宋体" w:cs="Times New Roman"/>
                      <w:color w:val="auto"/>
                      <w:sz w:val="21"/>
                      <w:szCs w:val="21"/>
                    </w:rPr>
                    <w:t>类一般工业固体废物的要求；项目</w:t>
                  </w:r>
                  <w:r>
                    <w:rPr>
                      <w:rFonts w:ascii="Times New Roman" w:hAnsi="Times New Roman" w:eastAsia="宋体" w:cs="Times New Roman"/>
                      <w:color w:val="auto"/>
                      <w:sz w:val="21"/>
                      <w:szCs w:val="21"/>
                      <w:lang w:eastAsia="zh-CN"/>
                    </w:rPr>
                    <w:t>生产区、原料堆场、成品仓库、废品仓库</w:t>
                  </w:r>
                  <w:r>
                    <w:rPr>
                      <w:rFonts w:hint="eastAsia" w:ascii="Times New Roman" w:hAnsi="Times New Roman" w:eastAsia="宋体" w:cs="Times New Roman"/>
                      <w:color w:val="auto"/>
                      <w:sz w:val="21"/>
                      <w:szCs w:val="21"/>
                      <w:lang w:val="en-US" w:eastAsia="zh-CN"/>
                    </w:rPr>
                    <w:t>均</w:t>
                  </w:r>
                  <w:r>
                    <w:rPr>
                      <w:rFonts w:hint="eastAsia" w:ascii="Times New Roman" w:hAnsi="Times New Roman" w:eastAsia="宋体" w:cs="Times New Roman"/>
                      <w:color w:val="auto"/>
                      <w:sz w:val="21"/>
                      <w:szCs w:val="21"/>
                    </w:rPr>
                    <w:t>已</w:t>
                  </w:r>
                  <w:r>
                    <w:rPr>
                      <w:rFonts w:hint="eastAsia" w:ascii="Times New Roman" w:hAnsi="Times New Roman" w:eastAsia="宋体" w:cs="Times New Roman"/>
                      <w:color w:val="auto"/>
                      <w:sz w:val="21"/>
                      <w:szCs w:val="21"/>
                      <w:lang w:val="en-US" w:eastAsia="zh-CN"/>
                    </w:rPr>
                    <w:t>按照</w:t>
                  </w:r>
                  <w:r>
                    <w:rPr>
                      <w:rFonts w:ascii="Times New Roman" w:hAnsi="Times New Roman" w:eastAsia="宋体" w:cs="Times New Roman"/>
                      <w:color w:val="auto"/>
                      <w:sz w:val="21"/>
                      <w:szCs w:val="21"/>
                    </w:rPr>
                    <w:t>GB 18599中</w:t>
                  </w:r>
                  <w:r>
                    <w:rPr>
                      <w:rFonts w:hint="eastAsia" w:ascii="Times New Roman" w:hAnsi="Times New Roman" w:eastAsia="宋体" w:cs="Times New Roman"/>
                      <w:color w:val="auto"/>
                      <w:sz w:val="21"/>
                      <w:szCs w:val="21"/>
                      <w:lang w:eastAsia="zh-CN"/>
                    </w:rPr>
                    <w:t>Ⅱ</w:t>
                  </w:r>
                  <w:r>
                    <w:rPr>
                      <w:rFonts w:ascii="Times New Roman" w:hAnsi="Times New Roman" w:eastAsia="宋体" w:cs="Times New Roman"/>
                      <w:color w:val="auto"/>
                      <w:sz w:val="21"/>
                      <w:szCs w:val="21"/>
                    </w:rPr>
                    <w:t>类场技术要求</w:t>
                  </w:r>
                  <w:r>
                    <w:rPr>
                      <w:rFonts w:hint="eastAsia" w:ascii="Times New Roman" w:hAnsi="Times New Roman" w:eastAsia="宋体" w:cs="Times New Roman"/>
                      <w:color w:val="auto"/>
                      <w:sz w:val="21"/>
                      <w:szCs w:val="21"/>
                    </w:rPr>
                    <w:t>进行设计。</w:t>
                  </w:r>
                </w:p>
              </w:tc>
              <w:tc>
                <w:tcPr>
                  <w:tcW w:w="710" w:type="dxa"/>
                  <w:vAlign w:val="center"/>
                </w:tcPr>
                <w:p w14:paraId="7105815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3659483D">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综上所述，项目建设符合《昆明市磷石膏综合利用环境污染防治政策指引（试行）》的相关要求。</w:t>
            </w:r>
          </w:p>
          <w:p w14:paraId="1A352BB2">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w:t>
            </w:r>
            <w:r>
              <w:rPr>
                <w:rFonts w:hint="eastAsia" w:ascii="Times New Roman" w:hAnsi="Times New Roman" w:cs="Times New Roman"/>
                <w:b/>
                <w:color w:val="auto"/>
                <w:lang w:val="en-US" w:eastAsia="zh-CN"/>
              </w:rPr>
              <w:t>1</w:t>
            </w:r>
            <w:r>
              <w:rPr>
                <w:rFonts w:ascii="Times New Roman" w:hAnsi="Times New Roman" w:eastAsia="宋体" w:cs="Times New Roman"/>
                <w:b/>
                <w:color w:val="auto"/>
              </w:rPr>
              <w:t>、</w:t>
            </w:r>
            <w:r>
              <w:rPr>
                <w:rFonts w:hint="eastAsia" w:ascii="Times New Roman" w:hAnsi="Times New Roman" w:eastAsia="宋体" w:cs="Times New Roman"/>
                <w:b/>
                <w:color w:val="auto"/>
              </w:rPr>
              <w:t>与《昆明市磷石膏无害化处理技术规程（试行）》的符合性分析</w:t>
            </w:r>
          </w:p>
          <w:p w14:paraId="04DA15D9">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cs="Times New Roman"/>
                <w:b/>
                <w:color w:val="auto"/>
                <w:sz w:val="24"/>
                <w:lang w:val="en-US" w:eastAsia="zh-CN"/>
              </w:rPr>
              <w:t>20</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《昆明市磷石膏无害化处理技术规程（试行）》</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88"/>
              <w:gridCol w:w="3917"/>
              <w:gridCol w:w="685"/>
            </w:tblGrid>
            <w:tr w14:paraId="7AD3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3D84D29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917" w:type="dxa"/>
                  <w:vAlign w:val="center"/>
                </w:tcPr>
                <w:p w14:paraId="2B8EC90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1FC244B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A57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320CC9F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 总体要求</w:t>
                  </w:r>
                </w:p>
                <w:p w14:paraId="2FADA1A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4.1 无害化处理工艺应减少二次污染、注重节能降耗、节水减排。同时，应减轻对操作人员安全的威胁和对职业健康的影响。</w:t>
                  </w:r>
                </w:p>
                <w:p w14:paraId="331EC2EE">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4.2 无害化处理设施的选址需符合国家、地方相关标准的要求。</w:t>
                  </w:r>
                </w:p>
                <w:p w14:paraId="3E2900B3">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4.3 建设磷石膏无害化处理设施，应当依法进行环境影响评价，并遵守国家有关建设项目环境保护管理的规定。环境影响评价文件确定需要配套建设的污染防治设施应当与主体工程同时设计、同时施工、同时投入使用。</w:t>
                  </w:r>
                </w:p>
                <w:p w14:paraId="460C9D82">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4.4 无害化处理过程中产生的废水、废气等各种污染物的排放应符合国家发布的污染物排放标准及限值要求；地方污染物排放标准、环境影响评价批复文件或排污许可有更严格要求的，从其规定。</w:t>
                  </w:r>
                </w:p>
              </w:tc>
              <w:tc>
                <w:tcPr>
                  <w:tcW w:w="3917" w:type="dxa"/>
                  <w:vAlign w:val="center"/>
                </w:tcPr>
                <w:p w14:paraId="6D034CD4">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不涉及磷石膏预处理，</w:t>
                  </w:r>
                  <w:r>
                    <w:rPr>
                      <w:rFonts w:hint="eastAsia" w:ascii="Times New Roman" w:hAnsi="Times New Roman" w:eastAsia="宋体" w:cs="Times New Roman"/>
                      <w:color w:val="auto"/>
                      <w:sz w:val="21"/>
                      <w:szCs w:val="21"/>
                    </w:rPr>
                    <w:t>利用的改性磷石膏来源于中化云龙有限公司90万吨/年粉状改性磷石膏项目，其于2023年取得昆明市生态环境局寻甸分局批复（昆生环寻复〔2023〕27号）；于2023年12月29日验收。于2023年11月23日取得昆明市生态环境局颁发的排污许可证，证书编号：91530129763882136J001Q。因此</w:t>
                  </w:r>
                  <w:r>
                    <w:rPr>
                      <w:rFonts w:hint="eastAsia" w:ascii="Times New Roman" w:hAnsi="Times New Roman" w:eastAsia="宋体" w:cs="Times New Roman"/>
                      <w:color w:val="auto"/>
                      <w:sz w:val="21"/>
                      <w:szCs w:val="21"/>
                      <w:lang w:val="en-US" w:eastAsia="zh-CN"/>
                    </w:rPr>
                    <w:t>中化云龙</w:t>
                  </w:r>
                  <w:r>
                    <w:rPr>
                      <w:rFonts w:hint="eastAsia" w:ascii="Times New Roman" w:hAnsi="Times New Roman" w:eastAsia="宋体" w:cs="Times New Roman"/>
                      <w:color w:val="auto"/>
                      <w:sz w:val="21"/>
                      <w:szCs w:val="21"/>
                    </w:rPr>
                    <w:t>的磷石膏预处理设施选址、预处理废气废水排放符合国家、地方相关标准的要求，且满足“三同时”要求。</w:t>
                  </w:r>
                </w:p>
              </w:tc>
              <w:tc>
                <w:tcPr>
                  <w:tcW w:w="685" w:type="dxa"/>
                  <w:vAlign w:val="center"/>
                </w:tcPr>
                <w:p w14:paraId="32A7619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14A1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88" w:type="dxa"/>
                  <w:vAlign w:val="center"/>
                </w:tcPr>
                <w:p w14:paraId="762E4B4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6磷石膏无害化处理的控制指标</w:t>
                  </w:r>
                </w:p>
                <w:p w14:paraId="690B72B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6.1控制指标及限值</w:t>
                  </w:r>
                </w:p>
                <w:p w14:paraId="773C6A5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无害化处理后的磷石膏按照7.1.3得到的浸出液，其任何一种特征污染物浓度均不应超过GB8978最高允许排放浓度（第二类污染物最高允许排放浓度按照一级标准执行）。主要控制指标要求见下表。</w:t>
                  </w:r>
                </w:p>
                <w:tbl>
                  <w:tblPr>
                    <w:tblStyle w:val="20"/>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894"/>
                    <w:gridCol w:w="1041"/>
                  </w:tblGrid>
                  <w:tr w14:paraId="183F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3C8444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控制指标</w:t>
                        </w:r>
                      </w:p>
                    </w:tc>
                    <w:tc>
                      <w:tcPr>
                        <w:tcW w:w="1255" w:type="pct"/>
                      </w:tcPr>
                      <w:p w14:paraId="14EF316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单位</w:t>
                        </w:r>
                      </w:p>
                    </w:tc>
                    <w:tc>
                      <w:tcPr>
                        <w:tcW w:w="1462" w:type="pct"/>
                      </w:tcPr>
                      <w:p w14:paraId="37461FD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限值</w:t>
                        </w:r>
                      </w:p>
                    </w:tc>
                  </w:tr>
                  <w:tr w14:paraId="778E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56AB4E4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w:t>
                        </w:r>
                      </w:p>
                    </w:tc>
                    <w:tc>
                      <w:tcPr>
                        <w:tcW w:w="1255" w:type="pct"/>
                      </w:tcPr>
                      <w:p w14:paraId="04E7CFF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462" w:type="pct"/>
                      </w:tcPr>
                      <w:p w14:paraId="4C230BF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6~9</w:t>
                        </w:r>
                      </w:p>
                    </w:tc>
                  </w:tr>
                  <w:tr w14:paraId="067B5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2E8B18A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氟化物(以F计)</w:t>
                        </w:r>
                      </w:p>
                    </w:tc>
                    <w:tc>
                      <w:tcPr>
                        <w:tcW w:w="1255" w:type="pct"/>
                      </w:tcPr>
                      <w:p w14:paraId="293EB6B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65F516D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2BEDD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45698CB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磷酸盐(以P计)</w:t>
                        </w:r>
                      </w:p>
                    </w:tc>
                    <w:tc>
                      <w:tcPr>
                        <w:tcW w:w="1255" w:type="pct"/>
                      </w:tcPr>
                      <w:p w14:paraId="7D47D46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47ABFBF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39501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5EFBE41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总锌</w:t>
                        </w:r>
                      </w:p>
                    </w:tc>
                    <w:tc>
                      <w:tcPr>
                        <w:tcW w:w="1255" w:type="pct"/>
                      </w:tcPr>
                      <w:p w14:paraId="006935A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5F3CC4A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r>
                  <w:tr w14:paraId="1FD99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4F90604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总汞</w:t>
                        </w:r>
                      </w:p>
                    </w:tc>
                    <w:tc>
                      <w:tcPr>
                        <w:tcW w:w="1255" w:type="pct"/>
                      </w:tcPr>
                      <w:p w14:paraId="70CB63B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45BDDD2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≤0.05</w:t>
                        </w:r>
                      </w:p>
                    </w:tc>
                  </w:tr>
                  <w:tr w14:paraId="2260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788D850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总镉</w:t>
                        </w:r>
                      </w:p>
                    </w:tc>
                    <w:tc>
                      <w:tcPr>
                        <w:tcW w:w="1255" w:type="pct"/>
                      </w:tcPr>
                      <w:p w14:paraId="6835BEB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0E1D2C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08B8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2E6189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总砷</w:t>
                        </w:r>
                      </w:p>
                    </w:tc>
                    <w:tc>
                      <w:tcPr>
                        <w:tcW w:w="1255" w:type="pct"/>
                      </w:tcPr>
                      <w:p w14:paraId="304AA05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39F50B2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3E52B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90FA1B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总铅</w:t>
                        </w:r>
                      </w:p>
                    </w:tc>
                    <w:tc>
                      <w:tcPr>
                        <w:tcW w:w="1255" w:type="pct"/>
                      </w:tcPr>
                      <w:p w14:paraId="27BC1CD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6ABF7E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7752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07407E8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总镍</w:t>
                        </w:r>
                      </w:p>
                    </w:tc>
                    <w:tc>
                      <w:tcPr>
                        <w:tcW w:w="1255" w:type="pct"/>
                      </w:tcPr>
                      <w:p w14:paraId="5042189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12B6511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r>
                  <w:tr w14:paraId="64B4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AC9B43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总铬</w:t>
                        </w:r>
                      </w:p>
                    </w:tc>
                    <w:tc>
                      <w:tcPr>
                        <w:tcW w:w="1255" w:type="pct"/>
                      </w:tcPr>
                      <w:p w14:paraId="67147B7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17D1BFB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r>
                  <w:tr w14:paraId="2E02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6D7DAA8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总铍</w:t>
                        </w:r>
                      </w:p>
                    </w:tc>
                    <w:tc>
                      <w:tcPr>
                        <w:tcW w:w="1255" w:type="pct"/>
                      </w:tcPr>
                      <w:p w14:paraId="09045A2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07038B4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≤0.005</w:t>
                        </w:r>
                      </w:p>
                    </w:tc>
                  </w:tr>
                  <w:tr w14:paraId="059D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37F24B2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总银</w:t>
                        </w:r>
                      </w:p>
                    </w:tc>
                    <w:tc>
                      <w:tcPr>
                        <w:tcW w:w="1255" w:type="pct"/>
                      </w:tcPr>
                      <w:p w14:paraId="6539E9E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9CE97A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r w14:paraId="4A3C8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1" w:type="pct"/>
                      </w:tcPr>
                      <w:p w14:paraId="17ECBD8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六价铬</w:t>
                        </w:r>
                      </w:p>
                    </w:tc>
                    <w:tc>
                      <w:tcPr>
                        <w:tcW w:w="1255" w:type="pct"/>
                      </w:tcPr>
                      <w:p w14:paraId="702FB30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462" w:type="pct"/>
                      </w:tcPr>
                      <w:p w14:paraId="70F38B8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r>
                </w:tbl>
                <w:p w14:paraId="0E83F390">
                  <w:pPr>
                    <w:pStyle w:val="7"/>
                    <w:widowControl w:val="0"/>
                    <w:spacing w:line="480" w:lineRule="atLeast"/>
                    <w:rPr>
                      <w:rFonts w:ascii="Times New Roman" w:hAnsi="Times New Roman" w:eastAsia="宋体" w:cs="Times New Roman"/>
                      <w:color w:val="auto"/>
                      <w:lang w:eastAsia="zh-CN"/>
                    </w:rPr>
                  </w:pPr>
                </w:p>
              </w:tc>
              <w:tc>
                <w:tcPr>
                  <w:tcW w:w="3917" w:type="dxa"/>
                  <w:vAlign w:val="center"/>
                </w:tcPr>
                <w:p w14:paraId="77238F76">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根据中化云龙有限公司提供的改性磷石膏浸出液检测报告（附件8</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lang w:val="en-US" w:eastAsia="zh-CN"/>
                    </w:rPr>
                    <w:t>YNFY2025092301-1</w:t>
                  </w:r>
                  <w:r>
                    <w:rPr>
                      <w:rFonts w:hint="eastAsia" w:ascii="Times New Roman" w:hAnsi="Times New Roman" w:eastAsia="宋体" w:cs="Times New Roman"/>
                      <w:color w:val="auto"/>
                      <w:sz w:val="21"/>
                      <w:szCs w:val="21"/>
                    </w:rPr>
                    <w:t>），具体数值见下表。</w:t>
                  </w:r>
                </w:p>
                <w:tbl>
                  <w:tblPr>
                    <w:tblStyle w:val="2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9"/>
                    <w:gridCol w:w="723"/>
                    <w:gridCol w:w="1278"/>
                  </w:tblGrid>
                  <w:tr w14:paraId="2880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ABEF3F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控制指标</w:t>
                        </w:r>
                      </w:p>
                    </w:tc>
                    <w:tc>
                      <w:tcPr>
                        <w:tcW w:w="979" w:type="pct"/>
                        <w:vAlign w:val="center"/>
                      </w:tcPr>
                      <w:p w14:paraId="655B35F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单位</w:t>
                        </w:r>
                      </w:p>
                    </w:tc>
                    <w:tc>
                      <w:tcPr>
                        <w:tcW w:w="1731" w:type="pct"/>
                        <w:vAlign w:val="center"/>
                      </w:tcPr>
                      <w:p w14:paraId="65BE892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结果</w:t>
                        </w:r>
                      </w:p>
                    </w:tc>
                  </w:tr>
                  <w:tr w14:paraId="365B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D85565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w:t>
                        </w:r>
                      </w:p>
                    </w:tc>
                    <w:tc>
                      <w:tcPr>
                        <w:tcW w:w="979" w:type="pct"/>
                        <w:vAlign w:val="center"/>
                      </w:tcPr>
                      <w:p w14:paraId="41E8E88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731" w:type="pct"/>
                        <w:vAlign w:val="center"/>
                      </w:tcPr>
                      <w:p w14:paraId="3B0D79F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8.21</w:t>
                        </w:r>
                      </w:p>
                    </w:tc>
                  </w:tr>
                  <w:tr w14:paraId="79876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7E0966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氟化物(以F计)</w:t>
                        </w:r>
                      </w:p>
                    </w:tc>
                    <w:tc>
                      <w:tcPr>
                        <w:tcW w:w="979" w:type="pct"/>
                        <w:vAlign w:val="center"/>
                      </w:tcPr>
                      <w:p w14:paraId="52F1ECE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5EFEE64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3.47</w:t>
                        </w:r>
                      </w:p>
                    </w:tc>
                  </w:tr>
                  <w:tr w14:paraId="68AAA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7AD3344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磷酸盐(以P计)</w:t>
                        </w:r>
                      </w:p>
                    </w:tc>
                    <w:tc>
                      <w:tcPr>
                        <w:tcW w:w="979" w:type="pct"/>
                        <w:vAlign w:val="center"/>
                      </w:tcPr>
                      <w:p w14:paraId="067CE7F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106B018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0.03</w:t>
                        </w:r>
                      </w:p>
                    </w:tc>
                  </w:tr>
                  <w:tr w14:paraId="56B33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0D4BFF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总锌</w:t>
                        </w:r>
                      </w:p>
                    </w:tc>
                    <w:tc>
                      <w:tcPr>
                        <w:tcW w:w="979" w:type="pct"/>
                        <w:vAlign w:val="center"/>
                      </w:tcPr>
                      <w:p w14:paraId="43C7339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3709005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&lt;0.01</w:t>
                        </w:r>
                      </w:p>
                    </w:tc>
                  </w:tr>
                  <w:tr w14:paraId="7E38E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EB49F3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总汞</w:t>
                        </w:r>
                      </w:p>
                    </w:tc>
                    <w:tc>
                      <w:tcPr>
                        <w:tcW w:w="979" w:type="pct"/>
                        <w:vAlign w:val="center"/>
                      </w:tcPr>
                      <w:p w14:paraId="7AA8142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5C868EC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4.76×10</w:t>
                        </w:r>
                        <w:r>
                          <w:rPr>
                            <w:rFonts w:hint="eastAsia" w:ascii="Times New Roman" w:hAnsi="Times New Roman" w:eastAsia="宋体" w:cs="Times New Roman"/>
                            <w:color w:val="auto"/>
                            <w:vertAlign w:val="superscript"/>
                            <w:lang w:eastAsia="zh-CN"/>
                          </w:rPr>
                          <w:t>-3</w:t>
                        </w:r>
                      </w:p>
                    </w:tc>
                  </w:tr>
                  <w:tr w14:paraId="3DC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31A80BC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总镉</w:t>
                        </w:r>
                      </w:p>
                    </w:tc>
                    <w:tc>
                      <w:tcPr>
                        <w:tcW w:w="979" w:type="pct"/>
                        <w:vAlign w:val="center"/>
                      </w:tcPr>
                      <w:p w14:paraId="0C7D46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F5D40C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&lt;1.2×10</w:t>
                        </w:r>
                        <w:r>
                          <w:rPr>
                            <w:rFonts w:hint="eastAsia" w:ascii="Times New Roman" w:hAnsi="Times New Roman" w:eastAsia="宋体" w:cs="Times New Roman"/>
                            <w:color w:val="auto"/>
                            <w:vertAlign w:val="superscript"/>
                            <w:lang w:eastAsia="zh-CN"/>
                          </w:rPr>
                          <w:t>-3</w:t>
                        </w:r>
                      </w:p>
                    </w:tc>
                  </w:tr>
                  <w:tr w14:paraId="6793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C8301F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总砷</w:t>
                        </w:r>
                      </w:p>
                    </w:tc>
                    <w:tc>
                      <w:tcPr>
                        <w:tcW w:w="979" w:type="pct"/>
                        <w:vAlign w:val="center"/>
                      </w:tcPr>
                      <w:p w14:paraId="6E0BFCB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6E9EC11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2.10×10</w:t>
                        </w:r>
                        <w:r>
                          <w:rPr>
                            <w:rFonts w:hint="eastAsia" w:ascii="Times New Roman" w:hAnsi="Times New Roman" w:eastAsia="宋体" w:cs="Times New Roman"/>
                            <w:color w:val="auto"/>
                            <w:vertAlign w:val="superscript"/>
                            <w:lang w:eastAsia="zh-CN"/>
                          </w:rPr>
                          <w:t>-2</w:t>
                        </w:r>
                      </w:p>
                    </w:tc>
                  </w:tr>
                  <w:tr w14:paraId="6035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E9EA84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总铅</w:t>
                        </w:r>
                      </w:p>
                    </w:tc>
                    <w:tc>
                      <w:tcPr>
                        <w:tcW w:w="979" w:type="pct"/>
                        <w:vAlign w:val="center"/>
                      </w:tcPr>
                      <w:p w14:paraId="6D339444">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01DF41BD">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&lt;4.2×10</w:t>
                        </w:r>
                        <w:r>
                          <w:rPr>
                            <w:rFonts w:hint="eastAsia" w:ascii="Times New Roman" w:hAnsi="Times New Roman" w:eastAsia="宋体" w:cs="Times New Roman"/>
                            <w:color w:val="auto"/>
                            <w:vertAlign w:val="superscript"/>
                            <w:lang w:eastAsia="zh-CN"/>
                          </w:rPr>
                          <w:t>-3</w:t>
                        </w:r>
                      </w:p>
                    </w:tc>
                  </w:tr>
                  <w:tr w14:paraId="41DA9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1D07721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总镍</w:t>
                        </w:r>
                      </w:p>
                    </w:tc>
                    <w:tc>
                      <w:tcPr>
                        <w:tcW w:w="979" w:type="pct"/>
                        <w:vAlign w:val="center"/>
                      </w:tcPr>
                      <w:p w14:paraId="74ADE69C">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03C1011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3D1F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3CB0C0D1">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总铬</w:t>
                        </w:r>
                      </w:p>
                    </w:tc>
                    <w:tc>
                      <w:tcPr>
                        <w:tcW w:w="979" w:type="pct"/>
                        <w:vAlign w:val="center"/>
                      </w:tcPr>
                      <w:p w14:paraId="4D3C605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B02175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&lt;0.02</w:t>
                        </w:r>
                      </w:p>
                    </w:tc>
                  </w:tr>
                  <w:tr w14:paraId="7D38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6492B96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总铍</w:t>
                        </w:r>
                      </w:p>
                    </w:tc>
                    <w:tc>
                      <w:tcPr>
                        <w:tcW w:w="979" w:type="pct"/>
                        <w:vAlign w:val="center"/>
                      </w:tcPr>
                      <w:p w14:paraId="50B896E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107CD87">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&lt;7×10</w:t>
                        </w:r>
                        <w:r>
                          <w:rPr>
                            <w:rFonts w:hint="eastAsia" w:ascii="Times New Roman" w:hAnsi="Times New Roman" w:eastAsia="宋体" w:cs="Times New Roman"/>
                            <w:color w:val="auto"/>
                            <w:vertAlign w:val="superscript"/>
                            <w:lang w:eastAsia="zh-CN"/>
                          </w:rPr>
                          <w:t>-4</w:t>
                        </w:r>
                      </w:p>
                    </w:tc>
                  </w:tr>
                  <w:tr w14:paraId="0337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424922D9">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总银</w:t>
                        </w:r>
                      </w:p>
                    </w:tc>
                    <w:tc>
                      <w:tcPr>
                        <w:tcW w:w="979" w:type="pct"/>
                        <w:vAlign w:val="center"/>
                      </w:tcPr>
                      <w:p w14:paraId="40AF8E96">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73F215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7.8×10</w:t>
                        </w:r>
                        <w:r>
                          <w:rPr>
                            <w:rFonts w:hint="eastAsia" w:ascii="Times New Roman" w:hAnsi="Times New Roman" w:eastAsia="宋体" w:cs="Times New Roman"/>
                            <w:color w:val="auto"/>
                            <w:vertAlign w:val="superscript"/>
                            <w:lang w:eastAsia="zh-CN"/>
                          </w:rPr>
                          <w:t>-3</w:t>
                        </w:r>
                      </w:p>
                    </w:tc>
                  </w:tr>
                  <w:tr w14:paraId="3454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88" w:type="pct"/>
                        <w:vAlign w:val="center"/>
                      </w:tcPr>
                      <w:p w14:paraId="0199CB4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六价铬</w:t>
                        </w:r>
                      </w:p>
                    </w:tc>
                    <w:tc>
                      <w:tcPr>
                        <w:tcW w:w="979" w:type="pct"/>
                        <w:vAlign w:val="center"/>
                      </w:tcPr>
                      <w:p w14:paraId="6C764603">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mg/L</w:t>
                        </w:r>
                      </w:p>
                    </w:tc>
                    <w:tc>
                      <w:tcPr>
                        <w:tcW w:w="1731" w:type="pct"/>
                        <w:vAlign w:val="center"/>
                      </w:tcPr>
                      <w:p w14:paraId="2FFD613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&lt;0.004</w:t>
                        </w:r>
                      </w:p>
                    </w:tc>
                  </w:tr>
                </w:tbl>
                <w:p w14:paraId="45C4EB2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根据上表数据，本项目使用的改性磷石膏可以满足控制指标限值。</w:t>
                  </w:r>
                </w:p>
              </w:tc>
              <w:tc>
                <w:tcPr>
                  <w:tcW w:w="685" w:type="dxa"/>
                  <w:vAlign w:val="center"/>
                </w:tcPr>
                <w:p w14:paraId="2E7D368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09CE3846">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综上所述，项目建设符合《昆明市磷石膏无害化处理技术规程（试行）》的相关要求。</w:t>
            </w:r>
          </w:p>
          <w:p w14:paraId="4751915F">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eastAsia="宋体" w:cs="Times New Roman"/>
                <w:b/>
                <w:color w:val="auto"/>
              </w:rPr>
              <w:t>2</w:t>
            </w:r>
            <w:r>
              <w:rPr>
                <w:rFonts w:hint="eastAsia" w:ascii="Times New Roman" w:hAnsi="Times New Roman" w:cs="Times New Roman"/>
                <w:b/>
                <w:color w:val="auto"/>
                <w:lang w:val="en-US" w:eastAsia="zh-CN"/>
              </w:rPr>
              <w:t>2</w:t>
            </w:r>
            <w:r>
              <w:rPr>
                <w:rFonts w:ascii="Times New Roman" w:hAnsi="Times New Roman" w:eastAsia="宋体" w:cs="Times New Roman"/>
                <w:b/>
                <w:color w:val="auto"/>
              </w:rPr>
              <w:t>、</w:t>
            </w:r>
            <w:r>
              <w:rPr>
                <w:rFonts w:hint="eastAsia" w:ascii="Times New Roman" w:hAnsi="Times New Roman" w:eastAsia="宋体" w:cs="Times New Roman"/>
                <w:b/>
                <w:color w:val="auto"/>
              </w:rPr>
              <w:t>与《云南寻甸产业园区外工业项目管理工作方案的通知》（寻政办发〔2024〕34号）的符合性分析</w:t>
            </w:r>
          </w:p>
          <w:p w14:paraId="1F42CF57">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w:t>
            </w:r>
            <w:r>
              <w:rPr>
                <w:rFonts w:hint="eastAsia" w:cs="Times New Roman"/>
                <w:b/>
                <w:color w:val="auto"/>
                <w:sz w:val="24"/>
                <w:lang w:val="en-US" w:eastAsia="zh-CN"/>
              </w:rPr>
              <w:t>1</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eastAsia="zh-CN"/>
              </w:rPr>
              <w:t>《云南寻甸产业园区外工业项目管理工作方案的通知》（寻政办发〔2024〕34号）</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4"/>
              <w:gridCol w:w="3481"/>
              <w:gridCol w:w="685"/>
            </w:tblGrid>
            <w:tr w14:paraId="2F359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611910A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481" w:type="dxa"/>
                  <w:vAlign w:val="center"/>
                </w:tcPr>
                <w:p w14:paraId="19A18F0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65F97CC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7172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36B6B85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一、总体要求</w:t>
                  </w:r>
                </w:p>
                <w:p w14:paraId="1ACB54C0">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对达不到入园条件和标准的农副产</w:t>
                  </w:r>
                  <w:r>
                    <w:rPr>
                      <w:rFonts w:ascii="Times New Roman" w:hAnsi="Times New Roman" w:eastAsia="宋体" w:cs="Times New Roman"/>
                      <w:color w:val="auto"/>
                      <w:sz w:val="21"/>
                      <w:szCs w:val="21"/>
                    </w:rPr>
                    <w:t>品加工、一般加工制造类项目或预拌混凝土搅拌站等不宜入园的特殊行业，须经县人民政府研究同意，经县科技和工业信息化局备案后，按程序办理其他有关审批手续。县科技和工业信息化局应按相关程序报市工业和信息化局备案。</w:t>
                  </w:r>
                  <w:r>
                    <w:rPr>
                      <w:rFonts w:hint="eastAsia" w:ascii="Times New Roman" w:hAnsi="Times New Roman" w:eastAsia="宋体" w:cs="Times New Roman"/>
                      <w:color w:val="auto"/>
                      <w:sz w:val="21"/>
                      <w:szCs w:val="21"/>
                    </w:rPr>
                    <w:t>......项目用地应为工业用地，不同项目不能在同一选址建设。</w:t>
                  </w:r>
                </w:p>
              </w:tc>
              <w:tc>
                <w:tcPr>
                  <w:tcW w:w="3481" w:type="dxa"/>
                  <w:vAlign w:val="center"/>
                </w:tcPr>
                <w:p w14:paraId="057F0D7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本项目属于</w:t>
                  </w:r>
                  <w:r>
                    <w:rPr>
                      <w:rFonts w:ascii="Times New Roman" w:hAnsi="Times New Roman" w:eastAsia="宋体" w:cs="Times New Roman"/>
                      <w:color w:val="auto"/>
                      <w:sz w:val="21"/>
                      <w:szCs w:val="21"/>
                    </w:rPr>
                    <w:t>一般加工制造类项目</w:t>
                  </w:r>
                  <w:r>
                    <w:rPr>
                      <w:rFonts w:hint="eastAsia" w:ascii="Times New Roman" w:hAnsi="Times New Roman" w:eastAsia="宋体" w:cs="Times New Roman"/>
                      <w:color w:val="auto"/>
                      <w:sz w:val="21"/>
                      <w:szCs w:val="21"/>
                    </w:rPr>
                    <w:t>，已取得寻甸回族彝族自治县科学技术和工业信息化局出具选址批复（附件7），同意本项目的选址；根据寻甸回族彝族自治县科学技术和工业信息化局出具选址批复（附件7）及寻甸回族彝族自治县自然资源局出具的查询结果（附件1</w:t>
                  </w:r>
                  <w:r>
                    <w:rPr>
                      <w:rFonts w:hint="eastAsia" w:ascii="Times New Roman" w:hAnsi="Times New Roman" w:cs="Times New Roman"/>
                      <w:color w:val="auto"/>
                      <w:sz w:val="21"/>
                      <w:szCs w:val="21"/>
                      <w:lang w:val="en-US" w:eastAsia="zh-CN"/>
                    </w:rPr>
                    <w:t>6</w:t>
                  </w:r>
                  <w:r>
                    <w:rPr>
                      <w:rFonts w:hint="eastAsia" w:ascii="Times New Roman" w:hAnsi="Times New Roman" w:eastAsia="宋体" w:cs="Times New Roman"/>
                      <w:color w:val="auto"/>
                      <w:sz w:val="21"/>
                      <w:szCs w:val="21"/>
                    </w:rPr>
                    <w:t>），项目租用的土地为云南省昆明市寻甸县金所街道办事处泽铁社区居委会栽开村 083 号工业用地，属于二类工业用地，本项目建设用地为现有工业用地。</w:t>
                  </w:r>
                </w:p>
              </w:tc>
              <w:tc>
                <w:tcPr>
                  <w:tcW w:w="685" w:type="dxa"/>
                  <w:vAlign w:val="center"/>
                </w:tcPr>
                <w:p w14:paraId="76352FA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5C2C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61FB79E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二、园区外工业项目类别</w:t>
                  </w:r>
                </w:p>
                <w:p w14:paraId="077FAFF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（一）农副产品初加工项目；</w:t>
                  </w:r>
                </w:p>
                <w:p w14:paraId="488D660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（二）原材料采用本地矿产、林产资源的制造业项目；</w:t>
                  </w:r>
                </w:p>
                <w:p w14:paraId="7390CEB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（三）矿产资源开采项目；</w:t>
                  </w:r>
                </w:p>
                <w:p w14:paraId="15576C6C">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（四）风力发电、光伏发电等新能源发电和储能项目；</w:t>
                  </w:r>
                </w:p>
                <w:p w14:paraId="55E71D3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（五）免烧砖、石料、混凝土搅拌站等建材生产项目；</w:t>
                  </w:r>
                </w:p>
                <w:p w14:paraId="1E58806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（六）农业农村经济建设、社会发展需要的村集体经济项目；</w:t>
                  </w:r>
                </w:p>
                <w:p w14:paraId="4441C1F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（七）昆发〔</w:t>
                  </w:r>
                  <w:r>
                    <w:rPr>
                      <w:rFonts w:hint="eastAsia" w:ascii="Times New Roman" w:hAnsi="Times New Roman" w:eastAsia="宋体" w:cs="Times New Roman"/>
                      <w:color w:val="auto"/>
                      <w:sz w:val="21"/>
                      <w:szCs w:val="21"/>
                    </w:rPr>
                    <w:t>2021</w:t>
                  </w:r>
                  <w:r>
                    <w:rPr>
                      <w:rFonts w:ascii="Times New Roman" w:hAnsi="Times New Roman" w:eastAsia="宋体" w:cs="Times New Roman"/>
                      <w:color w:val="auto"/>
                      <w:sz w:val="21"/>
                      <w:szCs w:val="21"/>
                    </w:rPr>
                    <w:t>〕12号文件印发前已建成的园区外工业企业进行的技改、转型或租赁建设的制造业项目；</w:t>
                  </w:r>
                </w:p>
                <w:p w14:paraId="29BAC11A">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（八）其他达不到入园条件和标准的手工业和一般加工制造类项目。</w:t>
                  </w:r>
                </w:p>
                <w:p w14:paraId="7C8EC7E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（九）经县人民政府研究同意的其他工业项目。</w:t>
                  </w:r>
                </w:p>
              </w:tc>
              <w:tc>
                <w:tcPr>
                  <w:tcW w:w="3481" w:type="dxa"/>
                  <w:vAlign w:val="center"/>
                </w:tcPr>
                <w:p w14:paraId="0C97D15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本项目属于</w:t>
                  </w:r>
                  <w:r>
                    <w:rPr>
                      <w:rFonts w:ascii="Times New Roman" w:hAnsi="Times New Roman" w:eastAsia="宋体" w:cs="Times New Roman"/>
                      <w:color w:val="auto"/>
                      <w:sz w:val="21"/>
                      <w:szCs w:val="21"/>
                    </w:rPr>
                    <w:t>达不到入园条件和标准的一般加工制造类项目</w:t>
                  </w:r>
                  <w:r>
                    <w:rPr>
                      <w:rFonts w:hint="eastAsia" w:ascii="Times New Roman" w:hAnsi="Times New Roman" w:eastAsia="宋体" w:cs="Times New Roman"/>
                      <w:color w:val="auto"/>
                      <w:sz w:val="21"/>
                      <w:szCs w:val="21"/>
                    </w:rPr>
                    <w:t>。</w:t>
                  </w:r>
                </w:p>
              </w:tc>
              <w:tc>
                <w:tcPr>
                  <w:tcW w:w="685" w:type="dxa"/>
                  <w:vAlign w:val="center"/>
                </w:tcPr>
                <w:p w14:paraId="3747E515">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B23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22DF84B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三、相关政策要求</w:t>
                  </w:r>
                </w:p>
                <w:p w14:paraId="73F30A70">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（一）项目类别属于《产业结构调整指导目录（2024年本）》明确的限制类、淘汰类的，不予办理审查备案；</w:t>
                  </w:r>
                </w:p>
                <w:p w14:paraId="4DE4601A">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（二）项目需符合寻甸回族彝族自治县经济社会发展规划、产业布局规划和乡镇（街道）发展规划；</w:t>
                  </w:r>
                </w:p>
                <w:p w14:paraId="4D479133">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（三）项目选址位于牛栏江流域保护区、清水海水源保护区、黑颈鹤自然保护区范围内的，按照相关法律法规执行；</w:t>
                  </w:r>
                </w:p>
                <w:p w14:paraId="4D9A1D81">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（四）昆发〔2021〕12号文件印发前已建成的园区外工业企业进行技改、转型或租赁建设的，原则上不得新增用地；</w:t>
                  </w:r>
                </w:p>
                <w:p w14:paraId="2C6ABEBF">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五）对新引进工业用地500亩或投资10亿元以下的制造业项目，由县人民政府按照《昆明市人民政府办公厅关于印发昆明市实施工业攻坚项目投资准入标准指导意见（试行）的通知》（昆政办〔2018〕92号）对投资强度、税收强度、环保节能等准入指标进行审查，报市工高办备案；对工业用地500亩或投资10亿元以上（含用地500亩或投资10亿元）的重大制造业项目，由县人民政府同市工业和信息化局联合审查。</w:t>
                  </w:r>
                </w:p>
              </w:tc>
              <w:tc>
                <w:tcPr>
                  <w:tcW w:w="3481" w:type="dxa"/>
                  <w:vAlign w:val="center"/>
                </w:tcPr>
                <w:p w14:paraId="162479E9">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1、本项目为固体废物治理项目，对照国家发展和改革委员会第49号令颁布的《产业结构调整指导目录（2024年本）》中的相关规定，项目属于鼓励类“十一、石化化工，2、无机盐：磷石膏综合利用技术开发与应用”。</w:t>
                  </w:r>
                </w:p>
                <w:p w14:paraId="10658EED">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2、根据前文分析，本项目符合《寻甸回族彝族自治县金所街道国土空间规划（2021-2035年）》。</w:t>
                  </w:r>
                </w:p>
                <w:p w14:paraId="2328E52E">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3、</w:t>
                  </w:r>
                  <w:r>
                    <w:rPr>
                      <w:rFonts w:ascii="Times New Roman" w:hAnsi="Times New Roman" w:eastAsia="宋体" w:cs="Times New Roman"/>
                      <w:color w:val="auto"/>
                      <w:sz w:val="21"/>
                      <w:szCs w:val="21"/>
                    </w:rPr>
                    <w:t>项目选址位于牛栏江流域保护区</w:t>
                  </w:r>
                  <w:r>
                    <w:rPr>
                      <w:rFonts w:hint="eastAsia" w:ascii="Times New Roman" w:hAnsi="Times New Roman" w:eastAsia="宋体" w:cs="Times New Roman"/>
                      <w:color w:val="auto"/>
                      <w:sz w:val="21"/>
                      <w:szCs w:val="21"/>
                    </w:rPr>
                    <w:t>内，属于重点污染控制区，根据前文分析，本项目符合《云南省牛栏江保护条例》等</w:t>
                  </w:r>
                  <w:r>
                    <w:rPr>
                      <w:rFonts w:ascii="Times New Roman" w:hAnsi="Times New Roman" w:eastAsia="宋体" w:cs="Times New Roman"/>
                      <w:color w:val="auto"/>
                      <w:sz w:val="21"/>
                      <w:szCs w:val="21"/>
                    </w:rPr>
                    <w:t>法律法规</w:t>
                  </w:r>
                  <w:r>
                    <w:rPr>
                      <w:rFonts w:hint="eastAsia" w:ascii="Times New Roman" w:hAnsi="Times New Roman" w:eastAsia="宋体" w:cs="Times New Roman"/>
                      <w:color w:val="auto"/>
                      <w:sz w:val="21"/>
                      <w:szCs w:val="21"/>
                    </w:rPr>
                    <w:t>。</w:t>
                  </w:r>
                </w:p>
                <w:p w14:paraId="72ECC955">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4、本项目不属于</w:t>
                  </w:r>
                  <w:r>
                    <w:rPr>
                      <w:rFonts w:ascii="Times New Roman" w:hAnsi="Times New Roman" w:eastAsia="宋体" w:cs="Times New Roman"/>
                      <w:color w:val="auto"/>
                      <w:sz w:val="21"/>
                      <w:szCs w:val="21"/>
                    </w:rPr>
                    <w:t>昆发〔2021〕12号文件印发前已建成的园区外工业企业</w:t>
                  </w:r>
                  <w:r>
                    <w:rPr>
                      <w:rFonts w:hint="eastAsia" w:ascii="Times New Roman" w:hAnsi="Times New Roman" w:eastAsia="宋体" w:cs="Times New Roman"/>
                      <w:color w:val="auto"/>
                      <w:sz w:val="21"/>
                      <w:szCs w:val="21"/>
                    </w:rPr>
                    <w:t>。</w:t>
                  </w:r>
                </w:p>
                <w:p w14:paraId="00F4C7DB">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5、本项目已由寻甸回族彝族自治县人民政府审查，并取得寻甸回族彝族自治县科学技术和工业信息化局出具选址批复（附件7），同意本项目的选址。</w:t>
                  </w:r>
                </w:p>
              </w:tc>
              <w:tc>
                <w:tcPr>
                  <w:tcW w:w="685" w:type="dxa"/>
                  <w:vAlign w:val="center"/>
                </w:tcPr>
                <w:p w14:paraId="49A3C75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29198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4" w:type="dxa"/>
                  <w:vAlign w:val="center"/>
                </w:tcPr>
                <w:p w14:paraId="03D8991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四、工作要求</w:t>
                  </w:r>
                </w:p>
                <w:p w14:paraId="2775C878">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（一）加强组织领导。园区外工业项目选址的日常审核工作，</w:t>
                  </w:r>
                </w:p>
                <w:p w14:paraId="6C987783">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由县科技和工业信息化局负责。</w:t>
                  </w:r>
                  <w:r>
                    <w:rPr>
                      <w:rFonts w:hint="eastAsia" w:ascii="Times New Roman" w:hAnsi="Times New Roman" w:eastAsia="宋体" w:cs="Times New Roman"/>
                      <w:color w:val="auto"/>
                      <w:sz w:val="21"/>
                      <w:szCs w:val="21"/>
                    </w:rPr>
                    <w:t>......</w:t>
                  </w:r>
                </w:p>
              </w:tc>
              <w:tc>
                <w:tcPr>
                  <w:tcW w:w="3481" w:type="dxa"/>
                  <w:vAlign w:val="center"/>
                </w:tcPr>
                <w:p w14:paraId="302DC737">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本项目已取得寻甸回族彝族自治县科学技术和工业信息化局出具选址批复（附件7），同意本项目的选址。</w:t>
                  </w:r>
                </w:p>
              </w:tc>
              <w:tc>
                <w:tcPr>
                  <w:tcW w:w="685" w:type="dxa"/>
                  <w:vAlign w:val="center"/>
                </w:tcPr>
                <w:p w14:paraId="67404EB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bl>
          <w:p w14:paraId="534E530F">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综上所述，项目建设符合《云南寻甸产业园区外工业项目管理工作方案的通知》（寻政办发〔2024〕34号）的相关要求。</w:t>
            </w:r>
          </w:p>
          <w:p w14:paraId="73CB4F80">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hAnsi="Times New Roman" w:cs="Times New Roman"/>
                <w:b/>
                <w:color w:val="auto"/>
                <w:sz w:val="24"/>
                <w:lang w:val="en-US" w:eastAsia="zh-CN"/>
              </w:rPr>
              <w:t>3</w:t>
            </w:r>
            <w:r>
              <w:rPr>
                <w:rFonts w:hint="eastAsia" w:ascii="Times New Roman" w:hAnsi="Times New Roman" w:eastAsia="宋体" w:cs="Times New Roman"/>
                <w:b/>
                <w:color w:val="auto"/>
                <w:sz w:val="24"/>
                <w:lang w:eastAsia="zh-CN"/>
              </w:rPr>
              <w:t>、</w:t>
            </w:r>
            <w:r>
              <w:rPr>
                <w:rFonts w:hint="eastAsia" w:ascii="Times New Roman" w:hAnsi="Times New Roman" w:eastAsia="宋体" w:cs="Times New Roman"/>
                <w:b/>
                <w:color w:val="auto"/>
                <w:sz w:val="24"/>
                <w:lang w:val="en-US" w:eastAsia="zh-CN"/>
              </w:rPr>
              <w:t>项目与《固体废物综合治理行动计划》的符合性</w:t>
            </w:r>
            <w:r>
              <w:rPr>
                <w:rFonts w:hint="eastAsia" w:ascii="Times New Roman" w:hAnsi="Times New Roman" w:eastAsia="宋体" w:cs="Times New Roman"/>
                <w:b/>
                <w:color w:val="auto"/>
                <w:sz w:val="24"/>
                <w:lang w:eastAsia="zh-CN"/>
              </w:rPr>
              <w:t>分析</w:t>
            </w:r>
          </w:p>
          <w:p w14:paraId="35768C56">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w:t>
            </w:r>
            <w:r>
              <w:rPr>
                <w:rFonts w:hint="eastAsia" w:cs="Times New Roman"/>
                <w:b/>
                <w:color w:val="auto"/>
                <w:sz w:val="24"/>
                <w:lang w:val="en-US" w:eastAsia="zh-CN"/>
              </w:rPr>
              <w:t>2</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val="en-US" w:eastAsia="zh-CN"/>
              </w:rPr>
              <w:t>《固体废物综合治理行动计划》</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47"/>
              <w:gridCol w:w="2658"/>
              <w:gridCol w:w="685"/>
            </w:tblGrid>
            <w:tr w14:paraId="6D7D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vAlign w:val="center"/>
                </w:tcPr>
                <w:p w14:paraId="5CB8775D">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2658" w:type="dxa"/>
                  <w:vAlign w:val="center"/>
                </w:tcPr>
                <w:p w14:paraId="3F2B5D9E">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01C8126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76C0D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vAlign w:val="center"/>
                </w:tcPr>
                <w:p w14:paraId="6B84F097">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三、规范收集转运和贮存</w:t>
                  </w:r>
                </w:p>
                <w:p w14:paraId="3DB692B6">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加强工业固体废物规范化管理。完善工业固体废物管理台账制度，强化全链条跟踪管控。推行工业固体废物分类收集贮存，防范混堆混排。禁止向生活垃圾收集设施中投放工业固体废物。严格执行工业固体废物、危险废物跨省转移审批制度。规范各类企业危险废物收集管理。</w:t>
                  </w:r>
                </w:p>
              </w:tc>
              <w:tc>
                <w:tcPr>
                  <w:tcW w:w="2658" w:type="dxa"/>
                  <w:vAlign w:val="center"/>
                </w:tcPr>
                <w:p w14:paraId="0E3716FA">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建设单位按照规范要求制定磷石膏管理台账。本项目</w:t>
                  </w:r>
                  <w:r>
                    <w:rPr>
                      <w:rFonts w:hint="eastAsia" w:ascii="Times New Roman" w:hAnsi="Times New Roman" w:cs="Times New Roman"/>
                      <w:color w:val="auto"/>
                      <w:sz w:val="21"/>
                      <w:szCs w:val="21"/>
                      <w:lang w:val="en-US" w:eastAsia="zh-CN"/>
                    </w:rPr>
                    <w:t>原料入厂</w:t>
                  </w:r>
                  <w:r>
                    <w:rPr>
                      <w:rFonts w:hint="eastAsia" w:ascii="Times New Roman" w:hAnsi="Times New Roman" w:eastAsia="宋体" w:cs="Times New Roman"/>
                      <w:color w:val="auto"/>
                      <w:sz w:val="21"/>
                      <w:szCs w:val="21"/>
                      <w:lang w:val="en-US" w:eastAsia="zh-CN"/>
                    </w:rPr>
                    <w:t>后将分类分区堆放，避免混料。建设单位将建立危废管理台账，并委托有资质单位处置。</w:t>
                  </w:r>
                </w:p>
              </w:tc>
              <w:tc>
                <w:tcPr>
                  <w:tcW w:w="685" w:type="dxa"/>
                  <w:vAlign w:val="center"/>
                </w:tcPr>
                <w:p w14:paraId="126B482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7861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vAlign w:val="center"/>
                </w:tcPr>
                <w:p w14:paraId="28CBBC80">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四、提升资源化利用水平</w:t>
                  </w:r>
                </w:p>
                <w:p w14:paraId="030037D4">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七）加强大宗固体废弃物综合利用。提升冶炼渣、尾矿、共伴生矿、赤泥、建筑垃圾综合利用能力，加强有价组分高效提取及整体利用，因地制宜推动煤矸石多元化利用。拓宽秸秆综合利用途径，提高秸秆还田科学化、规范化水平。推进畜禽养殖废弃物资源化利用。</w:t>
                  </w:r>
                </w:p>
              </w:tc>
              <w:tc>
                <w:tcPr>
                  <w:tcW w:w="2658" w:type="dxa"/>
                  <w:vAlign w:val="center"/>
                </w:tcPr>
                <w:p w14:paraId="6310A82D">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本项目利用改性磷石膏生产路基材料，有利于加强大宗固体废弃物综合利用。</w:t>
                  </w:r>
                </w:p>
              </w:tc>
              <w:tc>
                <w:tcPr>
                  <w:tcW w:w="685" w:type="dxa"/>
                  <w:vAlign w:val="center"/>
                </w:tcPr>
                <w:p w14:paraId="317EE700">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5FAE0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vAlign w:val="center"/>
                </w:tcPr>
                <w:p w14:paraId="616FF3D2">
                  <w:pPr>
                    <w:pStyle w:val="27"/>
                    <w:widowControl/>
                    <w:numPr>
                      <w:ilvl w:val="0"/>
                      <w:numId w:val="7"/>
                    </w:numPr>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增强无害化治理能力</w:t>
                  </w:r>
                </w:p>
                <w:p w14:paraId="41C9254B">
                  <w:pPr>
                    <w:pStyle w:val="27"/>
                    <w:widowControl/>
                    <w:numPr>
                      <w:ilvl w:val="0"/>
                      <w:numId w:val="0"/>
                    </w:numPr>
                    <w:kinsoku/>
                    <w:overflowPunct w:val="0"/>
                    <w:autoSpaceDE/>
                    <w:autoSpaceDN/>
                    <w:adjustRightInd/>
                    <w:snapToGrid/>
                    <w:spacing w:line="240" w:lineRule="auto"/>
                    <w:ind w:right="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十一）稳妥有序探索规模化消纳利用渠道。在符合环境质量标准、污染风险管控要求和安全生产要求前提下，探索通过井下充填、矿坑回填、生态修复等方式规模化消纳利用大宗工业固体废物。建立统一规范的管理制度，加强部门协同，严格履行相关审批和决策程序，坚决防范以规模化消纳利用名义非法倾倒。</w:t>
                  </w:r>
                </w:p>
              </w:tc>
              <w:tc>
                <w:tcPr>
                  <w:tcW w:w="2658" w:type="dxa"/>
                  <w:vAlign w:val="center"/>
                </w:tcPr>
                <w:p w14:paraId="62DB37C4">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本项目利用改性磷石膏生产路基材料，路基材料用于筑路利用，产品均符合相关技术要求，污染风险得到有效管控，可有效消纳利用改性磷石膏。</w:t>
                  </w:r>
                </w:p>
              </w:tc>
              <w:tc>
                <w:tcPr>
                  <w:tcW w:w="685" w:type="dxa"/>
                  <w:vAlign w:val="center"/>
                </w:tcPr>
                <w:p w14:paraId="6DC7125C">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符合</w:t>
                  </w:r>
                </w:p>
              </w:tc>
            </w:tr>
            <w:tr w14:paraId="1F542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7" w:type="dxa"/>
                  <w:vAlign w:val="center"/>
                </w:tcPr>
                <w:p w14:paraId="0D75ED12">
                  <w:pPr>
                    <w:pStyle w:val="27"/>
                    <w:widowControl/>
                    <w:numPr>
                      <w:ilvl w:val="0"/>
                      <w:numId w:val="7"/>
                    </w:numPr>
                    <w:kinsoku/>
                    <w:overflowPunct w:val="0"/>
                    <w:autoSpaceDE/>
                    <w:autoSpaceDN/>
                    <w:adjustRightInd/>
                    <w:snapToGrid/>
                    <w:spacing w:line="240" w:lineRule="auto"/>
                    <w:ind w:left="0" w:leftChars="0" w:right="0" w:rightChars="0" w:firstLine="0" w:firstLine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实施重点领域专项整治</w:t>
                  </w:r>
                </w:p>
                <w:p w14:paraId="44367123">
                  <w:pPr>
                    <w:pStyle w:val="27"/>
                    <w:widowControl/>
                    <w:numPr>
                      <w:ilvl w:val="0"/>
                      <w:numId w:val="0"/>
                    </w:numPr>
                    <w:kinsoku/>
                    <w:overflowPunct w:val="0"/>
                    <w:autoSpaceDE/>
                    <w:autoSpaceDN/>
                    <w:adjustRightInd/>
                    <w:snapToGrid/>
                    <w:spacing w:line="240" w:lineRule="auto"/>
                    <w:ind w:leftChars="0" w:right="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十六）深入推进磷石膏综合治理。“一库一策”推进磷石膏库环境风险隐患排查整治。加强磷石膏贮存、运输、利用等环节环境管理，严格执行磷石膏利用和无害化贮存污染控制技术规范，依法严肃查处磷石膏相关环境违法行为。到2027年，云南、湖北、贵州、四川、安徽、重庆等地区完成存量磷石膏库整治。</w:t>
                  </w:r>
                </w:p>
              </w:tc>
              <w:tc>
                <w:tcPr>
                  <w:tcW w:w="2658" w:type="dxa"/>
                  <w:vAlign w:val="center"/>
                </w:tcPr>
                <w:p w14:paraId="3165A3A2">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本项目利用改性磷石膏生产路基材料，产品符合相关技术要求，有利于推进存量磷石膏消纳。</w:t>
                  </w:r>
                </w:p>
              </w:tc>
              <w:tc>
                <w:tcPr>
                  <w:tcW w:w="685" w:type="dxa"/>
                  <w:vAlign w:val="center"/>
                </w:tcPr>
                <w:p w14:paraId="78E8D55C">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val="en-US" w:eastAsia="zh-CN"/>
                    </w:rPr>
                    <w:t>符合</w:t>
                  </w:r>
                </w:p>
              </w:tc>
            </w:tr>
          </w:tbl>
          <w:p w14:paraId="2CE09A17">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w:t>
            </w:r>
            <w:r>
              <w:rPr>
                <w:rFonts w:hint="eastAsia" w:ascii="Times New Roman" w:hAnsi="Times New Roman" w:eastAsia="宋体" w:cs="Times New Roman"/>
                <w:color w:val="auto"/>
              </w:rPr>
              <w:t>《固体废物综合治理行动计划》</w:t>
            </w:r>
            <w:r>
              <w:rPr>
                <w:rFonts w:ascii="Times New Roman" w:hAnsi="Times New Roman" w:eastAsia="宋体" w:cs="Times New Roman"/>
                <w:color w:val="auto"/>
              </w:rPr>
              <w:t>的相关要求。</w:t>
            </w:r>
          </w:p>
          <w:p w14:paraId="60EFBEFA">
            <w:pPr>
              <w:pStyle w:val="27"/>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rPr>
            </w:pPr>
            <w:r>
              <w:rPr>
                <w:rFonts w:hint="eastAsia" w:ascii="Times New Roman" w:hAnsi="Times New Roman" w:cs="Times New Roman"/>
                <w:b/>
                <w:color w:val="auto"/>
                <w:sz w:val="24"/>
                <w:lang w:val="en-US" w:eastAsia="zh-CN"/>
              </w:rPr>
              <w:t>24、</w:t>
            </w:r>
            <w:r>
              <w:rPr>
                <w:rFonts w:hint="eastAsia" w:ascii="Times New Roman" w:hAnsi="Times New Roman" w:eastAsia="宋体" w:cs="Times New Roman"/>
                <w:b/>
                <w:color w:val="auto"/>
                <w:sz w:val="24"/>
                <w:lang w:val="en-US" w:eastAsia="zh-CN"/>
              </w:rPr>
              <w:t>项目与《昆明市磷石膏污染防治办法》的符合性</w:t>
            </w:r>
            <w:r>
              <w:rPr>
                <w:rFonts w:hint="eastAsia" w:ascii="Times New Roman" w:hAnsi="Times New Roman" w:eastAsia="宋体" w:cs="Times New Roman"/>
                <w:b/>
                <w:color w:val="auto"/>
                <w:sz w:val="24"/>
                <w:lang w:eastAsia="zh-CN"/>
              </w:rPr>
              <w:t>分析</w:t>
            </w:r>
          </w:p>
          <w:p w14:paraId="09F9E7F8">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w:t>
            </w:r>
            <w:r>
              <w:rPr>
                <w:rFonts w:hint="eastAsia" w:cs="Times New Roman"/>
                <w:b/>
                <w:color w:val="auto"/>
                <w:sz w:val="24"/>
                <w:lang w:val="en-US" w:eastAsia="zh-CN"/>
              </w:rPr>
              <w:t>3</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val="en-US" w:eastAsia="zh-CN"/>
              </w:rPr>
              <w:t>《昆明市磷石膏污染防治办法》</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3"/>
              <w:gridCol w:w="3142"/>
              <w:gridCol w:w="685"/>
            </w:tblGrid>
            <w:tr w14:paraId="1A028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53EE35F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3142" w:type="dxa"/>
                  <w:vAlign w:val="center"/>
                </w:tcPr>
                <w:p w14:paraId="1E2DE88A">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4F297F9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5EA3E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591FC7D2">
                  <w:pPr>
                    <w:pStyle w:val="27"/>
                    <w:widowControl/>
                    <w:kinsoku/>
                    <w:overflowPunct w:val="0"/>
                    <w:autoSpaceDE/>
                    <w:autoSpaceDN/>
                    <w:adjustRightInd/>
                    <w:snapToGrid/>
                    <w:spacing w:line="240" w:lineRule="auto"/>
                    <w:ind w:leftChars="0" w:rightChars="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第五条</w:t>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rPr>
                    <w:t>产生磷石膏的企业和其他相关生产经营者应当建立健全磷石膏产生、收集、贮存、运输、利用、处置等全过程的污染防治责任制度，采取措施防止或者减少磷石膏对环境的污染，确定承担污染防治工作的部门和专职技术人员，对所造成的环境污染依法承担责任。</w:t>
                  </w:r>
                </w:p>
              </w:tc>
              <w:tc>
                <w:tcPr>
                  <w:tcW w:w="3142" w:type="dxa"/>
                  <w:vAlign w:val="center"/>
                </w:tcPr>
                <w:p w14:paraId="0F210397">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本项目建设单位将根据相关要求建立从改性磷石膏入场到路基材料利用全过程监管制度，依据相关技术规定，通过设置的环保措施及后续跟踪监测，防止改性磷石膏对环境造成污染，建设单位</w:t>
                  </w:r>
                  <w:r>
                    <w:rPr>
                      <w:rFonts w:hint="eastAsia" w:ascii="Times New Roman" w:hAnsi="Times New Roman" w:eastAsia="宋体" w:cs="Times New Roman"/>
                      <w:color w:val="auto"/>
                      <w:sz w:val="21"/>
                      <w:szCs w:val="21"/>
                    </w:rPr>
                    <w:t>承担</w:t>
                  </w:r>
                  <w:r>
                    <w:rPr>
                      <w:rFonts w:hint="eastAsia" w:ascii="Times New Roman" w:hAnsi="Times New Roman" w:cs="Times New Roman"/>
                      <w:color w:val="auto"/>
                      <w:sz w:val="21"/>
                      <w:szCs w:val="21"/>
                      <w:lang w:val="en-US" w:eastAsia="zh-CN"/>
                    </w:rPr>
                    <w:t>本项目</w:t>
                  </w:r>
                  <w:r>
                    <w:rPr>
                      <w:rFonts w:hint="eastAsia" w:ascii="Times New Roman" w:hAnsi="Times New Roman" w:eastAsia="宋体" w:cs="Times New Roman"/>
                      <w:color w:val="auto"/>
                      <w:sz w:val="21"/>
                      <w:szCs w:val="21"/>
                    </w:rPr>
                    <w:t>污染防治工作</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对本项目防治工作负责。</w:t>
                  </w:r>
                </w:p>
              </w:tc>
              <w:tc>
                <w:tcPr>
                  <w:tcW w:w="685" w:type="dxa"/>
                  <w:vAlign w:val="center"/>
                </w:tcPr>
                <w:p w14:paraId="617E6F53">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4A61A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5FE0B933">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第六条 产生磷石膏的企业和其他相关生产经营者应当加强对相关污染防治设施、设备和场所的管理和维护，保障其正常运行和使用。</w:t>
                  </w:r>
                </w:p>
              </w:tc>
              <w:tc>
                <w:tcPr>
                  <w:tcW w:w="3142" w:type="dxa"/>
                  <w:vAlign w:val="center"/>
                </w:tcPr>
                <w:p w14:paraId="1E442D45">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本项目建成后将对设置的环保措施和厂区防渗情况进行日常维护和检修，确保其处于良好运行状态。</w:t>
                  </w:r>
                </w:p>
              </w:tc>
              <w:tc>
                <w:tcPr>
                  <w:tcW w:w="685" w:type="dxa"/>
                  <w:vAlign w:val="center"/>
                </w:tcPr>
                <w:p w14:paraId="521E9484">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6CC07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45202425">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第七条</w:t>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rPr>
                    <w:t>产生磷石膏的企业和其他相关生产经营者应当规范建立磷石膏管理台账，并在磷石膏管理台账中如实记录生产运营中产生磷石膏的时间、数量、流向、贮存、利用、处置等信息；如实记录磷石膏库的污染防治设施建设和运行情况、环境监测情况、污染隐患排查治理情况、突发环境事件应急预案及其落实情况等信息。</w:t>
                  </w:r>
                </w:p>
                <w:p w14:paraId="5754F709">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磷石膏管理台账保存期限不得少于五年，其中磷石膏库的管理台账信息应当永久保存。</w:t>
                  </w:r>
                </w:p>
                <w:p w14:paraId="5B426B7F">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在磷石膏产生、运输、贮存、利用、处置全过程中形成的管理、运行和监测原始凭证应永久保存。</w:t>
                  </w:r>
                </w:p>
              </w:tc>
              <w:tc>
                <w:tcPr>
                  <w:tcW w:w="3142" w:type="dxa"/>
                  <w:vAlign w:val="center"/>
                </w:tcPr>
                <w:p w14:paraId="0E3D0B37">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项目建成后将依据《办法》第七条</w:t>
                  </w:r>
                  <w:r>
                    <w:rPr>
                      <w:rFonts w:hint="eastAsia" w:ascii="Times New Roman" w:hAnsi="Times New Roman" w:eastAsia="宋体" w:cs="Times New Roman"/>
                      <w:color w:val="auto"/>
                      <w:sz w:val="21"/>
                      <w:szCs w:val="21"/>
                    </w:rPr>
                    <w:t>规范建立磷石膏管理台账</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rPr>
                    <w:t>如实记录</w:t>
                  </w:r>
                  <w:r>
                    <w:rPr>
                      <w:rFonts w:hint="eastAsia" w:ascii="Times New Roman" w:hAnsi="Times New Roman" w:cs="Times New Roman"/>
                      <w:color w:val="auto"/>
                      <w:sz w:val="21"/>
                      <w:szCs w:val="21"/>
                      <w:lang w:val="en-US" w:eastAsia="zh-CN"/>
                    </w:rPr>
                    <w:t>所列</w:t>
                  </w:r>
                  <w:r>
                    <w:rPr>
                      <w:rFonts w:hint="eastAsia" w:ascii="Times New Roman" w:hAnsi="Times New Roman" w:eastAsia="宋体" w:cs="Times New Roman"/>
                      <w:color w:val="auto"/>
                      <w:sz w:val="21"/>
                      <w:szCs w:val="21"/>
                    </w:rPr>
                    <w:t>信息</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按照期限要求保存管理台账、管理、运行和监测原始凭证</w:t>
                  </w:r>
                  <w:r>
                    <w:rPr>
                      <w:rFonts w:hint="eastAsia" w:ascii="Times New Roman" w:hAnsi="Times New Roman" w:cs="Times New Roman"/>
                      <w:color w:val="auto"/>
                      <w:sz w:val="21"/>
                      <w:szCs w:val="21"/>
                      <w:lang w:eastAsia="zh-CN"/>
                    </w:rPr>
                    <w:t>。</w:t>
                  </w:r>
                </w:p>
              </w:tc>
              <w:tc>
                <w:tcPr>
                  <w:tcW w:w="685" w:type="dxa"/>
                  <w:vAlign w:val="center"/>
                </w:tcPr>
                <w:p w14:paraId="3EC16CF7">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hAnsi="Times New Roman" w:cs="Times New Roman"/>
                      <w:color w:val="auto"/>
                      <w:kern w:val="0"/>
                      <w:szCs w:val="21"/>
                      <w:lang w:val="en-US" w:eastAsia="zh-CN"/>
                    </w:rPr>
                    <w:t>符合</w:t>
                  </w:r>
                </w:p>
              </w:tc>
            </w:tr>
            <w:tr w14:paraId="7A488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3E940882">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第八条 产生磷石膏的企业和其他相关生产经营者应依法公开磷石膏污染防治信息，主动接受社会监督</w:t>
                  </w:r>
                </w:p>
              </w:tc>
              <w:tc>
                <w:tcPr>
                  <w:tcW w:w="3142" w:type="dxa"/>
                  <w:vAlign w:val="center"/>
                </w:tcPr>
                <w:p w14:paraId="25B395C7">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本项目环保手续办理期、建设期及运营期将依法主动公开</w:t>
                  </w:r>
                  <w:r>
                    <w:rPr>
                      <w:rFonts w:hint="eastAsia" w:ascii="Times New Roman" w:hAnsi="Times New Roman" w:eastAsia="宋体" w:cs="Times New Roman"/>
                      <w:color w:val="auto"/>
                      <w:sz w:val="21"/>
                      <w:szCs w:val="21"/>
                    </w:rPr>
                    <w:t>磷石膏污染防治信息，主动接受社会监督</w:t>
                  </w:r>
                  <w:r>
                    <w:rPr>
                      <w:rFonts w:hint="eastAsia" w:ascii="Times New Roman" w:hAnsi="Times New Roman" w:cs="Times New Roman"/>
                      <w:color w:val="auto"/>
                      <w:sz w:val="21"/>
                      <w:szCs w:val="21"/>
                      <w:lang w:eastAsia="zh-CN"/>
                    </w:rPr>
                    <w:t>。</w:t>
                  </w:r>
                </w:p>
              </w:tc>
              <w:tc>
                <w:tcPr>
                  <w:tcW w:w="685" w:type="dxa"/>
                  <w:vAlign w:val="center"/>
                </w:tcPr>
                <w:p w14:paraId="12B5D4F5">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hAnsi="Times New Roman" w:cs="Times New Roman"/>
                      <w:color w:val="auto"/>
                      <w:kern w:val="0"/>
                      <w:szCs w:val="21"/>
                      <w:lang w:val="en-US" w:eastAsia="zh-CN"/>
                    </w:rPr>
                    <w:t>符合</w:t>
                  </w:r>
                </w:p>
              </w:tc>
            </w:tr>
            <w:tr w14:paraId="72FA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63" w:type="dxa"/>
                  <w:vAlign w:val="center"/>
                </w:tcPr>
                <w:p w14:paraId="5EC791E2">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第十五条</w:t>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rPr>
                    <w:t>鼓励和支持产生磷石膏的企业和其他相关生产经营者综合利用磷石膏，开发和生产磷石膏综合利用产品，提高产品竞争力，拓展应用领域。</w:t>
                  </w:r>
                </w:p>
              </w:tc>
              <w:tc>
                <w:tcPr>
                  <w:tcW w:w="3142" w:type="dxa"/>
                  <w:vAlign w:val="center"/>
                </w:tcPr>
                <w:p w14:paraId="5B95E4A7">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本项目利用改性磷石膏生产路基材料，属于生产</w:t>
                  </w:r>
                  <w:r>
                    <w:rPr>
                      <w:rFonts w:hint="eastAsia" w:ascii="Times New Roman" w:hAnsi="Times New Roman" w:eastAsia="宋体" w:cs="Times New Roman"/>
                      <w:color w:val="auto"/>
                      <w:sz w:val="21"/>
                      <w:szCs w:val="21"/>
                    </w:rPr>
                    <w:t>磷石膏综合利用产品</w:t>
                  </w:r>
                  <w:r>
                    <w:rPr>
                      <w:rFonts w:hint="eastAsia" w:ascii="Times New Roman" w:hAnsi="Times New Roman" w:cs="Times New Roman"/>
                      <w:color w:val="auto"/>
                      <w:sz w:val="21"/>
                      <w:szCs w:val="21"/>
                      <w:lang w:eastAsia="zh-CN"/>
                    </w:rPr>
                    <w:t>。</w:t>
                  </w:r>
                </w:p>
              </w:tc>
              <w:tc>
                <w:tcPr>
                  <w:tcW w:w="685" w:type="dxa"/>
                  <w:vAlign w:val="center"/>
                </w:tcPr>
                <w:p w14:paraId="1A665FB9">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hAnsi="Times New Roman" w:cs="Times New Roman"/>
                      <w:color w:val="auto"/>
                      <w:kern w:val="0"/>
                      <w:szCs w:val="21"/>
                      <w:lang w:val="en-US" w:eastAsia="zh-CN"/>
                    </w:rPr>
                    <w:t>符合</w:t>
                  </w:r>
                </w:p>
              </w:tc>
            </w:tr>
          </w:tbl>
          <w:p w14:paraId="7A42A2A0">
            <w:pPr>
              <w:pStyle w:val="27"/>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rPr>
            </w:pPr>
            <w:r>
              <w:rPr>
                <w:rFonts w:ascii="Times New Roman" w:hAnsi="Times New Roman" w:eastAsia="宋体" w:cs="Times New Roman"/>
                <w:color w:val="auto"/>
              </w:rPr>
              <w:t>综上所述，项目建设符合</w:t>
            </w:r>
            <w:r>
              <w:rPr>
                <w:rFonts w:hint="eastAsia" w:ascii="Times New Roman" w:hAnsi="Times New Roman" w:eastAsia="宋体" w:cs="Times New Roman"/>
                <w:color w:val="auto"/>
              </w:rPr>
              <w:t>《昆明市磷石膏污染防治办法》</w:t>
            </w:r>
            <w:r>
              <w:rPr>
                <w:rFonts w:ascii="Times New Roman" w:hAnsi="Times New Roman" w:eastAsia="宋体" w:cs="Times New Roman"/>
                <w:color w:val="auto"/>
              </w:rPr>
              <w:t>的相关要求。</w:t>
            </w:r>
          </w:p>
          <w:p w14:paraId="1BBF9BAF">
            <w:pPr>
              <w:pStyle w:val="27"/>
              <w:widowControl/>
              <w:kinsoku/>
              <w:overflowPunct w:val="0"/>
              <w:autoSpaceDE/>
              <w:autoSpaceDN/>
              <w:adjustRightInd/>
              <w:snapToGrid/>
              <w:spacing w:line="360" w:lineRule="auto"/>
              <w:ind w:firstLine="482" w:firstLineChars="200"/>
              <w:jc w:val="both"/>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25、项目与《昆明市磷石膏综合利用环境污染防治政策指引（试行）》的符合性分析</w:t>
            </w:r>
          </w:p>
          <w:p w14:paraId="5629DF2B">
            <w:pPr>
              <w:kinsoku/>
              <w:overflowPunct w:val="0"/>
              <w:autoSpaceDE/>
              <w:autoSpaceDN/>
              <w:adjustRightInd/>
              <w:snapToGrid/>
              <w:jc w:val="center"/>
              <w:textAlignment w:val="auto"/>
              <w:rPr>
                <w:rFonts w:ascii="Times New Roman" w:hAnsi="Times New Roman" w:eastAsia="宋体" w:cs="Times New Roman"/>
                <w:b/>
                <w:color w:val="auto"/>
                <w:sz w:val="24"/>
                <w:lang w:eastAsia="zh-CN"/>
              </w:rPr>
            </w:pPr>
            <w:r>
              <w:rPr>
                <w:rFonts w:ascii="Times New Roman" w:hAnsi="Times New Roman" w:eastAsia="宋体" w:cs="Times New Roman"/>
                <w:b/>
                <w:color w:val="auto"/>
                <w:sz w:val="24"/>
                <w:lang w:eastAsia="zh-CN"/>
              </w:rPr>
              <w:t>表1-</w:t>
            </w:r>
            <w:r>
              <w:rPr>
                <w:rFonts w:hint="eastAsia" w:ascii="Times New Roman" w:hAnsi="Times New Roman" w:eastAsia="宋体" w:cs="Times New Roman"/>
                <w:b/>
                <w:color w:val="auto"/>
                <w:sz w:val="24"/>
                <w:lang w:eastAsia="zh-CN"/>
              </w:rPr>
              <w:t>2</w:t>
            </w:r>
            <w:r>
              <w:rPr>
                <w:rFonts w:hint="eastAsia" w:cs="Times New Roman"/>
                <w:b/>
                <w:color w:val="auto"/>
                <w:sz w:val="24"/>
                <w:lang w:val="en-US" w:eastAsia="zh-CN"/>
              </w:rPr>
              <w:t>4</w:t>
            </w:r>
            <w:r>
              <w:rPr>
                <w:rFonts w:ascii="Times New Roman" w:hAnsi="Times New Roman" w:eastAsia="宋体" w:cs="Times New Roman"/>
                <w:b/>
                <w:color w:val="auto"/>
                <w:sz w:val="24"/>
                <w:lang w:eastAsia="zh-CN"/>
              </w:rPr>
              <w:t>项目与</w:t>
            </w:r>
            <w:r>
              <w:rPr>
                <w:rFonts w:hint="eastAsia" w:ascii="Times New Roman" w:hAnsi="Times New Roman" w:eastAsia="宋体" w:cs="Times New Roman"/>
                <w:b/>
                <w:color w:val="auto"/>
                <w:sz w:val="24"/>
                <w:lang w:val="en-US" w:eastAsia="zh-CN"/>
              </w:rPr>
              <w:t>《昆明市磷石膏综合利用环境污染防治政策指引（试行）》</w:t>
            </w:r>
            <w:r>
              <w:rPr>
                <w:rFonts w:ascii="Times New Roman" w:hAnsi="Times New Roman" w:eastAsia="宋体" w:cs="Times New Roman"/>
                <w:b/>
                <w:color w:val="auto"/>
                <w:sz w:val="24"/>
                <w:lang w:eastAsia="zh-CN"/>
              </w:rPr>
              <w:t>相符性</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8"/>
              <w:gridCol w:w="2237"/>
              <w:gridCol w:w="685"/>
            </w:tblGrid>
            <w:tr w14:paraId="2CFCC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0A1A3464">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相关要求</w:t>
                  </w:r>
                </w:p>
              </w:tc>
              <w:tc>
                <w:tcPr>
                  <w:tcW w:w="2237" w:type="dxa"/>
                  <w:vAlign w:val="center"/>
                </w:tcPr>
                <w:p w14:paraId="3656D46C">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项目情况</w:t>
                  </w:r>
                </w:p>
              </w:tc>
              <w:tc>
                <w:tcPr>
                  <w:tcW w:w="685" w:type="dxa"/>
                  <w:vAlign w:val="center"/>
                </w:tcPr>
                <w:p w14:paraId="7FAFC9B1">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kern w:val="0"/>
                      <w:szCs w:val="21"/>
                      <w:lang w:eastAsia="zh-CN"/>
                    </w:rPr>
                  </w:pPr>
                  <w:r>
                    <w:rPr>
                      <w:rFonts w:ascii="Times New Roman" w:hAnsi="Times New Roman" w:eastAsia="宋体" w:cs="Times New Roman"/>
                      <w:b/>
                      <w:bCs/>
                      <w:color w:val="auto"/>
                      <w:kern w:val="0"/>
                      <w:szCs w:val="21"/>
                      <w:lang w:eastAsia="zh-CN"/>
                    </w:rPr>
                    <w:t>符合性</w:t>
                  </w:r>
                </w:p>
              </w:tc>
            </w:tr>
            <w:tr w14:paraId="0496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222A5929">
                  <w:pPr>
                    <w:pStyle w:val="27"/>
                    <w:widowControl/>
                    <w:kinsoku/>
                    <w:overflowPunct w:val="0"/>
                    <w:autoSpaceDE/>
                    <w:autoSpaceDN/>
                    <w:adjustRightInd/>
                    <w:snapToGrid/>
                    <w:spacing w:line="240" w:lineRule="auto"/>
                    <w:ind w:leftChars="0" w:right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一、鼓励磷石膏综合利用</w:t>
                  </w:r>
                </w:p>
                <w:p w14:paraId="5C507B72">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鼓励磷石膏在全市范围社会生产生活各领域资源化利用。支持磷石膏作为回填充填材料、建筑材料、筑路材料……</w:t>
                  </w:r>
                </w:p>
              </w:tc>
              <w:tc>
                <w:tcPr>
                  <w:tcW w:w="2237" w:type="dxa"/>
                  <w:vAlign w:val="center"/>
                </w:tcPr>
                <w:p w14:paraId="1461557C">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本项目利用改性磷石膏生产路基材料。</w:t>
                  </w:r>
                </w:p>
              </w:tc>
              <w:tc>
                <w:tcPr>
                  <w:tcW w:w="685" w:type="dxa"/>
                  <w:vAlign w:val="center"/>
                </w:tcPr>
                <w:p w14:paraId="0FD38308">
                  <w:pPr>
                    <w:pStyle w:val="8"/>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符合</w:t>
                  </w:r>
                </w:p>
              </w:tc>
            </w:tr>
            <w:tr w14:paraId="0AF5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33A9C714">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二、优化磷石膏利用环境监管</w:t>
                  </w:r>
                </w:p>
                <w:p w14:paraId="7B4B7ADD">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一）执行标准规范。磷石膏产生企业开展综合利用、磷石膏综合利用处置企业按照《磷石膏的处理处置规范》（GB/T32124-2024）、《磷石膏利用和无害化贮存污染控制技术规范》（HJ1415-2025）等有关环境标准规范以及其他行业领域标准规范的要求对磷石膏进行预处理，开展综合利用的磷石膏符合相应利用方式所要求达到的环境标准以及相应领域的控制标准。</w:t>
                  </w:r>
                </w:p>
              </w:tc>
              <w:tc>
                <w:tcPr>
                  <w:tcW w:w="2237" w:type="dxa"/>
                  <w:vAlign w:val="center"/>
                </w:tcPr>
                <w:p w14:paraId="6814BCF7">
                  <w:pPr>
                    <w:pStyle w:val="27"/>
                    <w:widowControl/>
                    <w:kinsoku/>
                    <w:overflowPunct w:val="0"/>
                    <w:autoSpaceDE/>
                    <w:autoSpaceDN/>
                    <w:adjustRightInd/>
                    <w:snapToGrid/>
                    <w:spacing w:line="240" w:lineRule="auto"/>
                    <w:ind w:leftChars="0" w:rightChars="0"/>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本项目的原料质量、储存场地技术指标、污染控制要求、产品质量均符合《磷石膏的处理处置规范》（GB/T32124-2024）、《磷石膏利用和无害化贮存污染控制技术规范》（HJ1415-2025）等有关环境标准规范。</w:t>
                  </w:r>
                </w:p>
              </w:tc>
              <w:tc>
                <w:tcPr>
                  <w:tcW w:w="685" w:type="dxa"/>
                  <w:vAlign w:val="center"/>
                </w:tcPr>
                <w:p w14:paraId="7567682E">
                  <w:pPr>
                    <w:pStyle w:val="8"/>
                    <w:widowControl/>
                    <w:kinsoku/>
                    <w:overflowPunct w:val="0"/>
                    <w:autoSpaceDE/>
                    <w:autoSpaceDN/>
                    <w:adjustRightInd/>
                    <w:snapToGrid/>
                    <w:spacing w:line="240" w:lineRule="auto"/>
                    <w:ind w:leftChars="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5771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575D560E">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二）支持利用项目建设。支持磷石膏综合利用项目、使用磷石膏产品的项目建设，达到《建设项目环境影响评价分类管理名录》需要报批环境影响评价手续的按要求办理。磷石膏用于符合有关标准规定的筑路、回填、充填和土地利用时，应避开饮用水水源和其他特殊水体保护区；用于筑路和回填利用时，还应避开活动断层，泉域保护范围以及岩溶强发育、存在较多落水洞和岩溶漏斗的区域，湿地，江河、湖泊、运河、渠道、最高水位线以下的滩地和岸坡，以及国家和地方规划中的水库等人工蓄水设施的淹没区和保护区等。</w:t>
                  </w:r>
                </w:p>
              </w:tc>
              <w:tc>
                <w:tcPr>
                  <w:tcW w:w="2237" w:type="dxa"/>
                  <w:vAlign w:val="center"/>
                </w:tcPr>
                <w:p w14:paraId="69AC29F0">
                  <w:pPr>
                    <w:pStyle w:val="27"/>
                    <w:widowControl/>
                    <w:kinsoku/>
                    <w:overflowPunct w:val="0"/>
                    <w:autoSpaceDE/>
                    <w:autoSpaceDN/>
                    <w:adjustRightInd/>
                    <w:snapToGrid/>
                    <w:spacing w:line="240" w:lineRule="auto"/>
                    <w:ind w:leftChars="0" w:righ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本项目将依法办理相关环保手续；本评价已提出路基材料利用过程污染控制要求，同时建设单位应告知购买方路基材料产品不得应用于以上环境敏感区域。</w:t>
                  </w:r>
                </w:p>
              </w:tc>
              <w:tc>
                <w:tcPr>
                  <w:tcW w:w="685" w:type="dxa"/>
                  <w:vAlign w:val="center"/>
                </w:tcPr>
                <w:p w14:paraId="679F500E">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2DDDC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19F3C306">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三）强化过程台账管理。磷石膏产生单位应严格落实环境污染防治主体责任，建立健全磷石膏产生、收集、贮存、运输、利用处置全过程的环境污染防治责任制度，明确主管负责人及具体责任人。磷石膏产生单位委托他人利用、处置的，应核实受托人经营范围、证照信息、环境影响评价文件和相应技术能力等，在依法签订的书面合同中明确运输责任、污染防治要求和利用处置方式，不得委托无利用处置能力的第三方。</w:t>
                  </w:r>
                </w:p>
              </w:tc>
              <w:tc>
                <w:tcPr>
                  <w:tcW w:w="2237" w:type="dxa"/>
                  <w:vAlign w:val="center"/>
                </w:tcPr>
                <w:p w14:paraId="689CC29C">
                  <w:pPr>
                    <w:pStyle w:val="27"/>
                    <w:widowControl/>
                    <w:kinsoku/>
                    <w:overflowPunct w:val="0"/>
                    <w:autoSpaceDE/>
                    <w:autoSpaceDN/>
                    <w:adjustRightInd/>
                    <w:snapToGrid/>
                    <w:spacing w:line="240" w:lineRule="auto"/>
                    <w:ind w:leftChars="0" w:rightChars="0"/>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建设单位将依据相关</w:t>
                  </w:r>
                  <w:r>
                    <w:rPr>
                      <w:rFonts w:hint="eastAsia" w:ascii="Times New Roman" w:hAnsi="Times New Roman" w:eastAsia="宋体" w:cs="Times New Roman"/>
                      <w:color w:val="auto"/>
                      <w:sz w:val="21"/>
                      <w:szCs w:val="21"/>
                    </w:rPr>
                    <w:t>规范建立磷石膏管理台账</w:t>
                  </w:r>
                  <w:r>
                    <w:rPr>
                      <w:rFonts w:hint="eastAsia" w:ascii="Times New Roman" w:hAnsi="Times New Roman" w:cs="Times New Roman"/>
                      <w:color w:val="auto"/>
                      <w:sz w:val="21"/>
                      <w:szCs w:val="21"/>
                      <w:lang w:eastAsia="zh-CN"/>
                    </w:rPr>
                    <w:t>，</w:t>
                  </w:r>
                  <w:r>
                    <w:rPr>
                      <w:rFonts w:hint="eastAsia" w:ascii="Times New Roman" w:hAnsi="Times New Roman" w:eastAsia="宋体" w:cs="Times New Roman"/>
                      <w:color w:val="auto"/>
                      <w:sz w:val="21"/>
                      <w:szCs w:val="21"/>
                    </w:rPr>
                    <w:t>如实记录信息</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按照期限要求保存管理台账、管理、运行和监测原始凭证</w:t>
                  </w:r>
                  <w:r>
                    <w:rPr>
                      <w:rFonts w:hint="eastAsia" w:ascii="Times New Roman" w:hAnsi="Times New Roman" w:cs="Times New Roman"/>
                      <w:color w:val="auto"/>
                      <w:sz w:val="21"/>
                      <w:szCs w:val="21"/>
                      <w:lang w:eastAsia="zh-CN"/>
                    </w:rPr>
                    <w:t>。</w:t>
                  </w:r>
                </w:p>
              </w:tc>
              <w:tc>
                <w:tcPr>
                  <w:tcW w:w="685" w:type="dxa"/>
                  <w:vAlign w:val="center"/>
                </w:tcPr>
                <w:p w14:paraId="140C3BE8">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r w14:paraId="0774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68" w:type="dxa"/>
                  <w:vAlign w:val="center"/>
                </w:tcPr>
                <w:p w14:paraId="6A3EDCDD">
                  <w:pPr>
                    <w:pStyle w:val="27"/>
                    <w:widowControl/>
                    <w:kinsoku/>
                    <w:overflowPunct w:val="0"/>
                    <w:autoSpaceDE/>
                    <w:autoSpaceDN/>
                    <w:adjustRightInd/>
                    <w:snapToGrid/>
                    <w:spacing w:line="240" w:lineRule="auto"/>
                    <w:ind w:leftChars="0" w:rightChars="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（四）落实贮存污染控制要求。2026年底前，新增磷石膏堆存方式全部采取干法堆存。资源贮存场的设计应符合《一般工业固体废物贮存和填埋污染控制标准》（GB 18599）中Ⅱ类场技术要求，新建资源贮存场仅作为周转场使用，服务期满后应清空其中的磷石膏，并根据国家相关规定对清空后的场地进行环境调查和风险评估等。无害化贮存场的设计应符合GB 18599中Ⅰ类场技术要求，无害化处理后进入无害化贮存场的磷石膏应满足GB 18599中界定的第Ⅰ类一般工业固体废物的要求。符合GB 18599规定的现有Ⅰ类场，只作为无害化贮存场使用，符合GB18599规定的现有Ⅱ类场，可作为资源贮存场或无害化贮存场使用。</w:t>
                  </w:r>
                </w:p>
              </w:tc>
              <w:tc>
                <w:tcPr>
                  <w:tcW w:w="2237" w:type="dxa"/>
                  <w:vAlign w:val="center"/>
                </w:tcPr>
                <w:p w14:paraId="5421861B">
                  <w:pPr>
                    <w:pStyle w:val="27"/>
                    <w:widowControl/>
                    <w:kinsoku/>
                    <w:overflowPunct w:val="0"/>
                    <w:autoSpaceDE/>
                    <w:autoSpaceDN/>
                    <w:adjustRightInd/>
                    <w:snapToGrid/>
                    <w:spacing w:line="240" w:lineRule="auto"/>
                    <w:ind w:leftChars="0" w:rightChars="0"/>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本项目原料堆场、生产厂房、成品仓库、废品仓库均按照《一般工业固体废物贮存和填埋污染控制标准》（GB 18599）中Ⅱ类场技术要求建设。</w:t>
                  </w:r>
                </w:p>
              </w:tc>
              <w:tc>
                <w:tcPr>
                  <w:tcW w:w="685" w:type="dxa"/>
                  <w:vAlign w:val="center"/>
                </w:tcPr>
                <w:p w14:paraId="597E0070">
                  <w:pPr>
                    <w:pStyle w:val="8"/>
                    <w:widowControl/>
                    <w:kinsoku/>
                    <w:overflowPunct w:val="0"/>
                    <w:autoSpaceDE/>
                    <w:autoSpaceDN/>
                    <w:adjustRightInd/>
                    <w:snapToGrid/>
                    <w:spacing w:line="240" w:lineRule="auto"/>
                    <w:ind w:leftChars="0" w:right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符合</w:t>
                  </w:r>
                </w:p>
              </w:tc>
            </w:tr>
          </w:tbl>
          <w:p w14:paraId="6BB5BB88">
            <w:pPr>
              <w:pStyle w:val="27"/>
              <w:widowControl/>
              <w:kinsoku/>
              <w:overflowPunct w:val="0"/>
              <w:autoSpaceDE/>
              <w:autoSpaceDN/>
              <w:adjustRightInd/>
              <w:snapToGrid/>
              <w:spacing w:line="360" w:lineRule="auto"/>
              <w:ind w:firstLine="480" w:firstLineChars="200"/>
              <w:jc w:val="both"/>
              <w:rPr>
                <w:rFonts w:hint="default" w:ascii="Times New Roman" w:hAnsi="Times New Roman" w:cs="Times New Roman"/>
                <w:color w:val="auto"/>
                <w:lang w:val="en-US" w:eastAsia="zh-CN"/>
              </w:rPr>
            </w:pPr>
            <w:r>
              <w:rPr>
                <w:rFonts w:ascii="Times New Roman" w:hAnsi="Times New Roman" w:eastAsia="宋体" w:cs="Times New Roman"/>
                <w:color w:val="auto"/>
              </w:rPr>
              <w:t>综上所述，项目建设符合</w:t>
            </w:r>
            <w:r>
              <w:rPr>
                <w:rFonts w:hint="eastAsia" w:ascii="Times New Roman" w:hAnsi="Times New Roman" w:eastAsia="宋体" w:cs="Times New Roman"/>
                <w:color w:val="auto"/>
              </w:rPr>
              <w:t>《昆明市磷石膏综合利用环境污染防治政策指引（试行）》</w:t>
            </w:r>
            <w:r>
              <w:rPr>
                <w:rFonts w:ascii="Times New Roman" w:hAnsi="Times New Roman" w:eastAsia="宋体" w:cs="Times New Roman"/>
                <w:color w:val="auto"/>
              </w:rPr>
              <w:t>的相关要求。</w:t>
            </w:r>
          </w:p>
          <w:p w14:paraId="7ED5435B">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hAnsi="Times New Roman" w:cs="Times New Roman"/>
                <w:b/>
                <w:color w:val="auto"/>
                <w:sz w:val="24"/>
                <w:lang w:val="en-US" w:eastAsia="zh-CN"/>
              </w:rPr>
              <w:t>6</w:t>
            </w:r>
            <w:r>
              <w:rPr>
                <w:rFonts w:ascii="Times New Roman" w:hAnsi="Times New Roman" w:eastAsia="宋体" w:cs="Times New Roman"/>
                <w:b/>
                <w:color w:val="auto"/>
                <w:sz w:val="24"/>
                <w:lang w:eastAsia="zh-CN"/>
              </w:rPr>
              <w:t>、选址合理性分析</w:t>
            </w:r>
          </w:p>
          <w:p w14:paraId="56860340">
            <w:pPr>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lang w:val="en-US" w:eastAsia="zh-CN" w:bidi="ar"/>
              </w:rPr>
            </w:pPr>
            <w:r>
              <w:rPr>
                <w:rFonts w:ascii="Times New Roman" w:hAnsi="Times New Roman" w:eastAsia="宋体" w:cs="Times New Roman"/>
                <w:color w:val="auto"/>
                <w:sz w:val="24"/>
                <w:lang w:eastAsia="zh-CN" w:bidi="ar"/>
              </w:rPr>
              <w:t>本项目为</w:t>
            </w:r>
            <w:r>
              <w:rPr>
                <w:rFonts w:hint="eastAsia" w:ascii="Times New Roman" w:hAnsi="Times New Roman" w:eastAsia="宋体" w:cs="Times New Roman"/>
                <w:color w:val="auto"/>
                <w:sz w:val="24"/>
                <w:lang w:eastAsia="zh-CN" w:bidi="ar"/>
              </w:rPr>
              <w:t>改性磷石膏综合利用项目</w:t>
            </w:r>
            <w:r>
              <w:rPr>
                <w:rFonts w:ascii="Times New Roman" w:hAnsi="Times New Roman" w:eastAsia="宋体" w:cs="Times New Roman"/>
                <w:color w:val="auto"/>
                <w:sz w:val="24"/>
                <w:lang w:eastAsia="zh-CN" w:bidi="ar"/>
              </w:rPr>
              <w:t>，</w:t>
            </w:r>
            <w:r>
              <w:rPr>
                <w:rFonts w:ascii="Times New Roman" w:hAnsi="Times New Roman" w:eastAsia="宋体" w:cs="Times New Roman"/>
                <w:color w:val="auto"/>
                <w:sz w:val="24"/>
                <w:lang w:eastAsia="zh-CN"/>
              </w:rPr>
              <w:t>已取得了</w:t>
            </w:r>
            <w:r>
              <w:rPr>
                <w:rFonts w:ascii="Times New Roman" w:hAnsi="Times New Roman" w:eastAsia="宋体" w:cs="Times New Roman"/>
                <w:color w:val="auto"/>
                <w:sz w:val="24"/>
                <w:szCs w:val="24"/>
                <w:lang w:eastAsia="zh-CN"/>
              </w:rPr>
              <w:t>寻甸回族彝族自治县发展和改革局</w:t>
            </w:r>
            <w:r>
              <w:rPr>
                <w:rFonts w:ascii="Times New Roman" w:hAnsi="Times New Roman" w:eastAsia="宋体" w:cs="Times New Roman"/>
                <w:color w:val="auto"/>
                <w:sz w:val="24"/>
                <w:lang w:eastAsia="zh-CN"/>
              </w:rPr>
              <w:t>出具的《云南省固定资产项目备案证》（项目代码：2507-530129-04-01-360249）；</w:t>
            </w:r>
            <w:r>
              <w:rPr>
                <w:rFonts w:hint="eastAsia" w:ascii="Times New Roman" w:hAnsi="Times New Roman" w:eastAsia="宋体" w:cs="Times New Roman"/>
                <w:color w:val="auto"/>
                <w:sz w:val="24"/>
                <w:lang w:eastAsia="zh-CN"/>
              </w:rPr>
              <w:t>本项目于2025年3月13日取得</w:t>
            </w:r>
            <w:r>
              <w:rPr>
                <w:rFonts w:ascii="Times New Roman" w:hAnsi="Times New Roman" w:eastAsia="宋体" w:cs="Times New Roman"/>
                <w:color w:val="auto"/>
                <w:sz w:val="24"/>
                <w:szCs w:val="24"/>
                <w:lang w:eastAsia="zh-CN"/>
              </w:rPr>
              <w:t>寻甸回族彝族自治县</w:t>
            </w:r>
            <w:r>
              <w:rPr>
                <w:rFonts w:hint="eastAsia" w:ascii="Times New Roman" w:hAnsi="Times New Roman" w:eastAsia="宋体" w:cs="Times New Roman"/>
                <w:color w:val="auto"/>
                <w:sz w:val="24"/>
                <w:lang w:eastAsia="zh-CN"/>
              </w:rPr>
              <w:t>科学技术和工业信息化局出具选址批复（附件7），</w:t>
            </w:r>
            <w:r>
              <w:rPr>
                <w:rFonts w:hint="eastAsia" w:cs="Times New Roman"/>
                <w:color w:val="auto"/>
                <w:sz w:val="24"/>
                <w:lang w:eastAsia="zh-CN"/>
              </w:rPr>
              <w:t>同意</w:t>
            </w:r>
            <w:r>
              <w:rPr>
                <w:rFonts w:hint="eastAsia" w:ascii="Times New Roman" w:hAnsi="Times New Roman" w:eastAsia="宋体" w:cs="Times New Roman"/>
                <w:color w:val="auto"/>
                <w:sz w:val="24"/>
                <w:lang w:eastAsia="zh-CN"/>
              </w:rPr>
              <w:t>本项目的选址，</w:t>
            </w:r>
            <w:r>
              <w:rPr>
                <w:rFonts w:hint="eastAsia" w:ascii="Times New Roman" w:hAnsi="Times New Roman" w:eastAsia="宋体" w:cs="Times New Roman"/>
                <w:color w:val="auto"/>
                <w:sz w:val="24"/>
                <w:lang w:val="en-US" w:eastAsia="zh-CN"/>
              </w:rPr>
              <w:t>可不进入工业园区</w:t>
            </w:r>
            <w:r>
              <w:rPr>
                <w:rFonts w:hint="eastAsia" w:ascii="Times New Roman" w:hAnsi="Times New Roman" w:eastAsia="宋体" w:cs="Times New Roman"/>
                <w:color w:val="auto"/>
                <w:sz w:val="24"/>
                <w:lang w:eastAsia="zh-CN"/>
              </w:rPr>
              <w:t>；根据</w:t>
            </w:r>
            <w:r>
              <w:rPr>
                <w:rFonts w:ascii="Times New Roman" w:hAnsi="Times New Roman" w:eastAsia="宋体" w:cs="Times New Roman"/>
                <w:color w:val="auto"/>
                <w:sz w:val="24"/>
                <w:szCs w:val="24"/>
                <w:lang w:eastAsia="zh-CN"/>
              </w:rPr>
              <w:t>寻甸回族彝族自治县</w:t>
            </w:r>
            <w:r>
              <w:rPr>
                <w:rFonts w:hint="eastAsia" w:ascii="Times New Roman" w:hAnsi="Times New Roman" w:eastAsia="宋体" w:cs="Times New Roman"/>
                <w:color w:val="auto"/>
                <w:sz w:val="24"/>
                <w:lang w:eastAsia="zh-CN"/>
              </w:rPr>
              <w:t>科学技术和工业信息化局出具选址批复（附件7）</w:t>
            </w:r>
            <w:r>
              <w:rPr>
                <w:rFonts w:hint="eastAsia" w:cs="Times New Roman"/>
                <w:color w:val="auto"/>
                <w:sz w:val="24"/>
                <w:lang w:val="en-US" w:eastAsia="zh-CN"/>
              </w:rPr>
              <w:t>及</w:t>
            </w:r>
            <w:r>
              <w:rPr>
                <w:rFonts w:ascii="Times New Roman" w:hAnsi="Times New Roman" w:eastAsia="宋体" w:cs="Times New Roman"/>
                <w:color w:val="auto"/>
                <w:sz w:val="24"/>
                <w:szCs w:val="24"/>
                <w:lang w:eastAsia="zh-CN"/>
              </w:rPr>
              <w:t>寻甸回族彝族自治县</w:t>
            </w:r>
            <w:r>
              <w:rPr>
                <w:rFonts w:hint="eastAsia" w:cs="Times New Roman"/>
                <w:color w:val="auto"/>
                <w:sz w:val="24"/>
                <w:lang w:val="en-US" w:eastAsia="zh-CN"/>
              </w:rPr>
              <w:t>自然资源局出具的查询结果（附件16）</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szCs w:val="24"/>
                <w:lang w:eastAsia="zh-CN"/>
              </w:rPr>
              <w:t>项目租用</w:t>
            </w:r>
            <w:r>
              <w:rPr>
                <w:rFonts w:hint="eastAsia" w:ascii="Times New Roman" w:hAnsi="Times New Roman" w:eastAsia="宋体" w:cs="Times New Roman"/>
                <w:color w:val="auto"/>
                <w:sz w:val="24"/>
                <w:szCs w:val="24"/>
                <w:lang w:eastAsia="zh-CN"/>
              </w:rPr>
              <w:t>的土地为云南省昆明市寻甸县金所街道办事处泽铁社区居委会栽开村 083 号工业用地</w:t>
            </w:r>
            <w:r>
              <w:rPr>
                <w:rFonts w:hint="eastAsia" w:cs="Times New Roman"/>
                <w:color w:val="auto"/>
                <w:sz w:val="24"/>
                <w:szCs w:val="24"/>
                <w:lang w:eastAsia="zh-CN"/>
              </w:rPr>
              <w:t>，</w:t>
            </w:r>
            <w:r>
              <w:rPr>
                <w:rFonts w:hint="eastAsia" w:cs="Times New Roman"/>
                <w:color w:val="auto"/>
                <w:sz w:val="24"/>
                <w:szCs w:val="24"/>
                <w:lang w:val="en-US" w:eastAsia="zh-CN"/>
              </w:rPr>
              <w:t>属于二类工业用地</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bidi="ar"/>
              </w:rPr>
              <w:t>本项目</w:t>
            </w:r>
            <w:r>
              <w:rPr>
                <w:rFonts w:hint="eastAsia" w:ascii="Times New Roman" w:hAnsi="Times New Roman" w:eastAsia="宋体" w:cs="Times New Roman"/>
                <w:color w:val="auto"/>
                <w:sz w:val="24"/>
                <w:lang w:eastAsia="zh-CN" w:bidi="ar"/>
              </w:rPr>
              <w:t>距离中化云龙有限公司直线距离3.8km，通行时间仅需12min，便于根据订单调运原料，原料无需大量堆存于项目内。</w:t>
            </w:r>
            <w:r>
              <w:rPr>
                <w:rFonts w:ascii="Times New Roman" w:hAnsi="Times New Roman" w:eastAsia="宋体" w:cs="Times New Roman"/>
                <w:color w:val="auto"/>
                <w:sz w:val="24"/>
                <w:lang w:eastAsia="zh-CN" w:bidi="ar"/>
              </w:rPr>
              <w:t>所选场地在供电、供水、交通等基础条件十分便利。</w:t>
            </w:r>
            <w:r>
              <w:rPr>
                <w:rFonts w:hint="eastAsia" w:ascii="Times New Roman" w:hAnsi="Times New Roman" w:eastAsia="宋体" w:cs="Times New Roman"/>
                <w:color w:val="auto"/>
                <w:sz w:val="24"/>
                <w:lang w:eastAsia="zh-CN" w:bidi="ar"/>
              </w:rPr>
              <w:t>根据</w:t>
            </w:r>
            <w:r>
              <w:rPr>
                <w:rFonts w:ascii="Times New Roman" w:hAnsi="Times New Roman" w:eastAsia="宋体" w:cs="Times New Roman"/>
                <w:color w:val="auto"/>
                <w:sz w:val="24"/>
                <w:szCs w:val="24"/>
                <w:lang w:eastAsia="zh-CN"/>
              </w:rPr>
              <w:t>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w:t>
            </w:r>
            <w:r>
              <w:rPr>
                <w:rFonts w:hint="eastAsia" w:ascii="Times New Roman" w:hAnsi="Times New Roman" w:eastAsia="宋体" w:cs="Times New Roman"/>
                <w:color w:val="auto"/>
                <w:sz w:val="24"/>
                <w:szCs w:val="24"/>
                <w:lang w:eastAsia="zh-CN"/>
              </w:rPr>
              <w:t>及现状监测结果，</w:t>
            </w:r>
            <w:r>
              <w:rPr>
                <w:rFonts w:ascii="Times New Roman" w:hAnsi="Times New Roman" w:eastAsia="宋体" w:cs="Times New Roman"/>
                <w:color w:val="auto"/>
                <w:sz w:val="24"/>
                <w:lang w:eastAsia="zh-CN" w:bidi="ar"/>
              </w:rPr>
              <w:t>项目周边环境质量良好，</w:t>
            </w:r>
            <w:r>
              <w:rPr>
                <w:rFonts w:hint="eastAsia" w:ascii="Times New Roman" w:hAnsi="Times New Roman" w:eastAsia="宋体" w:cs="Times New Roman"/>
                <w:color w:val="auto"/>
                <w:sz w:val="24"/>
                <w:lang w:eastAsia="zh-CN" w:bidi="ar"/>
              </w:rPr>
              <w:t>为环境达标区</w:t>
            </w:r>
            <w:r>
              <w:rPr>
                <w:rFonts w:ascii="Times New Roman" w:hAnsi="Times New Roman" w:eastAsia="宋体" w:cs="Times New Roman"/>
                <w:color w:val="auto"/>
                <w:sz w:val="24"/>
                <w:lang w:eastAsia="zh-CN" w:bidi="ar"/>
              </w:rPr>
              <w:t>，无重大环境制约因素存在。建设用地周围无需要特殊保护的文物、名胜、古迹和文化、自然遗产，不属于自然保护区和风景名胜区保护范围。</w:t>
            </w:r>
            <w:r>
              <w:rPr>
                <w:rFonts w:hint="eastAsia" w:ascii="Times New Roman" w:hAnsi="Times New Roman" w:eastAsia="宋体" w:cs="Times New Roman"/>
                <w:color w:val="auto"/>
                <w:sz w:val="24"/>
                <w:lang w:val="en-US" w:eastAsia="zh-CN" w:bidi="ar"/>
              </w:rPr>
              <w:t>项目周边不存在人群大量聚集区，泽铁社区及小潘所村距离较远且在侧风向，仅有东侧30m泽铁社区散户距离较近，但经预测及计算，项目污染物均可在厂界达标排放，因此对周围环境敏感点影响较小。建设单位于2026年3月22日对东侧30m泽铁社区散户进行了公众意见调查（附件1</w:t>
            </w:r>
            <w:r>
              <w:rPr>
                <w:rFonts w:hint="eastAsia" w:cs="Times New Roman"/>
                <w:color w:val="auto"/>
                <w:sz w:val="24"/>
                <w:lang w:val="en-US" w:eastAsia="zh-CN" w:bidi="ar"/>
              </w:rPr>
              <w:t>7</w:t>
            </w:r>
            <w:r>
              <w:rPr>
                <w:rFonts w:hint="eastAsia" w:ascii="Times New Roman" w:hAnsi="Times New Roman" w:eastAsia="宋体" w:cs="Times New Roman"/>
                <w:color w:val="auto"/>
                <w:sz w:val="24"/>
                <w:lang w:val="en-US" w:eastAsia="zh-CN" w:bidi="ar"/>
              </w:rPr>
              <w:t>），根据反馈的意见表，该散户居民对项目的建设无意见。</w:t>
            </w:r>
          </w:p>
          <w:p w14:paraId="6E379E91">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ascii="Times New Roman" w:hAnsi="Times New Roman" w:eastAsia="宋体" w:cs="Times New Roman"/>
                <w:color w:val="auto"/>
                <w:sz w:val="24"/>
                <w:lang w:eastAsia="zh-CN" w:bidi="ar"/>
              </w:rPr>
              <w:t>综上，项目建设场地条件、交通运输、环境保护和水、电、通信等条件好，无重大的环境制约因素，项目选址合理。</w:t>
            </w:r>
          </w:p>
          <w:p w14:paraId="66CB053A">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hAnsi="Times New Roman" w:cs="Times New Roman"/>
                <w:b/>
                <w:color w:val="auto"/>
                <w:sz w:val="24"/>
                <w:lang w:val="en-US" w:eastAsia="zh-CN"/>
              </w:rPr>
              <w:t>7</w:t>
            </w:r>
            <w:r>
              <w:rPr>
                <w:rFonts w:hint="eastAsia" w:ascii="Times New Roman" w:hAnsi="Times New Roman" w:eastAsia="宋体" w:cs="Times New Roman"/>
                <w:b/>
                <w:color w:val="auto"/>
                <w:sz w:val="24"/>
                <w:lang w:eastAsia="zh-CN"/>
              </w:rPr>
              <w:t>、环境相容性分析</w:t>
            </w:r>
          </w:p>
          <w:p w14:paraId="15947949">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本项目周边企业如下表：</w:t>
            </w:r>
          </w:p>
          <w:p w14:paraId="7BFD989E">
            <w:pPr>
              <w:kinsoku/>
              <w:overflowPunct w:val="0"/>
              <w:autoSpaceDE/>
              <w:autoSpaceDN/>
              <w:adjustRightInd/>
              <w:snapToGrid/>
              <w:jc w:val="center"/>
              <w:rPr>
                <w:rFonts w:ascii="Times New Roman" w:hAnsi="Times New Roman" w:eastAsia="宋体" w:cs="Times New Roman"/>
                <w:color w:val="auto"/>
                <w:sz w:val="24"/>
                <w:lang w:eastAsia="zh-CN" w:bidi="ar"/>
              </w:rPr>
            </w:pPr>
            <w:r>
              <w:rPr>
                <w:rFonts w:ascii="Times New Roman" w:hAnsi="Times New Roman" w:eastAsia="宋体" w:cs="Times New Roman"/>
                <w:b/>
                <w:snapToGrid/>
                <w:color w:val="auto"/>
                <w:kern w:val="2"/>
                <w:sz w:val="24"/>
                <w:szCs w:val="24"/>
                <w:lang w:eastAsia="zh-CN" w:bidi="ar"/>
              </w:rPr>
              <w:t>表1-</w:t>
            </w:r>
            <w:r>
              <w:rPr>
                <w:rFonts w:hint="eastAsia" w:ascii="Times New Roman" w:hAnsi="Times New Roman" w:eastAsia="宋体" w:cs="Times New Roman"/>
                <w:b/>
                <w:snapToGrid/>
                <w:color w:val="auto"/>
                <w:kern w:val="2"/>
                <w:sz w:val="24"/>
                <w:szCs w:val="24"/>
                <w:lang w:eastAsia="zh-CN" w:bidi="ar"/>
              </w:rPr>
              <w:t>2</w:t>
            </w:r>
            <w:r>
              <w:rPr>
                <w:rFonts w:hint="eastAsia" w:cs="Times New Roman"/>
                <w:b/>
                <w:snapToGrid/>
                <w:color w:val="auto"/>
                <w:kern w:val="2"/>
                <w:sz w:val="24"/>
                <w:szCs w:val="24"/>
                <w:lang w:val="en-US" w:eastAsia="zh-CN" w:bidi="ar"/>
              </w:rPr>
              <w:t xml:space="preserve">5  </w:t>
            </w:r>
            <w:r>
              <w:rPr>
                <w:rFonts w:ascii="Times New Roman" w:hAnsi="Times New Roman" w:eastAsia="宋体" w:cs="Times New Roman"/>
                <w:b/>
                <w:snapToGrid/>
                <w:color w:val="auto"/>
                <w:kern w:val="2"/>
                <w:sz w:val="24"/>
                <w:szCs w:val="24"/>
                <w:lang w:eastAsia="zh-CN" w:bidi="ar"/>
              </w:rPr>
              <w:t>项目</w:t>
            </w:r>
            <w:r>
              <w:rPr>
                <w:rFonts w:hint="eastAsia" w:ascii="Times New Roman" w:hAnsi="Times New Roman" w:eastAsia="宋体" w:cs="Times New Roman"/>
                <w:b/>
                <w:snapToGrid/>
                <w:color w:val="auto"/>
                <w:kern w:val="2"/>
                <w:sz w:val="24"/>
                <w:szCs w:val="24"/>
                <w:lang w:eastAsia="zh-CN" w:bidi="ar"/>
              </w:rPr>
              <w:t>周边企业</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3"/>
              <w:gridCol w:w="1737"/>
              <w:gridCol w:w="1601"/>
              <w:gridCol w:w="2099"/>
            </w:tblGrid>
            <w:tr w14:paraId="391CD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4AD4E0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企业名称</w:t>
                  </w:r>
                </w:p>
              </w:tc>
              <w:tc>
                <w:tcPr>
                  <w:tcW w:w="1737" w:type="dxa"/>
                  <w:vAlign w:val="center"/>
                </w:tcPr>
                <w:p w14:paraId="63C6DEB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企业类型</w:t>
                  </w:r>
                </w:p>
              </w:tc>
              <w:tc>
                <w:tcPr>
                  <w:tcW w:w="1601" w:type="dxa"/>
                  <w:vAlign w:val="center"/>
                </w:tcPr>
                <w:p w14:paraId="5F5ABF7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方位</w:t>
                  </w:r>
                </w:p>
              </w:tc>
              <w:tc>
                <w:tcPr>
                  <w:tcW w:w="2099" w:type="dxa"/>
                  <w:vAlign w:val="center"/>
                </w:tcPr>
                <w:p w14:paraId="376F04E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距离</w:t>
                  </w:r>
                </w:p>
              </w:tc>
            </w:tr>
            <w:tr w14:paraId="64A8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239A3FB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寻甸泽铁新型墙材有限公司</w:t>
                  </w:r>
                </w:p>
              </w:tc>
              <w:tc>
                <w:tcPr>
                  <w:tcW w:w="1737" w:type="dxa"/>
                  <w:vAlign w:val="center"/>
                </w:tcPr>
                <w:p w14:paraId="6F8C4D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建筑材料</w:t>
                  </w:r>
                </w:p>
              </w:tc>
              <w:tc>
                <w:tcPr>
                  <w:tcW w:w="1601" w:type="dxa"/>
                  <w:vAlign w:val="center"/>
                </w:tcPr>
                <w:p w14:paraId="748A67F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西侧</w:t>
                  </w:r>
                </w:p>
              </w:tc>
              <w:tc>
                <w:tcPr>
                  <w:tcW w:w="2099" w:type="dxa"/>
                  <w:vAlign w:val="center"/>
                </w:tcPr>
                <w:p w14:paraId="7CC31FC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20m</w:t>
                  </w:r>
                </w:p>
              </w:tc>
            </w:tr>
            <w:tr w14:paraId="54A7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53" w:type="dxa"/>
                  <w:vAlign w:val="center"/>
                </w:tcPr>
                <w:p w14:paraId="210C2CE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昆明恒诚水泥制品有限公司</w:t>
                  </w:r>
                </w:p>
              </w:tc>
              <w:tc>
                <w:tcPr>
                  <w:tcW w:w="1737" w:type="dxa"/>
                  <w:vAlign w:val="center"/>
                </w:tcPr>
                <w:p w14:paraId="6B2491E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水泥制品</w:t>
                  </w:r>
                </w:p>
              </w:tc>
              <w:tc>
                <w:tcPr>
                  <w:tcW w:w="1601" w:type="dxa"/>
                  <w:vAlign w:val="center"/>
                </w:tcPr>
                <w:p w14:paraId="74FE5D4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东侧</w:t>
                  </w:r>
                </w:p>
              </w:tc>
              <w:tc>
                <w:tcPr>
                  <w:tcW w:w="2099" w:type="dxa"/>
                  <w:vAlign w:val="center"/>
                </w:tcPr>
                <w:p w14:paraId="5D4C56B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2m</w:t>
                  </w:r>
                </w:p>
              </w:tc>
            </w:tr>
          </w:tbl>
          <w:p w14:paraId="34CF060A">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根据上表，项目周围无大气环境敏感、噪声敏感企业。本项目废气污染物为颗粒物，</w:t>
            </w:r>
            <w:r>
              <w:rPr>
                <w:rFonts w:ascii="Times New Roman" w:hAnsi="Times New Roman" w:eastAsia="宋体" w:cs="Times New Roman"/>
                <w:color w:val="auto"/>
                <w:sz w:val="24"/>
                <w:lang w:eastAsia="zh-CN" w:bidi="ar"/>
              </w:rPr>
              <w:t>在采取相应环保措施后，项目产生的废气均可达标排放，</w:t>
            </w:r>
            <w:r>
              <w:rPr>
                <w:rFonts w:hint="eastAsia" w:ascii="Times New Roman" w:hAnsi="Times New Roman" w:eastAsia="宋体" w:cs="Times New Roman"/>
                <w:color w:val="auto"/>
                <w:sz w:val="24"/>
                <w:lang w:eastAsia="zh-CN" w:bidi="ar"/>
              </w:rPr>
              <w:t>且本项目周围居民区均在厂界侧风向，因此</w:t>
            </w:r>
            <w:r>
              <w:rPr>
                <w:rFonts w:ascii="Times New Roman" w:hAnsi="Times New Roman" w:eastAsia="宋体" w:cs="Times New Roman"/>
                <w:color w:val="auto"/>
                <w:sz w:val="24"/>
                <w:lang w:eastAsia="zh-CN" w:bidi="ar"/>
              </w:rPr>
              <w:t>对周围环境影响不大；</w:t>
            </w:r>
            <w:r>
              <w:rPr>
                <w:rFonts w:hint="eastAsia" w:ascii="Times New Roman" w:hAnsi="Times New Roman" w:eastAsia="宋体" w:cs="Times New Roman"/>
                <w:color w:val="auto"/>
                <w:sz w:val="24"/>
                <w:lang w:eastAsia="zh-CN" w:bidi="ar"/>
              </w:rPr>
              <w:t>生活</w:t>
            </w:r>
            <w:r>
              <w:rPr>
                <w:rFonts w:ascii="Times New Roman" w:hAnsi="Times New Roman" w:eastAsia="宋体" w:cs="Times New Roman"/>
                <w:color w:val="auto"/>
                <w:sz w:val="24"/>
                <w:lang w:eastAsia="zh-CN" w:bidi="ar"/>
              </w:rPr>
              <w:t>废水</w:t>
            </w:r>
            <w:r>
              <w:rPr>
                <w:rFonts w:hint="eastAsia" w:ascii="Times New Roman" w:hAnsi="Times New Roman" w:eastAsia="宋体" w:cs="Times New Roman"/>
                <w:color w:val="auto"/>
                <w:sz w:val="24"/>
                <w:lang w:eastAsia="zh-CN" w:bidi="ar"/>
              </w:rPr>
              <w:t>回用，</w:t>
            </w:r>
            <w:r>
              <w:rPr>
                <w:rFonts w:ascii="Times New Roman" w:hAnsi="Times New Roman" w:eastAsia="宋体" w:cs="Times New Roman"/>
                <w:color w:val="auto"/>
                <w:sz w:val="24"/>
                <w:lang w:eastAsia="zh-CN" w:bidi="ar"/>
              </w:rPr>
              <w:t>可做到不外排，对周围地表水环境影响不大；噪声厂界可达标，不会造成扰民现象；固体废物均能得到合理处置。</w:t>
            </w:r>
          </w:p>
          <w:p w14:paraId="05276D67">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bidi="ar"/>
              </w:rPr>
              <w:t>综上，本项目环境相容性较好。</w:t>
            </w:r>
          </w:p>
          <w:p w14:paraId="549CABA2">
            <w:pPr>
              <w:pStyle w:val="8"/>
              <w:widowControl/>
              <w:kinsoku/>
              <w:overflowPunct w:val="0"/>
              <w:autoSpaceDE/>
              <w:autoSpaceDN/>
              <w:adjustRightInd/>
              <w:snapToGrid/>
              <w:spacing w:line="360" w:lineRule="auto"/>
              <w:ind w:firstLine="482" w:firstLineChars="200"/>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2</w:t>
            </w:r>
            <w:r>
              <w:rPr>
                <w:rFonts w:hint="eastAsia" w:hAnsi="Times New Roman" w:cs="Times New Roman"/>
                <w:b/>
                <w:color w:val="auto"/>
                <w:sz w:val="24"/>
                <w:lang w:val="en-US" w:eastAsia="zh-CN"/>
              </w:rPr>
              <w:t>8</w:t>
            </w:r>
            <w:r>
              <w:rPr>
                <w:rFonts w:ascii="Times New Roman" w:hAnsi="Times New Roman" w:eastAsia="宋体" w:cs="Times New Roman"/>
                <w:b/>
                <w:color w:val="auto"/>
                <w:sz w:val="24"/>
                <w:lang w:eastAsia="zh-CN"/>
              </w:rPr>
              <w:t>、项目平面布置合理性分析</w:t>
            </w:r>
          </w:p>
          <w:p w14:paraId="19714DEE">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ascii="Times New Roman" w:hAnsi="Times New Roman" w:eastAsia="宋体" w:cs="Times New Roman"/>
                <w:color w:val="auto"/>
                <w:sz w:val="24"/>
                <w:lang w:eastAsia="zh-CN" w:bidi="ar"/>
              </w:rPr>
              <w:t>本项目厂区</w:t>
            </w:r>
            <w:r>
              <w:rPr>
                <w:rFonts w:hint="eastAsia" w:ascii="Times New Roman" w:hAnsi="Times New Roman" w:eastAsia="宋体" w:cs="Times New Roman"/>
                <w:color w:val="auto"/>
                <w:sz w:val="24"/>
                <w:lang w:eastAsia="zh-CN" w:bidi="ar"/>
              </w:rPr>
              <w:t>总体方案</w:t>
            </w:r>
            <w:r>
              <w:rPr>
                <w:rFonts w:ascii="Times New Roman" w:hAnsi="Times New Roman" w:eastAsia="宋体" w:cs="Times New Roman"/>
                <w:color w:val="auto"/>
                <w:sz w:val="24"/>
                <w:lang w:eastAsia="zh-CN" w:bidi="ar"/>
              </w:rPr>
              <w:t>功能分区明确，总体划分为两个主要区域，即办公生活区及生产加工区。项目根据项目区地形特点及生产生活的需求，在项目区靠近道路厂界一侧设置1个总出入口，方便物料运进和产品运出；</w:t>
            </w:r>
            <w:r>
              <w:rPr>
                <w:rFonts w:hint="eastAsia" w:ascii="Times New Roman" w:hAnsi="Times New Roman" w:eastAsia="宋体" w:cs="Times New Roman"/>
                <w:color w:val="auto"/>
                <w:sz w:val="24"/>
                <w:lang w:eastAsia="zh-CN" w:bidi="ar"/>
              </w:rPr>
              <w:t>场地北侧设置有办公楼及宿舍、食堂，便于员工进出且与生产区分离；进门后即为过磅房和1#原料堆场</w:t>
            </w:r>
            <w:r>
              <w:rPr>
                <w:rFonts w:ascii="Times New Roman" w:hAnsi="Times New Roman" w:eastAsia="宋体" w:cs="Times New Roman"/>
                <w:color w:val="auto"/>
                <w:sz w:val="24"/>
                <w:lang w:eastAsia="zh-CN" w:bidi="ar"/>
              </w:rPr>
              <w:t>，</w:t>
            </w:r>
            <w:r>
              <w:rPr>
                <w:rFonts w:hint="eastAsia" w:ascii="Times New Roman" w:hAnsi="Times New Roman" w:eastAsia="宋体" w:cs="Times New Roman"/>
                <w:color w:val="auto"/>
                <w:sz w:val="24"/>
                <w:lang w:eastAsia="zh-CN" w:bidi="ar"/>
              </w:rPr>
              <w:t>原料运输进厂后可及时过磅卸料；</w:t>
            </w:r>
            <w:r>
              <w:rPr>
                <w:rFonts w:ascii="Times New Roman" w:hAnsi="Times New Roman" w:eastAsia="宋体" w:cs="Times New Roman"/>
                <w:color w:val="auto"/>
                <w:sz w:val="24"/>
                <w:lang w:eastAsia="zh-CN" w:bidi="ar"/>
              </w:rPr>
              <w:t>场地中部</w:t>
            </w:r>
            <w:r>
              <w:rPr>
                <w:rFonts w:hint="eastAsia" w:ascii="Times New Roman" w:hAnsi="Times New Roman" w:eastAsia="宋体" w:cs="Times New Roman"/>
                <w:color w:val="auto"/>
                <w:sz w:val="24"/>
                <w:lang w:eastAsia="zh-CN" w:bidi="ar"/>
              </w:rPr>
              <w:t>为生产区域，设置一条10万吨路基材料生产线；场地南部</w:t>
            </w:r>
            <w:r>
              <w:rPr>
                <w:rFonts w:ascii="Times New Roman" w:hAnsi="Times New Roman" w:eastAsia="宋体" w:cs="Times New Roman"/>
                <w:color w:val="auto"/>
                <w:sz w:val="24"/>
                <w:lang w:eastAsia="zh-CN" w:bidi="ar"/>
              </w:rPr>
              <w:t>原</w:t>
            </w:r>
            <w:r>
              <w:rPr>
                <w:rFonts w:hint="eastAsia" w:ascii="Times New Roman" w:hAnsi="Times New Roman" w:eastAsia="宋体" w:cs="Times New Roman"/>
                <w:color w:val="auto"/>
                <w:sz w:val="24"/>
                <w:lang w:eastAsia="zh-CN" w:bidi="ar"/>
              </w:rPr>
              <w:t>设置有2#原料堆场。成品仓库设置于生产区旁，且与危废暂存间保持足够防火距离；</w:t>
            </w:r>
            <w:r>
              <w:rPr>
                <w:rFonts w:ascii="Times New Roman" w:hAnsi="Times New Roman" w:eastAsia="宋体" w:cs="Times New Roman"/>
                <w:color w:val="auto"/>
                <w:sz w:val="24"/>
                <w:lang w:eastAsia="zh-CN" w:bidi="ar"/>
              </w:rPr>
              <w:t>项目</w:t>
            </w:r>
            <w:r>
              <w:rPr>
                <w:rFonts w:hint="eastAsia" w:ascii="Times New Roman" w:hAnsi="Times New Roman" w:eastAsia="宋体" w:cs="Times New Roman"/>
                <w:color w:val="auto"/>
                <w:sz w:val="24"/>
                <w:lang w:eastAsia="zh-CN" w:bidi="ar"/>
              </w:rPr>
              <w:t>规划了环厂区的硬化道路，方便原料及产品运输</w:t>
            </w:r>
            <w:r>
              <w:rPr>
                <w:rFonts w:ascii="Times New Roman" w:hAnsi="Times New Roman" w:eastAsia="宋体" w:cs="Times New Roman"/>
                <w:color w:val="auto"/>
                <w:sz w:val="24"/>
                <w:lang w:eastAsia="zh-CN" w:bidi="ar"/>
              </w:rPr>
              <w:t>。项目建、构筑物的布置紧凑合理，人货流通畅顺捷，减少交叉。可满足生产系统的加工和储、装、运等主要生产环节的要求。总体布置分区明确，布置合理。</w:t>
            </w:r>
          </w:p>
          <w:p w14:paraId="2AC76267">
            <w:pPr>
              <w:kinsoku/>
              <w:overflowPunct w:val="0"/>
              <w:autoSpaceDE/>
              <w:autoSpaceDN/>
              <w:spacing w:line="360" w:lineRule="auto"/>
              <w:ind w:firstLine="480"/>
              <w:jc w:val="both"/>
              <w:rPr>
                <w:rFonts w:ascii="Times New Roman" w:hAnsi="Times New Roman" w:eastAsia="宋体" w:cs="Times New Roman"/>
                <w:color w:val="auto"/>
                <w:sz w:val="18"/>
                <w:szCs w:val="20"/>
                <w:lang w:eastAsia="zh-CN"/>
              </w:rPr>
            </w:pPr>
            <w:r>
              <w:rPr>
                <w:rFonts w:ascii="Times New Roman" w:hAnsi="Times New Roman" w:eastAsia="宋体" w:cs="Times New Roman"/>
                <w:color w:val="auto"/>
                <w:sz w:val="24"/>
                <w:lang w:eastAsia="zh-CN" w:bidi="ar"/>
              </w:rPr>
              <w:t>综上所述，从环保角度考虑，项目布局合理。</w:t>
            </w:r>
          </w:p>
        </w:tc>
      </w:tr>
    </w:tbl>
    <w:p w14:paraId="0BD606DB">
      <w:pPr>
        <w:spacing w:line="256" w:lineRule="auto"/>
        <w:rPr>
          <w:rFonts w:ascii="Times New Roman" w:hAnsi="Times New Roman" w:eastAsia="宋体" w:cs="Times New Roman"/>
          <w:color w:val="auto"/>
          <w:lang w:eastAsia="zh-CN"/>
        </w:rPr>
        <w:sectPr>
          <w:footerReference r:id="rId5" w:type="default"/>
          <w:pgSz w:w="11906" w:h="16839"/>
          <w:pgMar w:top="1440" w:right="1800" w:bottom="1440" w:left="1800" w:header="567" w:footer="567" w:gutter="0"/>
          <w:pgNumType w:start="1"/>
          <w:cols w:space="720" w:num="1"/>
        </w:sectPr>
      </w:pPr>
    </w:p>
    <w:p w14:paraId="48695D50">
      <w:pPr>
        <w:pStyle w:val="7"/>
        <w:jc w:val="center"/>
        <w:outlineLvl w:val="0"/>
        <w:rPr>
          <w:rFonts w:ascii="Times New Roman" w:hAnsi="Times New Roman" w:eastAsia="宋体" w:cs="Times New Roman"/>
          <w:color w:val="auto"/>
        </w:rPr>
      </w:pPr>
      <w:bookmarkStart w:id="10" w:name="_Toc15591"/>
      <w:r>
        <w:rPr>
          <w:rFonts w:ascii="Times New Roman" w:hAnsi="Times New Roman" w:eastAsia="宋体" w:cs="Times New Roman"/>
          <w:b/>
          <w:bCs/>
          <w:color w:val="auto"/>
          <w:sz w:val="32"/>
          <w:szCs w:val="32"/>
        </w:rPr>
        <w:t>二、建设项目工程分析</w:t>
      </w:r>
      <w:bookmarkEnd w:id="10"/>
    </w:p>
    <w:tbl>
      <w:tblPr>
        <w:tblStyle w:val="29"/>
        <w:tblW w:w="90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83"/>
        <w:gridCol w:w="8588"/>
      </w:tblGrid>
      <w:tr w14:paraId="464863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0D2D9018">
            <w:pPr>
              <w:pStyle w:val="30"/>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4"/>
                <w:szCs w:val="24"/>
              </w:rPr>
              <w:t>建设内容</w:t>
            </w:r>
          </w:p>
        </w:tc>
        <w:tc>
          <w:tcPr>
            <w:tcW w:w="8588" w:type="dxa"/>
            <w:tcBorders>
              <w:tl2br w:val="nil"/>
              <w:tr2bl w:val="nil"/>
            </w:tcBorders>
            <w:vAlign w:val="center"/>
          </w:tcPr>
          <w:p w14:paraId="27FDADE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一、项目</w:t>
            </w:r>
            <w:r>
              <w:rPr>
                <w:rFonts w:hint="eastAsia" w:ascii="Times New Roman" w:hAnsi="Times New Roman" w:eastAsia="宋体" w:cs="Times New Roman"/>
                <w:b/>
                <w:bCs/>
                <w:color w:val="auto"/>
                <w:sz w:val="24"/>
                <w:szCs w:val="24"/>
                <w:lang w:eastAsia="zh-CN"/>
              </w:rPr>
              <w:t>由来</w:t>
            </w:r>
          </w:p>
          <w:p w14:paraId="4682DE25">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2021年十部门印发《关于“十四五”大宗固体废弃物综合利用的指导意见》（发改环资〔2021〕381号），“十四五”时期，我国将开启全面建设社会主义现代化国家新征程，围绕推动高质量发展主题，全面提高资源利用效率的任务更加迫切。受资源禀赋、能源结构、发展阶段等因素影响，未来我国大宗固废仍将面临产生强度高、利用不充分、综合利用产品附加值低的严峻挑战。</w:t>
            </w:r>
            <w:r>
              <w:rPr>
                <w:rFonts w:hint="eastAsia" w:ascii="Times New Roman" w:hAnsi="Times New Roman" w:eastAsia="宋体" w:cs="Times New Roman"/>
                <w:color w:val="auto"/>
                <w:sz w:val="24"/>
                <w:szCs w:val="24"/>
                <w:lang w:val="en-US" w:eastAsia="zh-CN"/>
              </w:rPr>
              <w:t>近</w:t>
            </w:r>
            <w:r>
              <w:rPr>
                <w:rFonts w:hint="eastAsia" w:cs="Times New Roman"/>
                <w:color w:val="auto"/>
                <w:sz w:val="24"/>
                <w:szCs w:val="24"/>
                <w:lang w:val="en-US" w:eastAsia="zh-CN"/>
              </w:rPr>
              <w:t>年来</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《云南省全面推进磷石膏综合利用工作方案》、《昆明市磷石膏综合利用环境污染防治政策指引（试行）》</w:t>
            </w:r>
            <w:r>
              <w:rPr>
                <w:rFonts w:hint="eastAsia" w:ascii="Times New Roman" w:hAnsi="Times New Roman" w:eastAsia="宋体" w:cs="Times New Roman"/>
                <w:color w:val="auto"/>
                <w:sz w:val="24"/>
                <w:szCs w:val="24"/>
                <w:lang w:val="en-US" w:eastAsia="zh-CN"/>
              </w:rPr>
              <w:t>等政策文件陆续出台，提出拓展磷石膏多元化利用途径、持续扩大综合利用规模等任务要求</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eastAsia="zh-CN"/>
              </w:rPr>
              <w:t>《昆明市全面加强磷石膏综合利用三年攻坚行动方案（2023—2025年）》</w:t>
            </w:r>
            <w:r>
              <w:rPr>
                <w:rFonts w:hint="eastAsia" w:cs="Times New Roman"/>
                <w:color w:val="auto"/>
                <w:sz w:val="24"/>
                <w:szCs w:val="24"/>
                <w:lang w:val="en-US" w:eastAsia="zh-CN"/>
              </w:rPr>
              <w:t>提出“昆明市磷石膏综合利用率2025年确保达到73%、力争达到75%”、“到2025年，力争新增磷石膏综合利用能力200万吨”、“附件：昆明市相关县(市）区磷石膏综合利用指标任务 寻甸县 2025年 利用量127万吨 利用率98%”</w:t>
            </w:r>
            <w:r>
              <w:rPr>
                <w:rFonts w:hint="eastAsia" w:ascii="Times New Roman" w:hAnsi="Times New Roman" w:eastAsia="宋体" w:cs="Times New Roman"/>
                <w:color w:val="auto"/>
                <w:sz w:val="24"/>
                <w:szCs w:val="24"/>
                <w:lang w:val="en-US" w:eastAsia="zh-CN"/>
              </w:rPr>
              <w:t>。</w:t>
            </w:r>
            <w:r>
              <w:rPr>
                <w:rFonts w:hint="eastAsia" w:cs="Times New Roman"/>
                <w:color w:val="auto"/>
                <w:sz w:val="24"/>
                <w:szCs w:val="24"/>
                <w:lang w:val="en-US" w:eastAsia="zh-CN"/>
              </w:rPr>
              <w:t>同时，昆明及周边地区近年陆续规划大型交通建设项目，如昆明西出口高速（高峣至凤凰村段）项目、昆明内环快线（高速）项目等，路基建设材料需求量巨大，达百万吨级，存在较大市场机遇。</w:t>
            </w:r>
          </w:p>
          <w:p w14:paraId="247CB855">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基于以上背景建设单位决定实施本项目，本项目属于改性磷石膏综合利用项目，可增加改性磷石膏消耗，有助于扩大改性磷石膏综合利用市场，合理利用其他资源，可逐步消纳磷石膏历史堆存量。</w:t>
            </w:r>
            <w:r>
              <w:rPr>
                <w:rFonts w:hint="eastAsia" w:ascii="Times New Roman" w:hAnsi="Times New Roman" w:eastAsia="宋体" w:cs="Times New Roman"/>
                <w:color w:val="auto"/>
                <w:sz w:val="24"/>
                <w:szCs w:val="24"/>
                <w:lang w:val="en-US" w:eastAsia="zh-CN"/>
              </w:rPr>
              <w:t>本项目利用</w:t>
            </w:r>
            <w:r>
              <w:rPr>
                <w:rFonts w:hint="eastAsia" w:ascii="Times New Roman" w:hAnsi="Times New Roman" w:eastAsia="宋体" w:cs="Times New Roman"/>
                <w:color w:val="auto"/>
                <w:lang w:eastAsia="zh-CN"/>
              </w:rPr>
              <w:t>中化云龙经过改性无害化处理后的磷石膏，本项目不进行磷石膏无害化处理。</w:t>
            </w:r>
          </w:p>
          <w:p w14:paraId="5FB8486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建设单位于</w:t>
            </w:r>
            <w:r>
              <w:rPr>
                <w:rFonts w:ascii="Times New Roman" w:hAnsi="Times New Roman" w:eastAsia="宋体" w:cs="Times New Roman"/>
                <w:color w:val="auto"/>
                <w:sz w:val="24"/>
                <w:szCs w:val="24"/>
                <w:lang w:eastAsia="zh-CN"/>
              </w:rPr>
              <w:t>2025年7月24日取得</w:t>
            </w:r>
            <w:r>
              <w:rPr>
                <w:rFonts w:hint="eastAsia" w:ascii="Times New Roman" w:hAnsi="Times New Roman" w:eastAsia="宋体" w:cs="Times New Roman"/>
                <w:color w:val="auto"/>
                <w:sz w:val="24"/>
                <w:szCs w:val="24"/>
                <w:lang w:eastAsia="zh-CN"/>
              </w:rPr>
              <w:t>寻甸回族彝族自治县发展和改革局</w:t>
            </w:r>
            <w:r>
              <w:rPr>
                <w:rFonts w:ascii="Times New Roman" w:hAnsi="Times New Roman" w:eastAsia="宋体" w:cs="Times New Roman"/>
                <w:color w:val="auto"/>
                <w:sz w:val="24"/>
                <w:szCs w:val="24"/>
                <w:lang w:eastAsia="zh-CN"/>
              </w:rPr>
              <w:t>关于项目的投资项目备案证，项目代码：2507-530129-04-01-360249。根据</w:t>
            </w:r>
            <w:r>
              <w:rPr>
                <w:rFonts w:hint="eastAsia" w:cs="Times New Roman"/>
                <w:color w:val="auto"/>
                <w:sz w:val="24"/>
                <w:szCs w:val="24"/>
                <w:lang w:val="en-US" w:eastAsia="zh-CN"/>
              </w:rPr>
              <w:t>本</w:t>
            </w:r>
            <w:r>
              <w:rPr>
                <w:rFonts w:ascii="Times New Roman" w:hAnsi="Times New Roman" w:eastAsia="宋体" w:cs="Times New Roman"/>
                <w:color w:val="auto"/>
                <w:sz w:val="24"/>
                <w:szCs w:val="24"/>
                <w:lang w:eastAsia="zh-CN"/>
              </w:rPr>
              <w:t>项目投资备案证</w:t>
            </w:r>
            <w:r>
              <w:rPr>
                <w:rFonts w:hint="eastAsia" w:cs="Times New Roman"/>
                <w:color w:val="auto"/>
                <w:sz w:val="24"/>
                <w:szCs w:val="24"/>
                <w:lang w:eastAsia="zh-CN"/>
              </w:rPr>
              <w:t>（</w:t>
            </w:r>
            <w:r>
              <w:rPr>
                <w:rFonts w:hint="eastAsia" w:cs="Times New Roman"/>
                <w:color w:val="auto"/>
                <w:sz w:val="24"/>
                <w:szCs w:val="24"/>
                <w:lang w:val="en-US" w:eastAsia="zh-CN"/>
              </w:rPr>
              <w:t>附件4</w:t>
            </w:r>
            <w:r>
              <w:rPr>
                <w:rFonts w:hint="eastAsia" w:cs="Times New Roman"/>
                <w:color w:val="auto"/>
                <w:sz w:val="24"/>
                <w:szCs w:val="24"/>
                <w:lang w:eastAsia="zh-CN"/>
              </w:rPr>
              <w:t>）</w:t>
            </w:r>
            <w:r>
              <w:rPr>
                <w:rFonts w:hint="eastAsia" w:cs="Times New Roman"/>
                <w:color w:val="auto"/>
                <w:sz w:val="24"/>
                <w:szCs w:val="24"/>
                <w:lang w:val="en-US" w:eastAsia="zh-CN"/>
              </w:rPr>
              <w:t>及建设单位出具的建设情况说明（附件18）</w:t>
            </w:r>
            <w:r>
              <w:rPr>
                <w:rFonts w:ascii="Times New Roman" w:hAnsi="Times New Roman" w:eastAsia="宋体" w:cs="Times New Roman"/>
                <w:color w:val="auto"/>
                <w:sz w:val="24"/>
                <w:szCs w:val="24"/>
                <w:lang w:eastAsia="zh-CN"/>
              </w:rPr>
              <w:t>，本项目拟使用金所街道办事处泽铁社区居委会栽开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10亩，建设生产厂房，建筑面积约3000平方米，拟建设生产厂房、仓储区及相关辅助设施。项目设置一条路基材料生产线，建成后年产10万吨路基材料。</w:t>
            </w:r>
            <w:r>
              <w:rPr>
                <w:rFonts w:hint="eastAsia"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eastAsia="zh-CN"/>
              </w:rPr>
              <w:t>路基材料运输至施工现场后由施工单位根据施工方案与水泥按比例混合后用于筑路利用。</w:t>
            </w:r>
          </w:p>
          <w:p w14:paraId="3BBF7C9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根据《建设项目环境影响评价分类管理名录》（2021版），项目属于四十七、生态保护和环境治理业：103一般工业固体废物（含污水处理污泥）、建筑施工废弃物处置及综合利用</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其他；需编制环境影响报告表。</w:t>
            </w:r>
          </w:p>
          <w:p w14:paraId="3C1BF537">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eastAsia="zh-CN"/>
              </w:rPr>
              <w:t>云南赛农农业科技有限公司</w:t>
            </w:r>
            <w:r>
              <w:rPr>
                <w:rFonts w:ascii="Times New Roman" w:hAnsi="Times New Roman" w:eastAsia="宋体" w:cs="Times New Roman"/>
                <w:color w:val="auto"/>
                <w:sz w:val="24"/>
                <w:szCs w:val="24"/>
                <w:lang w:eastAsia="zh-CN"/>
              </w:rPr>
              <w:t>（建设单位）委托，我单位承担该项目环境影响评价工作。我单位接受委托后，收集调查核实了相关材料，并组织专业人员对项目区域进行现场踏勘，按照环境影响评价法及有关技术导则要求，编制了《</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环境影响报告表》，供建设单位上报审批，作为环境管理的依据。</w:t>
            </w:r>
          </w:p>
          <w:p w14:paraId="179B0D9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二、建设内容</w:t>
            </w:r>
          </w:p>
          <w:p w14:paraId="3264D55C">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项目概况</w:t>
            </w:r>
          </w:p>
          <w:p w14:paraId="615A082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项目名称：</w:t>
            </w:r>
            <w:r>
              <w:rPr>
                <w:rFonts w:hint="eastAsia" w:ascii="Times New Roman" w:hAnsi="Times New Roman" w:eastAsia="宋体" w:cs="Times New Roman"/>
                <w:color w:val="auto"/>
                <w:sz w:val="24"/>
                <w:szCs w:val="24"/>
                <w:lang w:eastAsia="zh-CN"/>
              </w:rPr>
              <w:t>云南赛农农业科技有限公司改性磷石膏综合利用项目</w:t>
            </w:r>
          </w:p>
          <w:p w14:paraId="55F7C94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建设单位：</w:t>
            </w:r>
            <w:r>
              <w:rPr>
                <w:rFonts w:hint="eastAsia" w:ascii="Times New Roman" w:hAnsi="Times New Roman" w:eastAsia="宋体" w:cs="Times New Roman"/>
                <w:color w:val="auto"/>
                <w:sz w:val="24"/>
                <w:szCs w:val="24"/>
                <w:lang w:eastAsia="zh-CN"/>
              </w:rPr>
              <w:t>云南赛农农业科技有限公司</w:t>
            </w:r>
          </w:p>
          <w:p w14:paraId="1DF1DEC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建设性质：新建</w:t>
            </w:r>
          </w:p>
          <w:p w14:paraId="62FCF37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建设地点：</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p>
          <w:p w14:paraId="1D147D9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建设内容：拟建设生产厂房、仓储区及相关辅助设施。项目设置一条路基材料生产线，建成后年产10万吨路基材料</w:t>
            </w:r>
            <w:r>
              <w:rPr>
                <w:rFonts w:hint="eastAsia" w:ascii="Times New Roman" w:hAnsi="Times New Roman" w:eastAsia="宋体" w:cs="Times New Roman"/>
                <w:color w:val="auto"/>
                <w:sz w:val="24"/>
                <w:szCs w:val="24"/>
                <w:lang w:eastAsia="zh-CN"/>
              </w:rPr>
              <w:t>。</w:t>
            </w:r>
          </w:p>
          <w:p w14:paraId="3622B2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地理位置：</w:t>
            </w:r>
            <w:r>
              <w:rPr>
                <w:rFonts w:hint="eastAsia" w:ascii="Times New Roman" w:hAnsi="Times New Roman" w:eastAsia="宋体" w:cs="Times New Roman"/>
                <w:color w:val="auto"/>
                <w:sz w:val="24"/>
                <w:szCs w:val="24"/>
                <w:lang w:eastAsia="zh-CN"/>
              </w:rPr>
              <w:t>东经103°11′11.131″，北纬25°31′24.737″。</w:t>
            </w:r>
          </w:p>
          <w:p w14:paraId="6C19EAD1">
            <w:pPr>
              <w:pStyle w:val="37"/>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项目主要经济技术指标见</w:t>
            </w:r>
            <w:r>
              <w:rPr>
                <w:rFonts w:hint="eastAsia" w:ascii="Times New Roman" w:hAnsi="Times New Roman" w:eastAsia="宋体" w:cs="Times New Roman"/>
                <w:color w:val="auto"/>
                <w:lang w:eastAsia="zh-CN"/>
              </w:rPr>
              <w:t>下</w:t>
            </w:r>
            <w:r>
              <w:rPr>
                <w:rFonts w:ascii="Times New Roman" w:hAnsi="Times New Roman" w:eastAsia="宋体" w:cs="Times New Roman"/>
                <w:color w:val="auto"/>
                <w:lang w:eastAsia="zh-CN"/>
              </w:rPr>
              <w:t>表</w:t>
            </w:r>
            <w:r>
              <w:rPr>
                <w:rFonts w:hint="eastAsia" w:ascii="Times New Roman" w:hAnsi="Times New Roman" w:eastAsia="宋体" w:cs="Times New Roman"/>
                <w:color w:val="auto"/>
                <w:lang w:eastAsia="zh-CN"/>
              </w:rPr>
              <w:t>：</w:t>
            </w:r>
          </w:p>
          <w:p w14:paraId="395253E7">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1</w:t>
            </w:r>
            <w:r>
              <w:rPr>
                <w:rFonts w:ascii="Times New Roman" w:hAnsi="Times New Roman" w:eastAsia="宋体" w:cs="Times New Roman"/>
                <w:b/>
                <w:snapToGrid/>
                <w:color w:val="auto"/>
                <w:kern w:val="2"/>
                <w:sz w:val="24"/>
                <w:szCs w:val="24"/>
                <w:lang w:eastAsia="zh-CN" w:bidi="ar"/>
              </w:rPr>
              <w:t xml:space="preserve"> 项目经济技术指标表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821"/>
              <w:gridCol w:w="1050"/>
              <w:gridCol w:w="1007"/>
              <w:gridCol w:w="3491"/>
            </w:tblGrid>
            <w:tr w14:paraId="391EC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21" w:type="dxa"/>
                  <w:vAlign w:val="center"/>
                </w:tcPr>
                <w:p w14:paraId="2669A80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1821" w:type="dxa"/>
                  <w:vAlign w:val="center"/>
                </w:tcPr>
                <w:p w14:paraId="3E60BA1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指标名称</w:t>
                  </w:r>
                </w:p>
              </w:tc>
              <w:tc>
                <w:tcPr>
                  <w:tcW w:w="1050" w:type="dxa"/>
                  <w:vAlign w:val="center"/>
                </w:tcPr>
                <w:p w14:paraId="1FD0B7A3">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单位</w:t>
                  </w:r>
                </w:p>
              </w:tc>
              <w:tc>
                <w:tcPr>
                  <w:tcW w:w="1007" w:type="dxa"/>
                  <w:vAlign w:val="center"/>
                </w:tcPr>
                <w:p w14:paraId="2521BE89">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数量</w:t>
                  </w:r>
                </w:p>
              </w:tc>
              <w:tc>
                <w:tcPr>
                  <w:tcW w:w="3491" w:type="dxa"/>
                  <w:vAlign w:val="center"/>
                </w:tcPr>
                <w:p w14:paraId="1A974AD7">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备注</w:t>
                  </w:r>
                </w:p>
              </w:tc>
            </w:tr>
            <w:tr w14:paraId="73D16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6DF83C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1821" w:type="dxa"/>
                  <w:vAlign w:val="center"/>
                </w:tcPr>
                <w:p w14:paraId="672FD3C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项目总投资</w:t>
                  </w:r>
                </w:p>
              </w:tc>
              <w:tc>
                <w:tcPr>
                  <w:tcW w:w="1050" w:type="dxa"/>
                  <w:vAlign w:val="center"/>
                </w:tcPr>
                <w:p w14:paraId="30DC9B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万元</w:t>
                  </w:r>
                </w:p>
              </w:tc>
              <w:tc>
                <w:tcPr>
                  <w:tcW w:w="1007" w:type="dxa"/>
                  <w:vAlign w:val="center"/>
                </w:tcPr>
                <w:p w14:paraId="1A41145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1500</w:t>
                  </w:r>
                </w:p>
              </w:tc>
              <w:tc>
                <w:tcPr>
                  <w:tcW w:w="3491" w:type="dxa"/>
                  <w:vAlign w:val="center"/>
                </w:tcPr>
                <w:p w14:paraId="4DB6AB2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6753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4491DB2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1821" w:type="dxa"/>
                  <w:vAlign w:val="center"/>
                </w:tcPr>
                <w:p w14:paraId="2A91D5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占地面积</w:t>
                  </w:r>
                </w:p>
              </w:tc>
              <w:tc>
                <w:tcPr>
                  <w:tcW w:w="1050" w:type="dxa"/>
                  <w:vAlign w:val="center"/>
                </w:tcPr>
                <w:p w14:paraId="37B33B5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m</w:t>
                  </w:r>
                  <w:r>
                    <w:rPr>
                      <w:rFonts w:ascii="Times New Roman" w:hAnsi="Times New Roman" w:eastAsia="宋体" w:cs="Times New Roman"/>
                      <w:color w:val="auto"/>
                      <w:vertAlign w:val="superscript"/>
                    </w:rPr>
                    <w:t>2</w:t>
                  </w:r>
                </w:p>
              </w:tc>
              <w:tc>
                <w:tcPr>
                  <w:tcW w:w="1007" w:type="dxa"/>
                  <w:vAlign w:val="center"/>
                </w:tcPr>
                <w:p w14:paraId="71F810F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6666.6</w:t>
                  </w:r>
                </w:p>
              </w:tc>
              <w:tc>
                <w:tcPr>
                  <w:tcW w:w="3491" w:type="dxa"/>
                  <w:vAlign w:val="center"/>
                </w:tcPr>
                <w:p w14:paraId="54AF621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w:t>
                  </w:r>
                </w:p>
              </w:tc>
            </w:tr>
            <w:tr w14:paraId="6B40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19DC169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w:t>
                  </w:r>
                </w:p>
              </w:tc>
              <w:tc>
                <w:tcPr>
                  <w:tcW w:w="1821" w:type="dxa"/>
                  <w:vAlign w:val="center"/>
                </w:tcPr>
                <w:p w14:paraId="2B5C334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生产线</w:t>
                  </w:r>
                  <w:r>
                    <w:rPr>
                      <w:rFonts w:hint="eastAsia" w:ascii="Times New Roman" w:hAnsi="Times New Roman" w:eastAsia="宋体" w:cs="Times New Roman"/>
                      <w:color w:val="auto"/>
                    </w:rPr>
                    <w:t>数量</w:t>
                  </w:r>
                </w:p>
              </w:tc>
              <w:tc>
                <w:tcPr>
                  <w:tcW w:w="1050" w:type="dxa"/>
                  <w:vAlign w:val="center"/>
                </w:tcPr>
                <w:p w14:paraId="0B2794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条</w:t>
                  </w:r>
                </w:p>
              </w:tc>
              <w:tc>
                <w:tcPr>
                  <w:tcW w:w="1007" w:type="dxa"/>
                  <w:vAlign w:val="center"/>
                </w:tcPr>
                <w:p w14:paraId="0871AE63">
                  <w:pPr>
                    <w:kinsoku/>
                    <w:overflowPunct w:val="0"/>
                    <w:autoSpaceDE/>
                    <w:autoSpaceDN/>
                    <w:adjustRightInd/>
                    <w:snapToGrid/>
                    <w:jc w:val="center"/>
                    <w:rPr>
                      <w:rFonts w:ascii="Times New Roman" w:hAnsi="Times New Roman" w:eastAsia="宋体" w:cs="Times New Roman"/>
                      <w:color w:val="auto"/>
                      <w:spacing w:val="-4"/>
                      <w:lang w:eastAsia="zh-CN"/>
                    </w:rPr>
                  </w:pPr>
                  <w:r>
                    <w:rPr>
                      <w:rFonts w:hint="eastAsia" w:cs="Times New Roman"/>
                      <w:color w:val="auto"/>
                      <w:spacing w:val="-4"/>
                      <w:lang w:val="en-US" w:eastAsia="zh-CN"/>
                    </w:rPr>
                    <w:t>1</w:t>
                  </w:r>
                </w:p>
              </w:tc>
              <w:tc>
                <w:tcPr>
                  <w:tcW w:w="3491" w:type="dxa"/>
                  <w:vAlign w:val="center"/>
                </w:tcPr>
                <w:p w14:paraId="0C3BBFF8">
                  <w:pPr>
                    <w:kinsoku/>
                    <w:overflowPunct w:val="0"/>
                    <w:autoSpaceDE/>
                    <w:autoSpaceDN/>
                    <w:adjustRightInd/>
                    <w:snapToGrid/>
                    <w:jc w:val="center"/>
                    <w:rPr>
                      <w:rFonts w:ascii="Times New Roman" w:hAnsi="Times New Roman" w:eastAsia="宋体" w:cs="Times New Roman"/>
                      <w:color w:val="auto"/>
                      <w:spacing w:val="-4"/>
                      <w:highlight w:val="yellow"/>
                      <w:lang w:eastAsia="zh-CN"/>
                    </w:rPr>
                  </w:pPr>
                  <w:r>
                    <w:rPr>
                      <w:rFonts w:hint="eastAsia" w:ascii="Times New Roman" w:hAnsi="Times New Roman" w:eastAsia="宋体" w:cs="Times New Roman"/>
                      <w:color w:val="auto"/>
                      <w:lang w:eastAsia="zh-CN"/>
                    </w:rPr>
                    <w:t>1条10万吨/年的路基材料生产线</w:t>
                  </w:r>
                </w:p>
              </w:tc>
            </w:tr>
            <w:tr w14:paraId="06654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1B502ED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1821" w:type="dxa"/>
                  <w:vAlign w:val="center"/>
                </w:tcPr>
                <w:p w14:paraId="6E21723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劳动定员</w:t>
                  </w:r>
                </w:p>
              </w:tc>
              <w:tc>
                <w:tcPr>
                  <w:tcW w:w="1050" w:type="dxa"/>
                  <w:vAlign w:val="center"/>
                </w:tcPr>
                <w:p w14:paraId="1427F48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人</w:t>
                  </w:r>
                </w:p>
              </w:tc>
              <w:tc>
                <w:tcPr>
                  <w:tcW w:w="1007" w:type="dxa"/>
                  <w:vAlign w:val="center"/>
                </w:tcPr>
                <w:p w14:paraId="5BDD011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3491" w:type="dxa"/>
                  <w:vAlign w:val="center"/>
                </w:tcPr>
                <w:p w14:paraId="48808B1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r>
            <w:tr w14:paraId="55895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1" w:type="dxa"/>
                  <w:vAlign w:val="center"/>
                </w:tcPr>
                <w:p w14:paraId="77916B7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821" w:type="dxa"/>
                  <w:vAlign w:val="center"/>
                </w:tcPr>
                <w:p w14:paraId="20D52CE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工作制度</w:t>
                  </w:r>
                </w:p>
              </w:tc>
              <w:tc>
                <w:tcPr>
                  <w:tcW w:w="1050" w:type="dxa"/>
                  <w:vAlign w:val="center"/>
                </w:tcPr>
                <w:p w14:paraId="2D29081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天/年</w:t>
                  </w:r>
                </w:p>
              </w:tc>
              <w:tc>
                <w:tcPr>
                  <w:tcW w:w="1007" w:type="dxa"/>
                  <w:vAlign w:val="center"/>
                </w:tcPr>
                <w:p w14:paraId="1A292B1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w:t>
                  </w:r>
                </w:p>
              </w:tc>
              <w:tc>
                <w:tcPr>
                  <w:tcW w:w="3491" w:type="dxa"/>
                  <w:vAlign w:val="center"/>
                </w:tcPr>
                <w:p w14:paraId="3866A9B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每天8h</w:t>
                  </w:r>
                </w:p>
              </w:tc>
            </w:tr>
          </w:tbl>
          <w:p w14:paraId="122F9CB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工程组成</w:t>
            </w:r>
          </w:p>
          <w:p w14:paraId="479B125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项目租用</w:t>
            </w:r>
            <w:r>
              <w:rPr>
                <w:rFonts w:hint="eastAsia" w:ascii="Times New Roman" w:hAnsi="Times New Roman" w:eastAsia="宋体" w:cs="Times New Roman"/>
                <w:color w:val="auto"/>
                <w:sz w:val="24"/>
                <w:szCs w:val="24"/>
                <w:lang w:eastAsia="zh-CN"/>
              </w:rPr>
              <w:t>云南省昆明市寻甸县金所街道办事处泽铁社区居委会栽开村083号工业用地</w:t>
            </w:r>
            <w:r>
              <w:rPr>
                <w:rFonts w:ascii="Times New Roman" w:hAnsi="Times New Roman" w:eastAsia="宋体" w:cs="Times New Roman"/>
                <w:color w:val="auto"/>
                <w:sz w:val="24"/>
                <w:szCs w:val="24"/>
                <w:lang w:eastAsia="zh-CN"/>
              </w:rPr>
              <w:t>，占地面积约为</w:t>
            </w:r>
            <w:r>
              <w:rPr>
                <w:rFonts w:hint="eastAsia" w:ascii="Times New Roman" w:hAnsi="Times New Roman" w:eastAsia="宋体" w:cs="Times New Roman"/>
                <w:color w:val="auto"/>
                <w:sz w:val="24"/>
                <w:szCs w:val="24"/>
                <w:lang w:eastAsia="zh-CN"/>
              </w:rPr>
              <w:t>6666.6</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（10亩）</w:t>
            </w:r>
            <w:r>
              <w:rPr>
                <w:rFonts w:ascii="Times New Roman" w:hAnsi="Times New Roman" w:eastAsia="宋体" w:cs="Times New Roman"/>
                <w:color w:val="auto"/>
                <w:sz w:val="24"/>
                <w:szCs w:val="24"/>
                <w:lang w:eastAsia="zh-CN"/>
              </w:rPr>
              <w:t>，设置一条路基材料生产线，建成后年产10万吨路基材料项目主体工程、公用工程、环保工程及其他附属设施建设的工程组成如下。</w:t>
            </w:r>
          </w:p>
          <w:p w14:paraId="231C2805">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 xml:space="preserve">2 </w:t>
            </w:r>
            <w:r>
              <w:rPr>
                <w:rFonts w:ascii="Times New Roman" w:hAnsi="Times New Roman" w:eastAsia="宋体" w:cs="Times New Roman"/>
                <w:b/>
                <w:snapToGrid/>
                <w:color w:val="auto"/>
                <w:kern w:val="2"/>
                <w:sz w:val="24"/>
                <w:szCs w:val="24"/>
                <w:lang w:eastAsia="zh-CN" w:bidi="ar"/>
              </w:rPr>
              <w:t>项目工程组成</w:t>
            </w:r>
            <w:r>
              <w:rPr>
                <w:rFonts w:hint="eastAsia" w:ascii="Times New Roman" w:hAnsi="Times New Roman" w:eastAsia="宋体" w:cs="Times New Roman"/>
                <w:b/>
                <w:snapToGrid/>
                <w:color w:val="auto"/>
                <w:kern w:val="2"/>
                <w:sz w:val="24"/>
                <w:szCs w:val="24"/>
                <w:lang w:eastAsia="zh-CN" w:bidi="ar"/>
              </w:rPr>
              <w:t>一览</w:t>
            </w:r>
            <w:r>
              <w:rPr>
                <w:rFonts w:ascii="Times New Roman" w:hAnsi="Times New Roman" w:eastAsia="宋体" w:cs="Times New Roman"/>
                <w:b/>
                <w:snapToGrid/>
                <w:color w:val="auto"/>
                <w:kern w:val="2"/>
                <w:sz w:val="24"/>
                <w:szCs w:val="24"/>
                <w:lang w:eastAsia="zh-CN" w:bidi="ar"/>
              </w:rPr>
              <w:t>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75"/>
              <w:gridCol w:w="436"/>
              <w:gridCol w:w="870"/>
              <w:gridCol w:w="6201"/>
              <w:gridCol w:w="508"/>
            </w:tblGrid>
            <w:tr w14:paraId="0A42C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Align w:val="center"/>
                </w:tcPr>
                <w:p w14:paraId="0A37FE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类别</w:t>
                  </w:r>
                </w:p>
              </w:tc>
              <w:tc>
                <w:tcPr>
                  <w:tcW w:w="1306" w:type="dxa"/>
                  <w:gridSpan w:val="2"/>
                  <w:vAlign w:val="center"/>
                </w:tcPr>
                <w:p w14:paraId="211A992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工程名称</w:t>
                  </w:r>
                </w:p>
              </w:tc>
              <w:tc>
                <w:tcPr>
                  <w:tcW w:w="6201" w:type="dxa"/>
                  <w:vAlign w:val="center"/>
                </w:tcPr>
                <w:p w14:paraId="147187B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工程内容</w:t>
                  </w:r>
                </w:p>
              </w:tc>
              <w:tc>
                <w:tcPr>
                  <w:tcW w:w="508" w:type="dxa"/>
                  <w:vAlign w:val="center"/>
                </w:tcPr>
                <w:p w14:paraId="6270539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备注</w:t>
                  </w:r>
                </w:p>
              </w:tc>
            </w:tr>
            <w:tr w14:paraId="0EE61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3E7C58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主体工程</w:t>
                  </w:r>
                </w:p>
              </w:tc>
              <w:tc>
                <w:tcPr>
                  <w:tcW w:w="1306" w:type="dxa"/>
                  <w:gridSpan w:val="2"/>
                  <w:vAlign w:val="center"/>
                </w:tcPr>
                <w:p w14:paraId="436E484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w:t>
                  </w:r>
                  <w:r>
                    <w:rPr>
                      <w:rFonts w:hint="eastAsia" w:ascii="Times New Roman" w:hAnsi="Times New Roman" w:eastAsia="宋体" w:cs="Times New Roman"/>
                      <w:color w:val="auto"/>
                      <w:sz w:val="21"/>
                      <w:szCs w:val="21"/>
                      <w:lang w:eastAsia="zh-CN"/>
                    </w:rPr>
                    <w:t>厂房</w:t>
                  </w:r>
                </w:p>
              </w:tc>
              <w:tc>
                <w:tcPr>
                  <w:tcW w:w="6201" w:type="dxa"/>
                  <w:vAlign w:val="center"/>
                </w:tcPr>
                <w:p w14:paraId="78D7EDB6">
                  <w:pPr>
                    <w:pStyle w:val="30"/>
                    <w:kinsoku/>
                    <w:overflowPunct w:val="0"/>
                    <w:autoSpaceDE/>
                    <w:autoSpaceDN/>
                    <w:adjustRightInd/>
                    <w:snapToGrid/>
                    <w:ind w:firstLine="5"/>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内部</w:t>
                  </w:r>
                  <w:r>
                    <w:rPr>
                      <w:rFonts w:hint="eastAsia" w:ascii="Times New Roman" w:hAnsi="Times New Roman" w:eastAsia="宋体" w:cs="Times New Roman"/>
                      <w:b/>
                      <w:bCs/>
                      <w:color w:val="auto"/>
                      <w:sz w:val="21"/>
                      <w:szCs w:val="21"/>
                      <w:lang w:eastAsia="zh-CN"/>
                    </w:rPr>
                    <w:t>包含</w:t>
                  </w:r>
                  <w:r>
                    <w:rPr>
                      <w:rFonts w:hint="eastAsia" w:ascii="Times New Roman" w:hAnsi="Times New Roman" w:eastAsia="宋体" w:cs="Times New Roman"/>
                      <w:color w:val="auto"/>
                      <w:sz w:val="21"/>
                      <w:szCs w:val="21"/>
                      <w:lang w:eastAsia="zh-CN"/>
                    </w:rPr>
                    <w:t>生产区（130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）、1#原料堆场（100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）及废品仓库（300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2600m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，1层，1</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w:t>
                  </w:r>
                  <w:r>
                    <w:rPr>
                      <w:rFonts w:ascii="Times New Roman" w:hAnsi="Times New Roman" w:eastAsia="宋体" w:cs="Times New Roman"/>
                      <w:color w:val="auto"/>
                      <w:sz w:val="21"/>
                      <w:szCs w:val="21"/>
                      <w:lang w:eastAsia="zh-CN"/>
                    </w:rPr>
                    <w:t>钢架结构</w:t>
                  </w:r>
                  <w:r>
                    <w:rPr>
                      <w:rFonts w:hint="eastAsia" w:ascii="Times New Roman" w:hAnsi="Times New Roman" w:eastAsia="宋体" w:cs="Times New Roman"/>
                      <w:color w:val="auto"/>
                      <w:sz w:val="21"/>
                      <w:szCs w:val="21"/>
                      <w:lang w:eastAsia="zh-CN"/>
                    </w:rPr>
                    <w:t>，封闭厂房，仅设置一个出入口</w:t>
                  </w:r>
                  <w:r>
                    <w:rPr>
                      <w:rFonts w:ascii="Times New Roman" w:hAnsi="Times New Roman" w:eastAsia="宋体" w:cs="Times New Roman"/>
                      <w:color w:val="auto"/>
                      <w:sz w:val="21"/>
                      <w:szCs w:val="21"/>
                      <w:lang w:eastAsia="zh-CN"/>
                    </w:rPr>
                    <w:t>，地面硬化</w:t>
                  </w:r>
                  <w:r>
                    <w:rPr>
                      <w:rFonts w:hint="eastAsia" w:ascii="Times New Roman" w:hAnsi="Times New Roman" w:eastAsia="宋体" w:cs="Times New Roman"/>
                      <w:color w:val="auto"/>
                      <w:sz w:val="21"/>
                      <w:szCs w:val="21"/>
                      <w:lang w:eastAsia="zh-CN"/>
                    </w:rPr>
                    <w:t>。项目共设置1条路基材料生产线，年产10万吨路基材料，设置于生产厂房内。</w:t>
                  </w:r>
                </w:p>
              </w:tc>
              <w:tc>
                <w:tcPr>
                  <w:tcW w:w="508" w:type="dxa"/>
                  <w:vAlign w:val="center"/>
                </w:tcPr>
                <w:p w14:paraId="0EC74D1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3A5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D156A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29B006E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rPr>
                    <w:t>原料堆场</w:t>
                  </w:r>
                </w:p>
              </w:tc>
              <w:tc>
                <w:tcPr>
                  <w:tcW w:w="6201" w:type="dxa"/>
                  <w:vAlign w:val="center"/>
                </w:tcPr>
                <w:p w14:paraId="6106AFF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w:t>
                  </w:r>
                  <w:r>
                    <w:rPr>
                      <w:rFonts w:ascii="Times New Roman" w:hAnsi="Times New Roman" w:eastAsia="宋体" w:cs="Times New Roman"/>
                      <w:color w:val="auto"/>
                      <w:sz w:val="21"/>
                      <w:szCs w:val="21"/>
                      <w:lang w:eastAsia="zh-CN"/>
                    </w:rPr>
                    <w:t>内</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100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m，位于厂区北侧</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用于分区堆放改性磷石膏、砂石骨料等原料。</w:t>
                  </w:r>
                </w:p>
              </w:tc>
              <w:tc>
                <w:tcPr>
                  <w:tcW w:w="508" w:type="dxa"/>
                  <w:vAlign w:val="center"/>
                </w:tcPr>
                <w:p w14:paraId="5899E9A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451CA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1D428D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632EC61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r>
                    <w:rPr>
                      <w:rFonts w:ascii="Times New Roman" w:hAnsi="Times New Roman" w:eastAsia="宋体" w:cs="Times New Roman"/>
                      <w:color w:val="auto"/>
                      <w:sz w:val="21"/>
                      <w:szCs w:val="21"/>
                    </w:rPr>
                    <w:t>原料堆场</w:t>
                  </w:r>
                </w:p>
              </w:tc>
              <w:tc>
                <w:tcPr>
                  <w:tcW w:w="6201" w:type="dxa"/>
                  <w:vAlign w:val="center"/>
                </w:tcPr>
                <w:p w14:paraId="1473783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170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m，利用场地上现有的封闭厂房，对其进行改造，建设连廊连接生产厂房，使原料可通过密闭皮带运输至生产厂房计量设备；仅设置一个出入口</w:t>
                  </w:r>
                  <w:r>
                    <w:rPr>
                      <w:rFonts w:ascii="Times New Roman" w:hAnsi="Times New Roman" w:eastAsia="宋体" w:cs="Times New Roman"/>
                      <w:color w:val="auto"/>
                      <w:sz w:val="21"/>
                      <w:szCs w:val="21"/>
                      <w:lang w:eastAsia="zh-CN"/>
                    </w:rPr>
                    <w:t>，地面硬化。</w:t>
                  </w:r>
                  <w:r>
                    <w:rPr>
                      <w:rFonts w:hint="eastAsia" w:ascii="Times New Roman" w:hAnsi="Times New Roman" w:eastAsia="宋体" w:cs="Times New Roman"/>
                      <w:color w:val="auto"/>
                      <w:sz w:val="21"/>
                      <w:szCs w:val="21"/>
                      <w:lang w:eastAsia="zh-CN"/>
                    </w:rPr>
                    <w:t>用于分区堆放改性磷石膏、砂石骨料等原料。</w:t>
                  </w:r>
                </w:p>
              </w:tc>
              <w:tc>
                <w:tcPr>
                  <w:tcW w:w="508" w:type="dxa"/>
                  <w:vAlign w:val="center"/>
                </w:tcPr>
                <w:p w14:paraId="2CD6BCF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利用现有厂房</w:t>
                  </w:r>
                </w:p>
              </w:tc>
            </w:tr>
            <w:tr w14:paraId="30698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76370B1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辅助工程</w:t>
                  </w:r>
                </w:p>
              </w:tc>
              <w:tc>
                <w:tcPr>
                  <w:tcW w:w="1306" w:type="dxa"/>
                  <w:gridSpan w:val="2"/>
                  <w:vAlign w:val="center"/>
                </w:tcPr>
                <w:p w14:paraId="38B2598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成品</w:t>
                  </w:r>
                  <w:r>
                    <w:rPr>
                      <w:rFonts w:hint="eastAsia" w:ascii="Times New Roman" w:hAnsi="Times New Roman" w:eastAsia="宋体" w:cs="Times New Roman"/>
                      <w:color w:val="auto"/>
                      <w:sz w:val="21"/>
                      <w:szCs w:val="21"/>
                      <w:lang w:eastAsia="zh-CN"/>
                    </w:rPr>
                    <w:t>仓库</w:t>
                  </w:r>
                </w:p>
              </w:tc>
              <w:tc>
                <w:tcPr>
                  <w:tcW w:w="6201" w:type="dxa"/>
                  <w:vAlign w:val="center"/>
                </w:tcPr>
                <w:p w14:paraId="2D21BC4E">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00m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1层，10m，砖混结构，</w:t>
                  </w: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厂房西侧，用于暂时存放产品</w:t>
                  </w:r>
                  <w:r>
                    <w:rPr>
                      <w:rFonts w:ascii="Times New Roman" w:hAnsi="Times New Roman" w:eastAsia="宋体" w:cs="Times New Roman"/>
                      <w:color w:val="auto"/>
                      <w:sz w:val="21"/>
                      <w:szCs w:val="21"/>
                      <w:lang w:eastAsia="zh-CN"/>
                    </w:rPr>
                    <w:t>。</w:t>
                  </w:r>
                </w:p>
              </w:tc>
              <w:tc>
                <w:tcPr>
                  <w:tcW w:w="508" w:type="dxa"/>
                  <w:vAlign w:val="center"/>
                </w:tcPr>
                <w:p w14:paraId="0241C68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7C39D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BBB7C0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42932F1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废品仓库</w:t>
                  </w:r>
                </w:p>
              </w:tc>
              <w:tc>
                <w:tcPr>
                  <w:tcW w:w="6201" w:type="dxa"/>
                  <w:vAlign w:val="center"/>
                </w:tcPr>
                <w:p w14:paraId="2382E89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设置在生产</w:t>
                  </w:r>
                  <w:r>
                    <w:rPr>
                      <w:rFonts w:hint="eastAsia" w:ascii="Times New Roman" w:hAnsi="Times New Roman" w:eastAsia="宋体" w:cs="Times New Roman"/>
                      <w:color w:val="auto"/>
                      <w:sz w:val="21"/>
                      <w:szCs w:val="21"/>
                      <w:lang w:eastAsia="zh-CN"/>
                    </w:rPr>
                    <w:t>厂房</w:t>
                  </w:r>
                  <w:r>
                    <w:rPr>
                      <w:rFonts w:ascii="Times New Roman" w:hAnsi="Times New Roman" w:eastAsia="宋体" w:cs="Times New Roman"/>
                      <w:color w:val="auto"/>
                      <w:sz w:val="21"/>
                      <w:szCs w:val="21"/>
                      <w:lang w:eastAsia="zh-CN"/>
                    </w:rPr>
                    <w:t>内</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占地面积为</w:t>
                  </w:r>
                  <w:r>
                    <w:rPr>
                      <w:rFonts w:hint="eastAsia" w:ascii="Times New Roman" w:hAnsi="Times New Roman" w:eastAsia="宋体" w:cs="Times New Roman"/>
                      <w:color w:val="auto"/>
                      <w:sz w:val="21"/>
                      <w:szCs w:val="21"/>
                      <w:lang w:eastAsia="zh-CN"/>
                    </w:rPr>
                    <w:t>30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，1层，1</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eastAsia="zh-CN"/>
                    </w:rPr>
                    <w:t>m，位于厂区北侧</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用于暂存不合格产品，待其转运至有资质单位统一无害化处理。</w:t>
                  </w:r>
                </w:p>
              </w:tc>
              <w:tc>
                <w:tcPr>
                  <w:tcW w:w="508" w:type="dxa"/>
                  <w:vAlign w:val="center"/>
                </w:tcPr>
                <w:p w14:paraId="7022A5A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623C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104BB86">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3D9AEF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筒仓</w:t>
                  </w:r>
                </w:p>
              </w:tc>
              <w:tc>
                <w:tcPr>
                  <w:tcW w:w="6201" w:type="dxa"/>
                  <w:vAlign w:val="center"/>
                </w:tcPr>
                <w:p w14:paraId="7BD76A77">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1座，高1</w:t>
                  </w:r>
                  <w:r>
                    <w:rPr>
                      <w:rFonts w:hint="eastAsia" w:ascii="Times New Roman" w:hAnsi="Times New Roman" w:eastAsia="宋体" w:cs="Times New Roman"/>
                      <w:color w:val="auto"/>
                      <w:sz w:val="21"/>
                      <w:szCs w:val="21"/>
                      <w:lang w:eastAsia="zh-CN"/>
                    </w:rPr>
                    <w:t>7</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lang w:eastAsia="zh-CN"/>
                    </w:rPr>
                    <w:t>钢制，</w:t>
                  </w:r>
                  <w:r>
                    <w:rPr>
                      <w:rFonts w:ascii="Times New Roman" w:hAnsi="Times New Roman" w:eastAsia="宋体" w:cs="Times New Roman"/>
                      <w:color w:val="auto"/>
                      <w:sz w:val="21"/>
                      <w:szCs w:val="21"/>
                      <w:lang w:eastAsia="zh-CN"/>
                    </w:rPr>
                    <w:t>容量</w:t>
                  </w:r>
                  <w:r>
                    <w:rPr>
                      <w:rFonts w:hint="eastAsia" w:ascii="Times New Roman" w:hAnsi="Times New Roman" w:eastAsia="宋体" w:cs="Times New Roman"/>
                      <w:color w:val="auto"/>
                      <w:sz w:val="21"/>
                      <w:szCs w:val="21"/>
                      <w:lang w:eastAsia="zh-CN"/>
                    </w:rPr>
                    <w:t>20t，用于存放粉煤灰，上部自带有脉冲布袋除尘器，用于处理筒仓粉尘，处理后由排气筒（DA00</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eastAsia="zh-CN"/>
                    </w:rPr>
                    <w:t>）排放。</w:t>
                  </w:r>
                </w:p>
              </w:tc>
              <w:tc>
                <w:tcPr>
                  <w:tcW w:w="508" w:type="dxa"/>
                  <w:vAlign w:val="center"/>
                </w:tcPr>
                <w:p w14:paraId="121C498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39F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24D163C">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225ACCF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办公室</w:t>
                  </w:r>
                </w:p>
              </w:tc>
              <w:tc>
                <w:tcPr>
                  <w:tcW w:w="6201" w:type="dxa"/>
                  <w:vAlign w:val="center"/>
                </w:tcPr>
                <w:p w14:paraId="10752EE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砖混结构，主要用</w:t>
                  </w:r>
                  <w:r>
                    <w:rPr>
                      <w:rFonts w:hint="eastAsia" w:ascii="Times New Roman" w:hAnsi="Times New Roman" w:eastAsia="宋体" w:cs="Times New Roman"/>
                      <w:color w:val="auto"/>
                      <w:sz w:val="21"/>
                      <w:szCs w:val="21"/>
                      <w:lang w:eastAsia="zh-CN"/>
                    </w:rPr>
                    <w:t>于日常办公。</w:t>
                  </w:r>
                </w:p>
              </w:tc>
              <w:tc>
                <w:tcPr>
                  <w:tcW w:w="508" w:type="dxa"/>
                  <w:vAlign w:val="center"/>
                </w:tcPr>
                <w:p w14:paraId="7A94A58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5FF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56FB6F9">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29CB1FC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过磅室</w:t>
                  </w:r>
                </w:p>
              </w:tc>
              <w:tc>
                <w:tcPr>
                  <w:tcW w:w="6201" w:type="dxa"/>
                  <w:vAlign w:val="center"/>
                </w:tcPr>
                <w:p w14:paraId="708E433E">
                  <w:pPr>
                    <w:pStyle w:val="30"/>
                    <w:kinsoku/>
                    <w:overflowPunct w:val="0"/>
                    <w:autoSpaceDE/>
                    <w:autoSpaceDN/>
                    <w:adjustRightInd/>
                    <w:snapToGrid/>
                    <w:ind w:firstLine="32"/>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均</w:t>
                  </w:r>
                  <w:r>
                    <w:rPr>
                      <w:rFonts w:ascii="Times New Roman" w:hAnsi="Times New Roman" w:eastAsia="宋体" w:cs="Times New Roman"/>
                      <w:color w:val="auto"/>
                      <w:sz w:val="21"/>
                      <w:szCs w:val="21"/>
                      <w:lang w:eastAsia="zh-CN"/>
                    </w:rPr>
                    <w:t>为</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0m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2个，3.5m，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设置</w:t>
                  </w:r>
                  <w:r>
                    <w:rPr>
                      <w:rFonts w:hint="eastAsia" w:ascii="Times New Roman" w:hAnsi="Times New Roman" w:eastAsia="宋体" w:cs="Times New Roman"/>
                      <w:color w:val="auto"/>
                      <w:sz w:val="21"/>
                      <w:szCs w:val="21"/>
                      <w:lang w:eastAsia="zh-CN"/>
                    </w:rPr>
                    <w:t>于1#</w:t>
                  </w:r>
                  <w:r>
                    <w:rPr>
                      <w:rFonts w:ascii="Times New Roman" w:hAnsi="Times New Roman" w:eastAsia="宋体" w:cs="Times New Roman"/>
                      <w:color w:val="auto"/>
                      <w:sz w:val="21"/>
                      <w:szCs w:val="21"/>
                      <w:lang w:eastAsia="zh-CN"/>
                    </w:rPr>
                    <w:t>原料堆场</w:t>
                  </w:r>
                  <w:r>
                    <w:rPr>
                      <w:rFonts w:hint="eastAsia" w:ascii="Times New Roman" w:hAnsi="Times New Roman" w:eastAsia="宋体" w:cs="Times New Roman"/>
                      <w:color w:val="auto"/>
                      <w:sz w:val="21"/>
                      <w:szCs w:val="21"/>
                      <w:lang w:eastAsia="zh-CN"/>
                    </w:rPr>
                    <w:t>和2#</w:t>
                  </w:r>
                  <w:r>
                    <w:rPr>
                      <w:rFonts w:ascii="Times New Roman" w:hAnsi="Times New Roman" w:eastAsia="宋体" w:cs="Times New Roman"/>
                      <w:color w:val="auto"/>
                      <w:sz w:val="21"/>
                      <w:szCs w:val="21"/>
                      <w:lang w:eastAsia="zh-CN"/>
                    </w:rPr>
                    <w:t>原料堆场</w:t>
                  </w:r>
                  <w:r>
                    <w:rPr>
                      <w:rFonts w:hint="eastAsia" w:ascii="Times New Roman" w:hAnsi="Times New Roman" w:eastAsia="宋体" w:cs="Times New Roman"/>
                      <w:color w:val="auto"/>
                      <w:sz w:val="21"/>
                      <w:szCs w:val="21"/>
                      <w:lang w:eastAsia="zh-CN"/>
                    </w:rPr>
                    <w:t>旁，旁边道路设置地磅，用于对进出货车称重记录</w:t>
                  </w:r>
                  <w:r>
                    <w:rPr>
                      <w:rFonts w:ascii="Times New Roman" w:hAnsi="Times New Roman" w:eastAsia="宋体" w:cs="Times New Roman"/>
                      <w:color w:val="auto"/>
                      <w:sz w:val="21"/>
                      <w:szCs w:val="21"/>
                      <w:lang w:eastAsia="zh-CN"/>
                    </w:rPr>
                    <w:t>。</w:t>
                  </w:r>
                </w:p>
              </w:tc>
              <w:tc>
                <w:tcPr>
                  <w:tcW w:w="508" w:type="dxa"/>
                  <w:vAlign w:val="center"/>
                </w:tcPr>
                <w:p w14:paraId="1CB6A5B3">
                  <w:pPr>
                    <w:pStyle w:val="30"/>
                    <w:kinsoku/>
                    <w:overflowPunct w:val="0"/>
                    <w:autoSpaceDE/>
                    <w:autoSpaceDN/>
                    <w:adjustRightInd/>
                    <w:snapToGrid/>
                    <w:ind w:firstLine="5"/>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5FD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6F9C61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7324EF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厨房</w:t>
                  </w:r>
                </w:p>
              </w:tc>
              <w:tc>
                <w:tcPr>
                  <w:tcW w:w="6201" w:type="dxa"/>
                  <w:vAlign w:val="center"/>
                </w:tcPr>
                <w:p w14:paraId="700CC41B">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50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，1层，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，位于宿舍楼西侧。</w:t>
                  </w:r>
                </w:p>
              </w:tc>
              <w:tc>
                <w:tcPr>
                  <w:tcW w:w="508" w:type="dxa"/>
                  <w:vAlign w:val="center"/>
                </w:tcPr>
                <w:p w14:paraId="34CC203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5B5E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2158476">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E87679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宿舍</w:t>
                  </w:r>
                </w:p>
              </w:tc>
              <w:tc>
                <w:tcPr>
                  <w:tcW w:w="6201" w:type="dxa"/>
                  <w:vAlign w:val="center"/>
                </w:tcPr>
                <w:p w14:paraId="3B9D61E5">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150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层，</w:t>
                  </w:r>
                  <w:r>
                    <w:rPr>
                      <w:rFonts w:hint="eastAsia" w:ascii="Times New Roman" w:hAnsi="Times New Roman" w:eastAsia="宋体" w:cs="Times New Roman"/>
                      <w:color w:val="auto"/>
                      <w:sz w:val="21"/>
                      <w:szCs w:val="21"/>
                      <w:lang w:eastAsia="zh-CN"/>
                    </w:rPr>
                    <w:t>3.5m，</w:t>
                  </w:r>
                  <w:r>
                    <w:rPr>
                      <w:rFonts w:ascii="Times New Roman" w:hAnsi="Times New Roman" w:eastAsia="宋体" w:cs="Times New Roman"/>
                      <w:color w:val="auto"/>
                      <w:sz w:val="21"/>
                      <w:szCs w:val="21"/>
                      <w:lang w:eastAsia="zh-CN"/>
                    </w:rPr>
                    <w:t>砖混结构</w:t>
                  </w:r>
                  <w:r>
                    <w:rPr>
                      <w:rFonts w:hint="eastAsia" w:ascii="Times New Roman" w:hAnsi="Times New Roman" w:eastAsia="宋体" w:cs="Times New Roman"/>
                      <w:color w:val="auto"/>
                      <w:sz w:val="21"/>
                      <w:szCs w:val="21"/>
                      <w:lang w:eastAsia="zh-CN"/>
                    </w:rPr>
                    <w:t>，位于</w:t>
                  </w:r>
                  <w:r>
                    <w:rPr>
                      <w:rFonts w:ascii="Times New Roman" w:hAnsi="Times New Roman" w:eastAsia="宋体" w:cs="Times New Roman"/>
                      <w:color w:val="auto"/>
                      <w:sz w:val="21"/>
                      <w:szCs w:val="21"/>
                      <w:lang w:eastAsia="zh-CN"/>
                    </w:rPr>
                    <w:t>生产</w:t>
                  </w:r>
                  <w:r>
                    <w:rPr>
                      <w:rFonts w:hint="eastAsia" w:ascii="Times New Roman" w:hAnsi="Times New Roman" w:eastAsia="宋体" w:cs="Times New Roman"/>
                      <w:color w:val="auto"/>
                      <w:sz w:val="21"/>
                      <w:szCs w:val="21"/>
                      <w:lang w:eastAsia="zh-CN"/>
                    </w:rPr>
                    <w:t>厂房北侧，用于工人休息。</w:t>
                  </w:r>
                </w:p>
              </w:tc>
              <w:tc>
                <w:tcPr>
                  <w:tcW w:w="508" w:type="dxa"/>
                  <w:vAlign w:val="center"/>
                </w:tcPr>
                <w:p w14:paraId="1FC172D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新建</w:t>
                  </w:r>
                </w:p>
              </w:tc>
            </w:tr>
            <w:tr w14:paraId="1210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C10B369">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07BFA0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门卫室</w:t>
                  </w:r>
                </w:p>
              </w:tc>
              <w:tc>
                <w:tcPr>
                  <w:tcW w:w="6201" w:type="dxa"/>
                  <w:vAlign w:val="center"/>
                </w:tcPr>
                <w:p w14:paraId="5D8E9A5D">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占地面积</w:t>
                  </w:r>
                  <w:r>
                    <w:rPr>
                      <w:rFonts w:hint="eastAsia" w:ascii="Times New Roman" w:hAnsi="Times New Roman" w:eastAsia="宋体" w:cs="Times New Roman"/>
                      <w:color w:val="auto"/>
                      <w:sz w:val="21"/>
                      <w:szCs w:val="21"/>
                      <w:lang w:eastAsia="zh-CN"/>
                    </w:rPr>
                    <w:t>5</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1层，3.5m，位于厂区大门旁，用于保安值守。</w:t>
                  </w:r>
                </w:p>
              </w:tc>
              <w:tc>
                <w:tcPr>
                  <w:tcW w:w="508" w:type="dxa"/>
                  <w:vAlign w:val="center"/>
                </w:tcPr>
                <w:p w14:paraId="42C4C6F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新建</w:t>
                  </w:r>
                </w:p>
              </w:tc>
            </w:tr>
            <w:tr w14:paraId="1CDE7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8B972F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6D7D345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连廊</w:t>
                  </w:r>
                </w:p>
              </w:tc>
              <w:tc>
                <w:tcPr>
                  <w:tcW w:w="6201" w:type="dxa"/>
                  <w:vAlign w:val="center"/>
                </w:tcPr>
                <w:p w14:paraId="774DE50A">
                  <w:pPr>
                    <w:pStyle w:val="30"/>
                    <w:kinsoku/>
                    <w:overflowPunct w:val="0"/>
                    <w:autoSpaceDE/>
                    <w:autoSpaceDN/>
                    <w:adjustRightInd/>
                    <w:snapToGrid/>
                    <w:ind w:firstLine="30"/>
                    <w:rPr>
                      <w:rFonts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eastAsia="zh-CN"/>
                    </w:rPr>
                    <w:t>套，钢结构，连接2#原料堆场和生产厂房，用于设置密闭皮带运输原料至计量设备。</w:t>
                  </w:r>
                </w:p>
              </w:tc>
              <w:tc>
                <w:tcPr>
                  <w:tcW w:w="508" w:type="dxa"/>
                  <w:vAlign w:val="center"/>
                </w:tcPr>
                <w:p w14:paraId="02589F2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新建</w:t>
                  </w:r>
                </w:p>
              </w:tc>
            </w:tr>
            <w:tr w14:paraId="23217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1CC8A49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公用工程</w:t>
                  </w:r>
                </w:p>
              </w:tc>
              <w:tc>
                <w:tcPr>
                  <w:tcW w:w="1306" w:type="dxa"/>
                  <w:gridSpan w:val="2"/>
                  <w:vAlign w:val="center"/>
                </w:tcPr>
                <w:p w14:paraId="585E70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供电工程</w:t>
                  </w:r>
                </w:p>
              </w:tc>
              <w:tc>
                <w:tcPr>
                  <w:tcW w:w="6201" w:type="dxa"/>
                  <w:vAlign w:val="center"/>
                </w:tcPr>
                <w:p w14:paraId="3A1B04D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项目用电由</w:t>
                  </w:r>
                  <w:r>
                    <w:rPr>
                      <w:rFonts w:hint="eastAsia" w:ascii="Times New Roman" w:hAnsi="Times New Roman" w:eastAsia="宋体" w:cs="Times New Roman"/>
                      <w:color w:val="auto"/>
                      <w:sz w:val="21"/>
                      <w:szCs w:val="21"/>
                      <w:lang w:eastAsia="zh-CN"/>
                    </w:rPr>
                    <w:t>寻甸县市政</w:t>
                  </w:r>
                  <w:r>
                    <w:rPr>
                      <w:rFonts w:ascii="Times New Roman" w:hAnsi="Times New Roman" w:eastAsia="宋体" w:cs="Times New Roman"/>
                      <w:color w:val="auto"/>
                      <w:sz w:val="21"/>
                      <w:szCs w:val="21"/>
                      <w:lang w:eastAsia="zh-CN"/>
                    </w:rPr>
                    <w:t>电网统一供给。</w:t>
                  </w:r>
                </w:p>
              </w:tc>
              <w:tc>
                <w:tcPr>
                  <w:tcW w:w="508" w:type="dxa"/>
                  <w:vAlign w:val="center"/>
                </w:tcPr>
                <w:p w14:paraId="3994F90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5B83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64C558B">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97A9BE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供水工程</w:t>
                  </w:r>
                </w:p>
              </w:tc>
              <w:tc>
                <w:tcPr>
                  <w:tcW w:w="6201" w:type="dxa"/>
                  <w:vAlign w:val="center"/>
                </w:tcPr>
                <w:p w14:paraId="7FBC922F">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项目用水由</w:t>
                  </w:r>
                  <w:r>
                    <w:rPr>
                      <w:rFonts w:hint="eastAsia" w:ascii="Times New Roman" w:hAnsi="Times New Roman" w:eastAsia="宋体" w:cs="Times New Roman"/>
                      <w:color w:val="auto"/>
                      <w:sz w:val="21"/>
                      <w:szCs w:val="21"/>
                      <w:lang w:eastAsia="zh-CN"/>
                    </w:rPr>
                    <w:t>寻甸县市政</w:t>
                  </w:r>
                  <w:r>
                    <w:rPr>
                      <w:rFonts w:ascii="Times New Roman" w:hAnsi="Times New Roman" w:eastAsia="宋体" w:cs="Times New Roman"/>
                      <w:color w:val="auto"/>
                      <w:sz w:val="21"/>
                      <w:szCs w:val="21"/>
                      <w:lang w:eastAsia="zh-CN"/>
                    </w:rPr>
                    <w:t>供水管道</w:t>
                  </w:r>
                  <w:r>
                    <w:rPr>
                      <w:rFonts w:hint="eastAsia" w:ascii="Times New Roman" w:hAnsi="Times New Roman" w:eastAsia="宋体" w:cs="Times New Roman"/>
                      <w:color w:val="auto"/>
                      <w:sz w:val="21"/>
                      <w:szCs w:val="21"/>
                      <w:lang w:eastAsia="zh-CN"/>
                    </w:rPr>
                    <w:t>供给</w:t>
                  </w:r>
                  <w:r>
                    <w:rPr>
                      <w:rFonts w:ascii="Times New Roman" w:hAnsi="Times New Roman" w:eastAsia="宋体" w:cs="Times New Roman"/>
                      <w:color w:val="auto"/>
                      <w:sz w:val="21"/>
                      <w:szCs w:val="21"/>
                      <w:lang w:eastAsia="zh-CN"/>
                    </w:rPr>
                    <w:t>。</w:t>
                  </w:r>
                </w:p>
              </w:tc>
              <w:tc>
                <w:tcPr>
                  <w:tcW w:w="508" w:type="dxa"/>
                  <w:vAlign w:val="center"/>
                </w:tcPr>
                <w:p w14:paraId="0041130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78D51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C5F23C5">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18EC302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排水工程</w:t>
                  </w:r>
                </w:p>
              </w:tc>
              <w:tc>
                <w:tcPr>
                  <w:tcW w:w="6201" w:type="dxa"/>
                  <w:vAlign w:val="center"/>
                </w:tcPr>
                <w:p w14:paraId="3801390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项目实行雨污分流，</w:t>
                  </w:r>
                  <w:r>
                    <w:rPr>
                      <w:rFonts w:hint="eastAsia" w:ascii="Times New Roman" w:hAnsi="Times New Roman" w:eastAsia="宋体" w:cs="Times New Roman"/>
                      <w:color w:val="auto"/>
                      <w:sz w:val="21"/>
                      <w:szCs w:val="21"/>
                      <w:lang w:eastAsia="zh-CN"/>
                    </w:rPr>
                    <w:t>建设雨水沟，</w:t>
                  </w:r>
                  <w:r>
                    <w:rPr>
                      <w:rFonts w:ascii="Times New Roman" w:hAnsi="Times New Roman" w:eastAsia="宋体" w:cs="Times New Roman"/>
                      <w:color w:val="auto"/>
                      <w:sz w:val="21"/>
                      <w:szCs w:val="21"/>
                      <w:lang w:eastAsia="zh-CN"/>
                    </w:rPr>
                    <w:t>初期雨水经</w:t>
                  </w:r>
                  <w:r>
                    <w:rPr>
                      <w:rFonts w:hint="eastAsia" w:ascii="Times New Roman" w:hAnsi="Times New Roman" w:eastAsia="宋体" w:cs="Times New Roman"/>
                      <w:color w:val="auto"/>
                      <w:sz w:val="21"/>
                      <w:szCs w:val="21"/>
                      <w:lang w:eastAsia="zh-CN"/>
                    </w:rPr>
                    <w:t>初期雨水收集池</w:t>
                  </w:r>
                  <w:r>
                    <w:rPr>
                      <w:rFonts w:hint="eastAsia" w:cs="Times New Roman"/>
                      <w:color w:val="auto"/>
                      <w:sz w:val="21"/>
                      <w:szCs w:val="21"/>
                      <w:lang w:val="en-US" w:eastAsia="zh-CN"/>
                    </w:rPr>
                    <w:t>絮凝</w:t>
                  </w:r>
                  <w:r>
                    <w:rPr>
                      <w:rFonts w:hint="eastAsia" w:ascii="Times New Roman" w:hAnsi="Times New Roman" w:eastAsia="宋体" w:cs="Times New Roman"/>
                      <w:color w:val="auto"/>
                      <w:sz w:val="21"/>
                      <w:szCs w:val="21"/>
                      <w:lang w:eastAsia="zh-CN"/>
                    </w:rPr>
                    <w:t>沉淀</w:t>
                  </w:r>
                  <w:r>
                    <w:rPr>
                      <w:rFonts w:ascii="Times New Roman" w:hAnsi="Times New Roman" w:eastAsia="宋体" w:cs="Times New Roman"/>
                      <w:color w:val="auto"/>
                      <w:sz w:val="21"/>
                      <w:szCs w:val="21"/>
                      <w:lang w:eastAsia="zh-CN"/>
                    </w:rPr>
                    <w:t>处理后</w:t>
                  </w:r>
                  <w:r>
                    <w:rPr>
                      <w:rFonts w:hint="eastAsia" w:ascii="Times New Roman" w:hAnsi="Times New Roman" w:eastAsia="宋体" w:cs="Times New Roman"/>
                      <w:color w:val="auto"/>
                      <w:sz w:val="21"/>
                      <w:szCs w:val="21"/>
                      <w:lang w:eastAsia="zh-CN"/>
                    </w:rPr>
                    <w:t>回用于厂区降尘，</w:t>
                  </w:r>
                  <w:r>
                    <w:rPr>
                      <w:rFonts w:hint="eastAsia" w:ascii="Times New Roman" w:hAnsi="Times New Roman" w:eastAsia="宋体" w:cs="Times New Roman"/>
                      <w:color w:val="auto"/>
                      <w:sz w:val="21"/>
                      <w:szCs w:val="21"/>
                      <w:lang w:val="en-US" w:eastAsia="zh-CN"/>
                    </w:rPr>
                    <w:t>其余雨水经雨水排口进入村庄雨水沟</w:t>
                  </w:r>
                  <w:r>
                    <w:rPr>
                      <w:rFonts w:ascii="Times New Roman" w:hAnsi="Times New Roman" w:eastAsia="宋体" w:cs="Times New Roman"/>
                      <w:color w:val="auto"/>
                      <w:sz w:val="21"/>
                      <w:szCs w:val="21"/>
                      <w:lang w:eastAsia="zh-CN"/>
                    </w:rPr>
                    <w:t>。项目生产过程中不产生废水，食堂废水经隔油池处理后与其他生活污水</w:t>
                  </w:r>
                  <w:r>
                    <w:rPr>
                      <w:rFonts w:hint="eastAsia" w:ascii="Times New Roman" w:hAnsi="Times New Roman" w:eastAsia="宋体" w:cs="Times New Roman"/>
                      <w:color w:val="auto"/>
                      <w:sz w:val="21"/>
                      <w:szCs w:val="21"/>
                      <w:lang w:eastAsia="zh-CN"/>
                    </w:rPr>
                    <w:t>进入化粪池</w:t>
                  </w:r>
                  <w:r>
                    <w:rPr>
                      <w:rFonts w:ascii="Times New Roman" w:hAnsi="Times New Roman" w:eastAsia="宋体" w:cs="Times New Roman"/>
                      <w:color w:val="auto"/>
                      <w:sz w:val="21"/>
                      <w:szCs w:val="21"/>
                      <w:lang w:eastAsia="zh-CN"/>
                    </w:rPr>
                    <w:t>处理</w:t>
                  </w:r>
                  <w:r>
                    <w:rPr>
                      <w:rFonts w:hint="eastAsia" w:ascii="Times New Roman" w:hAnsi="Times New Roman" w:eastAsia="宋体" w:cs="Times New Roman"/>
                      <w:color w:val="auto"/>
                      <w:sz w:val="21"/>
                      <w:szCs w:val="21"/>
                      <w:lang w:eastAsia="zh-CN"/>
                    </w:rPr>
                    <w:t>，最终进入一体化污水处理设施，处理后回用于厂内绿化及降尘</w:t>
                  </w:r>
                  <w:r>
                    <w:rPr>
                      <w:rFonts w:ascii="Times New Roman" w:hAnsi="Times New Roman" w:eastAsia="宋体" w:cs="Times New Roman"/>
                      <w:color w:val="auto"/>
                      <w:sz w:val="21"/>
                      <w:szCs w:val="21"/>
                      <w:lang w:eastAsia="zh-CN"/>
                    </w:rPr>
                    <w:t>。</w:t>
                  </w:r>
                </w:p>
              </w:tc>
              <w:tc>
                <w:tcPr>
                  <w:tcW w:w="508" w:type="dxa"/>
                  <w:vAlign w:val="center"/>
                </w:tcPr>
                <w:p w14:paraId="21F616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7791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228428BE">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431BD27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道路</w:t>
                  </w:r>
                </w:p>
              </w:tc>
              <w:tc>
                <w:tcPr>
                  <w:tcW w:w="6201" w:type="dxa"/>
                  <w:vAlign w:val="center"/>
                </w:tcPr>
                <w:p w14:paraId="1D663072">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厂区设置环形硬化道路，路宽4.5m，用于厂区内通行。</w:t>
                  </w:r>
                </w:p>
              </w:tc>
              <w:tc>
                <w:tcPr>
                  <w:tcW w:w="508" w:type="dxa"/>
                  <w:vAlign w:val="center"/>
                </w:tcPr>
                <w:p w14:paraId="745D39A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EC0F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restart"/>
                  <w:vAlign w:val="center"/>
                </w:tcPr>
                <w:p w14:paraId="3AE2AE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环保工程</w:t>
                  </w:r>
                </w:p>
              </w:tc>
              <w:tc>
                <w:tcPr>
                  <w:tcW w:w="436" w:type="dxa"/>
                  <w:vMerge w:val="restart"/>
                  <w:vAlign w:val="center"/>
                </w:tcPr>
                <w:p w14:paraId="25589A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870" w:type="dxa"/>
                  <w:vAlign w:val="center"/>
                </w:tcPr>
                <w:p w14:paraId="531BE68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脉冲布袋除尘器</w:t>
                  </w:r>
                </w:p>
              </w:tc>
              <w:tc>
                <w:tcPr>
                  <w:tcW w:w="6201" w:type="dxa"/>
                  <w:vAlign w:val="center"/>
                </w:tcPr>
                <w:p w14:paraId="7067AD2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1个，筒仓自带的布袋除尘器，位于筒仓顶部，用于处理粉煤灰卸料室产生的粉尘，处理效率99%。</w:t>
                  </w:r>
                </w:p>
              </w:tc>
              <w:tc>
                <w:tcPr>
                  <w:tcW w:w="508" w:type="dxa"/>
                  <w:vAlign w:val="center"/>
                </w:tcPr>
                <w:p w14:paraId="546A580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4049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1B93C5AB">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F12E2A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628DD69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布袋除尘器</w:t>
                  </w:r>
                </w:p>
              </w:tc>
              <w:tc>
                <w:tcPr>
                  <w:tcW w:w="6201" w:type="dxa"/>
                  <w:vAlign w:val="center"/>
                </w:tcPr>
                <w:p w14:paraId="766F3CD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建设一个布袋除尘器，设置于生产厂房西南侧，用于处理出料粉尘、搅拌粉尘，风量为</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eastAsia="zh-CN"/>
                    </w:rPr>
                    <w:t>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/h，处理效率99%。</w:t>
                  </w:r>
                </w:p>
              </w:tc>
              <w:tc>
                <w:tcPr>
                  <w:tcW w:w="508" w:type="dxa"/>
                  <w:vAlign w:val="center"/>
                </w:tcPr>
                <w:p w14:paraId="247E15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F2A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105AE6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A55FAF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1F8935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集气罩</w:t>
                  </w:r>
                </w:p>
              </w:tc>
              <w:tc>
                <w:tcPr>
                  <w:tcW w:w="6201" w:type="dxa"/>
                  <w:vAlign w:val="center"/>
                </w:tcPr>
                <w:p w14:paraId="6DD0F8A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共</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eastAsia="zh-CN"/>
                    </w:rPr>
                    <w:t>个，半密闭集气罩，收集率</w:t>
                  </w: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eastAsia="zh-CN"/>
                    </w:rPr>
                    <w:t>0%，位于皮带上料处和双轴混料搅拌机出料口处，用于收集上料粉尘及出料粉尘。</w:t>
                  </w:r>
                </w:p>
              </w:tc>
              <w:tc>
                <w:tcPr>
                  <w:tcW w:w="508" w:type="dxa"/>
                  <w:vAlign w:val="center"/>
                </w:tcPr>
                <w:p w14:paraId="04DF8C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1377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5E9FFCD">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D07468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B2A32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废气管道</w:t>
                  </w:r>
                </w:p>
              </w:tc>
              <w:tc>
                <w:tcPr>
                  <w:tcW w:w="6201" w:type="dxa"/>
                  <w:vAlign w:val="center"/>
                </w:tcPr>
                <w:p w14:paraId="6CCF7B6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连接集气罩、搅拌机的废气收集管道，用于将粉尘引至布袋除尘器处理，d=0.</w:t>
                  </w:r>
                  <w:r>
                    <w:rPr>
                      <w:rFonts w:hint="eastAsia" w:cs="Times New Roman"/>
                      <w:color w:val="auto"/>
                      <w:sz w:val="21"/>
                      <w:szCs w:val="21"/>
                      <w:lang w:val="en-US" w:eastAsia="zh-CN"/>
                    </w:rPr>
                    <w:t>35</w:t>
                  </w:r>
                  <w:r>
                    <w:rPr>
                      <w:rFonts w:hint="eastAsia" w:ascii="Times New Roman" w:hAnsi="Times New Roman" w:eastAsia="宋体" w:cs="Times New Roman"/>
                      <w:color w:val="auto"/>
                      <w:sz w:val="21"/>
                      <w:szCs w:val="21"/>
                      <w:lang w:eastAsia="zh-CN"/>
                    </w:rPr>
                    <w:t>m。</w:t>
                  </w:r>
                </w:p>
              </w:tc>
              <w:tc>
                <w:tcPr>
                  <w:tcW w:w="508" w:type="dxa"/>
                  <w:vAlign w:val="center"/>
                </w:tcPr>
                <w:p w14:paraId="6EBE3EB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9C4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712E3D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ABC6D41">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Merge w:val="restart"/>
                  <w:vAlign w:val="center"/>
                </w:tcPr>
                <w:p w14:paraId="19B813A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排气筒</w:t>
                  </w:r>
                </w:p>
              </w:tc>
              <w:tc>
                <w:tcPr>
                  <w:tcW w:w="6201" w:type="dxa"/>
                  <w:vAlign w:val="center"/>
                </w:tcPr>
                <w:p w14:paraId="45D7D57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DA001，h=15m，d=0.</w:t>
                  </w:r>
                  <w:r>
                    <w:rPr>
                      <w:rFonts w:hint="eastAsia" w:cs="Times New Roman"/>
                      <w:color w:val="auto"/>
                      <w:sz w:val="21"/>
                      <w:szCs w:val="21"/>
                      <w:lang w:val="en-US" w:eastAsia="zh-CN"/>
                    </w:rPr>
                    <w:t>35</w:t>
                  </w:r>
                  <w:r>
                    <w:rPr>
                      <w:rFonts w:hint="eastAsia" w:ascii="Times New Roman" w:hAnsi="Times New Roman" w:eastAsia="宋体" w:cs="Times New Roman"/>
                      <w:color w:val="auto"/>
                      <w:sz w:val="21"/>
                      <w:szCs w:val="21"/>
                      <w:lang w:eastAsia="zh-CN"/>
                    </w:rPr>
                    <w:t>m，</w:t>
                  </w:r>
                  <w:r>
                    <w:rPr>
                      <w:rFonts w:hint="eastAsia" w:cs="Times New Roman"/>
                      <w:color w:val="auto"/>
                      <w:sz w:val="21"/>
                      <w:szCs w:val="21"/>
                      <w:lang w:val="en-US" w:eastAsia="zh-CN"/>
                    </w:rPr>
                    <w:t>连接布袋除尘器</w:t>
                  </w:r>
                  <w:r>
                    <w:rPr>
                      <w:rFonts w:hint="eastAsia" w:cs="Times New Roman"/>
                      <w:color w:val="auto"/>
                      <w:sz w:val="21"/>
                      <w:szCs w:val="21"/>
                      <w:lang w:eastAsia="zh-CN"/>
                    </w:rPr>
                    <w:t>，</w:t>
                  </w:r>
                  <w:r>
                    <w:rPr>
                      <w:rFonts w:hint="eastAsia" w:ascii="Times New Roman" w:hAnsi="Times New Roman" w:eastAsia="宋体" w:cs="Times New Roman"/>
                      <w:color w:val="auto"/>
                      <w:sz w:val="21"/>
                      <w:szCs w:val="21"/>
                      <w:lang w:eastAsia="zh-CN"/>
                    </w:rPr>
                    <w:t>用于排放经布袋除尘器处理的废气。</w:t>
                  </w:r>
                </w:p>
              </w:tc>
              <w:tc>
                <w:tcPr>
                  <w:tcW w:w="508" w:type="dxa"/>
                  <w:vAlign w:val="center"/>
                </w:tcPr>
                <w:p w14:paraId="042565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1A6AA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0263940">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65F0EBF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Merge w:val="continue"/>
                  <w:vAlign w:val="center"/>
                </w:tcPr>
                <w:p w14:paraId="1C7F32DD">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p>
              </w:tc>
              <w:tc>
                <w:tcPr>
                  <w:tcW w:w="6201" w:type="dxa"/>
                  <w:vAlign w:val="center"/>
                </w:tcPr>
                <w:p w14:paraId="0C5A7B5B">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DA00</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，h=1m，d=0.</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val="en-US" w:eastAsia="zh-CN"/>
                    </w:rPr>
                    <w:t>5</w:t>
                  </w:r>
                  <w:r>
                    <w:rPr>
                      <w:rFonts w:hint="eastAsia"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lang w:val="en-US" w:eastAsia="zh-CN"/>
                    </w:rPr>
                    <w:t>建设于17m高的筒仓上，连接脉冲布袋除尘器</w:t>
                  </w:r>
                  <w:r>
                    <w:rPr>
                      <w:rFonts w:hint="eastAsia" w:ascii="Times New Roman" w:hAnsi="Times New Roman" w:eastAsia="宋体" w:cs="Times New Roman"/>
                      <w:color w:val="auto"/>
                      <w:sz w:val="21"/>
                      <w:szCs w:val="21"/>
                      <w:lang w:eastAsia="zh-CN"/>
                    </w:rPr>
                    <w:t>，用于排放经</w:t>
                  </w:r>
                  <w:r>
                    <w:rPr>
                      <w:rFonts w:hint="eastAsia" w:ascii="Times New Roman" w:hAnsi="Times New Roman" w:eastAsia="宋体" w:cs="Times New Roman"/>
                      <w:color w:val="auto"/>
                      <w:sz w:val="21"/>
                      <w:szCs w:val="21"/>
                      <w:lang w:val="en-US" w:eastAsia="zh-CN"/>
                    </w:rPr>
                    <w:t>脉冲</w:t>
                  </w:r>
                  <w:r>
                    <w:rPr>
                      <w:rFonts w:hint="eastAsia" w:ascii="Times New Roman" w:hAnsi="Times New Roman" w:eastAsia="宋体" w:cs="Times New Roman"/>
                      <w:color w:val="auto"/>
                      <w:sz w:val="21"/>
                      <w:szCs w:val="21"/>
                      <w:lang w:eastAsia="zh-CN"/>
                    </w:rPr>
                    <w:t>布袋除尘器处理的废气。</w:t>
                  </w:r>
                </w:p>
              </w:tc>
              <w:tc>
                <w:tcPr>
                  <w:tcW w:w="508" w:type="dxa"/>
                  <w:vAlign w:val="center"/>
                </w:tcPr>
                <w:p w14:paraId="4FAB9B43">
                  <w:pPr>
                    <w:pStyle w:val="30"/>
                    <w:kinsoku/>
                    <w:overflowPunct w:val="0"/>
                    <w:autoSpaceDE/>
                    <w:autoSpaceDN/>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新建</w:t>
                  </w:r>
                </w:p>
              </w:tc>
            </w:tr>
            <w:tr w14:paraId="16B4C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F43CDD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39E9A453">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5351C86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密闭皮带</w:t>
                  </w:r>
                </w:p>
              </w:tc>
              <w:tc>
                <w:tcPr>
                  <w:tcW w:w="6201" w:type="dxa"/>
                  <w:vAlign w:val="center"/>
                </w:tcPr>
                <w:p w14:paraId="0382503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共</w:t>
                  </w:r>
                  <w:r>
                    <w:rPr>
                      <w:rFonts w:hint="eastAsia" w:cs="Times New Roman"/>
                      <w:color w:val="auto"/>
                      <w:sz w:val="21"/>
                      <w:szCs w:val="21"/>
                      <w:lang w:val="en-US" w:eastAsia="zh-CN"/>
                    </w:rPr>
                    <w:t>3</w:t>
                  </w:r>
                  <w:r>
                    <w:rPr>
                      <w:rFonts w:hint="eastAsia" w:ascii="Times New Roman" w:hAnsi="Times New Roman" w:eastAsia="宋体" w:cs="Times New Roman"/>
                      <w:color w:val="auto"/>
                      <w:sz w:val="21"/>
                      <w:szCs w:val="21"/>
                      <w:lang w:eastAsia="zh-CN"/>
                    </w:rPr>
                    <w:t>条，</w:t>
                  </w:r>
                  <w:r>
                    <w:rPr>
                      <w:rFonts w:hint="eastAsia" w:cs="Times New Roman"/>
                      <w:color w:val="auto"/>
                      <w:sz w:val="21"/>
                      <w:szCs w:val="21"/>
                      <w:lang w:val="en-US" w:eastAsia="zh-CN"/>
                    </w:rPr>
                    <w:t>2</w:t>
                  </w:r>
                  <w:r>
                    <w:rPr>
                      <w:rFonts w:hint="eastAsia" w:ascii="Times New Roman" w:hAnsi="Times New Roman" w:eastAsia="宋体" w:cs="Times New Roman"/>
                      <w:color w:val="auto"/>
                      <w:sz w:val="21"/>
                      <w:szCs w:val="21"/>
                      <w:lang w:eastAsia="zh-CN"/>
                    </w:rPr>
                    <w:t>条设置于生产厂房，用于粉煤灰至计量设备、密闭运输计量过的原料至双轴混料搅拌机及密闭运输成品至称重包装机，</w:t>
                  </w:r>
                  <w:r>
                    <w:rPr>
                      <w:rFonts w:hint="eastAsia" w:cs="Times New Roman"/>
                      <w:color w:val="auto"/>
                      <w:sz w:val="21"/>
                      <w:szCs w:val="21"/>
                      <w:lang w:val="en-US" w:eastAsia="zh-CN"/>
                    </w:rPr>
                    <w:t>1</w:t>
                  </w:r>
                  <w:r>
                    <w:rPr>
                      <w:rFonts w:hint="eastAsia" w:ascii="Times New Roman" w:hAnsi="Times New Roman" w:eastAsia="宋体" w:cs="Times New Roman"/>
                      <w:color w:val="auto"/>
                      <w:sz w:val="21"/>
                      <w:szCs w:val="21"/>
                      <w:lang w:eastAsia="zh-CN"/>
                    </w:rPr>
                    <w:t>条连接2#原料堆场与生产厂房，用于将2#原料堆场的原料密闭运输至计量设备。</w:t>
                  </w:r>
                </w:p>
              </w:tc>
              <w:tc>
                <w:tcPr>
                  <w:tcW w:w="508" w:type="dxa"/>
                  <w:vAlign w:val="center"/>
                </w:tcPr>
                <w:p w14:paraId="394B3E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80A8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304972C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0CC5BC1A">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18CDE99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厂房封闭</w:t>
                  </w:r>
                </w:p>
              </w:tc>
              <w:tc>
                <w:tcPr>
                  <w:tcW w:w="6201" w:type="dxa"/>
                  <w:vAlign w:val="center"/>
                </w:tcPr>
                <w:p w14:paraId="2E863B6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堆场设置在厂房内，</w:t>
                  </w:r>
                  <w:r>
                    <w:rPr>
                      <w:rFonts w:hint="eastAsia" w:ascii="Times New Roman" w:hAnsi="Times New Roman" w:eastAsia="宋体" w:cs="Times New Roman"/>
                      <w:color w:val="auto"/>
                      <w:sz w:val="21"/>
                      <w:szCs w:val="21"/>
                      <w:lang w:eastAsia="zh-CN"/>
                    </w:rPr>
                    <w:t>封闭厂房，仅设置一个出入口</w:t>
                  </w:r>
                  <w:r>
                    <w:rPr>
                      <w:rFonts w:ascii="Times New Roman" w:hAnsi="Times New Roman" w:eastAsia="宋体" w:cs="Times New Roman"/>
                      <w:color w:val="auto"/>
                      <w:sz w:val="21"/>
                      <w:szCs w:val="21"/>
                      <w:lang w:eastAsia="zh-CN"/>
                    </w:rPr>
                    <w:t>，</w:t>
                  </w:r>
                  <w:r>
                    <w:rPr>
                      <w:rFonts w:hint="eastAsia" w:cs="Times New Roman"/>
                      <w:color w:val="auto"/>
                      <w:sz w:val="21"/>
                      <w:szCs w:val="21"/>
                      <w:lang w:eastAsia="zh-CN"/>
                    </w:rPr>
                    <w:t>堆场扬尘</w:t>
                  </w:r>
                  <w:r>
                    <w:rPr>
                      <w:rFonts w:ascii="Times New Roman" w:hAnsi="Times New Roman" w:eastAsia="宋体" w:cs="Times New Roman"/>
                      <w:color w:val="auto"/>
                      <w:sz w:val="21"/>
                      <w:szCs w:val="21"/>
                      <w:lang w:eastAsia="zh-CN"/>
                    </w:rPr>
                    <w:t>在厂房内无组织排放</w:t>
                  </w:r>
                  <w:r>
                    <w:rPr>
                      <w:rFonts w:hint="eastAsia" w:ascii="Times New Roman" w:hAnsi="Times New Roman" w:eastAsia="宋体" w:cs="Times New Roman"/>
                      <w:color w:val="auto"/>
                      <w:sz w:val="21"/>
                      <w:szCs w:val="21"/>
                      <w:lang w:eastAsia="zh-CN"/>
                    </w:rPr>
                    <w:t>。</w:t>
                  </w:r>
                </w:p>
              </w:tc>
              <w:tc>
                <w:tcPr>
                  <w:tcW w:w="508" w:type="dxa"/>
                  <w:vAlign w:val="center"/>
                </w:tcPr>
                <w:p w14:paraId="6EA12B6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5DBF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5FB506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1548276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C1D80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洒水降尘</w:t>
                  </w:r>
                </w:p>
              </w:tc>
              <w:tc>
                <w:tcPr>
                  <w:tcW w:w="6201" w:type="dxa"/>
                  <w:vAlign w:val="center"/>
                </w:tcPr>
                <w:p w14:paraId="62DD4A6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运输道路扬尘采用洒水降尘措施</w:t>
                  </w:r>
                  <w:r>
                    <w:rPr>
                      <w:rFonts w:hint="eastAsia" w:ascii="Times New Roman" w:hAnsi="Times New Roman" w:eastAsia="宋体" w:cs="Times New Roman"/>
                      <w:color w:val="auto"/>
                      <w:sz w:val="21"/>
                      <w:szCs w:val="21"/>
                      <w:lang w:eastAsia="zh-CN"/>
                    </w:rPr>
                    <w:t>，厂房出入口及顶棚出气口设置喷雾降尘设施。</w:t>
                  </w:r>
                </w:p>
              </w:tc>
              <w:tc>
                <w:tcPr>
                  <w:tcW w:w="508" w:type="dxa"/>
                  <w:vAlign w:val="center"/>
                </w:tcPr>
                <w:p w14:paraId="5E7C330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新建</w:t>
                  </w:r>
                </w:p>
              </w:tc>
            </w:tr>
            <w:tr w14:paraId="1CD7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E1B4254">
                  <w:pPr>
                    <w:kinsoku/>
                    <w:overflowPunct w:val="0"/>
                    <w:autoSpaceDE/>
                    <w:autoSpaceDN/>
                    <w:adjustRightInd/>
                    <w:snapToGrid/>
                    <w:jc w:val="center"/>
                    <w:rPr>
                      <w:rFonts w:ascii="Times New Roman" w:hAnsi="Times New Roman" w:eastAsia="宋体" w:cs="Times New Roman"/>
                      <w:color w:val="auto"/>
                    </w:rPr>
                  </w:pPr>
                </w:p>
              </w:tc>
              <w:tc>
                <w:tcPr>
                  <w:tcW w:w="436" w:type="dxa"/>
                  <w:vMerge w:val="restart"/>
                  <w:vAlign w:val="center"/>
                </w:tcPr>
                <w:p w14:paraId="46CC38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废水</w:t>
                  </w:r>
                </w:p>
              </w:tc>
              <w:tc>
                <w:tcPr>
                  <w:tcW w:w="870" w:type="dxa"/>
                  <w:vAlign w:val="center"/>
                </w:tcPr>
                <w:p w14:paraId="23B2AB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初期雨水收集池</w:t>
                  </w:r>
                </w:p>
              </w:tc>
              <w:tc>
                <w:tcPr>
                  <w:tcW w:w="6201" w:type="dxa"/>
                  <w:vAlign w:val="center"/>
                </w:tcPr>
                <w:p w14:paraId="187BA76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设置1个</w:t>
                  </w:r>
                  <w:r>
                    <w:rPr>
                      <w:rFonts w:ascii="Times New Roman" w:hAnsi="Times New Roman" w:eastAsia="宋体" w:cs="Times New Roman"/>
                      <w:color w:val="auto"/>
                      <w:sz w:val="21"/>
                      <w:szCs w:val="21"/>
                      <w:lang w:eastAsia="zh-CN"/>
                    </w:rPr>
                    <w:t>容积为</w:t>
                  </w:r>
                  <w:r>
                    <w:rPr>
                      <w:rFonts w:hint="eastAsia" w:ascii="Times New Roman" w:hAnsi="Times New Roman" w:eastAsia="宋体" w:cs="Times New Roman"/>
                      <w:color w:val="auto"/>
                      <w:sz w:val="21"/>
                      <w:szCs w:val="21"/>
                      <w:lang w:eastAsia="zh-CN"/>
                    </w:rPr>
                    <w:t>200</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的初期雨水收集池用于沉淀处理初期雨水，</w:t>
                  </w:r>
                  <w:r>
                    <w:rPr>
                      <w:rFonts w:hint="eastAsia" w:cs="Times New Roman"/>
                      <w:color w:val="auto"/>
                      <w:sz w:val="21"/>
                      <w:szCs w:val="21"/>
                      <w:lang w:val="en-US" w:eastAsia="zh-CN"/>
                    </w:rPr>
                    <w:t>絮凝</w:t>
                  </w:r>
                  <w:r>
                    <w:rPr>
                      <w:rFonts w:hint="eastAsia" w:ascii="Times New Roman" w:hAnsi="Times New Roman" w:eastAsia="宋体" w:cs="Times New Roman"/>
                      <w:color w:val="auto"/>
                      <w:sz w:val="21"/>
                      <w:szCs w:val="21"/>
                      <w:lang w:eastAsia="zh-CN"/>
                    </w:rPr>
                    <w:t>沉淀后回用于厂区降尘。</w:t>
                  </w:r>
                </w:p>
              </w:tc>
              <w:tc>
                <w:tcPr>
                  <w:tcW w:w="508" w:type="dxa"/>
                  <w:vAlign w:val="center"/>
                </w:tcPr>
                <w:p w14:paraId="5AD0F1C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9492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C5103E9">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0FB559">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44ACD7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隔油池</w:t>
                  </w:r>
                </w:p>
              </w:tc>
              <w:tc>
                <w:tcPr>
                  <w:tcW w:w="6201" w:type="dxa"/>
                  <w:vAlign w:val="center"/>
                </w:tcPr>
                <w:p w14:paraId="35D5E2E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设置1个</w:t>
                  </w:r>
                  <w:r>
                    <w:rPr>
                      <w:rFonts w:ascii="Times New Roman" w:hAnsi="Times New Roman" w:eastAsia="宋体" w:cs="Times New Roman"/>
                      <w:color w:val="auto"/>
                      <w:sz w:val="21"/>
                      <w:szCs w:val="21"/>
                      <w:lang w:eastAsia="zh-CN"/>
                    </w:rPr>
                    <w:t>容积为</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的隔油池用于预处理食堂污水，处理后与其他生活污水进入化粪池。</w:t>
                  </w:r>
                </w:p>
              </w:tc>
              <w:tc>
                <w:tcPr>
                  <w:tcW w:w="508" w:type="dxa"/>
                  <w:vAlign w:val="center"/>
                </w:tcPr>
                <w:p w14:paraId="696DED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0803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72E2F6C">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51DE28BC">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52CDA0B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化粪池</w:t>
                  </w:r>
                </w:p>
              </w:tc>
              <w:tc>
                <w:tcPr>
                  <w:tcW w:w="6201" w:type="dxa"/>
                  <w:vAlign w:val="center"/>
                </w:tcPr>
                <w:p w14:paraId="359B86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设置1个</w:t>
                  </w:r>
                  <w:r>
                    <w:rPr>
                      <w:rFonts w:ascii="Times New Roman" w:hAnsi="Times New Roman" w:eastAsia="宋体" w:cs="Times New Roman"/>
                      <w:color w:val="auto"/>
                      <w:lang w:eastAsia="zh-CN"/>
                    </w:rPr>
                    <w:t>容积为5m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的化粪池用于处理生活污水，处理后进入一体化污水处理设施。</w:t>
                  </w:r>
                </w:p>
              </w:tc>
              <w:tc>
                <w:tcPr>
                  <w:tcW w:w="508" w:type="dxa"/>
                  <w:vAlign w:val="center"/>
                </w:tcPr>
                <w:p w14:paraId="2A7C923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6D293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80611C8">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E51035">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3DAB801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一体化污水处理设施</w:t>
                  </w:r>
                </w:p>
              </w:tc>
              <w:tc>
                <w:tcPr>
                  <w:tcW w:w="6201" w:type="dxa"/>
                  <w:vAlign w:val="center"/>
                </w:tcPr>
                <w:p w14:paraId="775EE7F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1座，设置于厂区北侧，处理规模2m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/d，采用A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/O工艺</w:t>
                  </w:r>
                  <w:r>
                    <w:rPr>
                      <w:rFonts w:hint="eastAsia" w:ascii="Times New Roman" w:hAnsi="Times New Roman" w:eastAsia="宋体" w:cs="Times New Roman"/>
                      <w:color w:val="auto"/>
                      <w:lang w:val="en-US" w:eastAsia="zh-CN"/>
                    </w:rPr>
                    <w:t>+次氯酸钠消毒</w:t>
                  </w:r>
                  <w:r>
                    <w:rPr>
                      <w:rFonts w:hint="eastAsia" w:ascii="Times New Roman" w:hAnsi="Times New Roman" w:eastAsia="宋体" w:cs="Times New Roman"/>
                      <w:color w:val="auto"/>
                      <w:lang w:eastAsia="zh-CN"/>
                    </w:rPr>
                    <w:t>，生活污水处理后回用于厂区</w:t>
                  </w:r>
                  <w:r>
                    <w:rPr>
                      <w:rFonts w:hint="eastAsia" w:ascii="Times New Roman" w:hAnsi="Times New Roman" w:eastAsia="宋体" w:cs="Times New Roman"/>
                      <w:bCs/>
                      <w:color w:val="auto"/>
                      <w:lang w:eastAsia="zh-CN"/>
                    </w:rPr>
                    <w:t>绿化及降尘</w:t>
                  </w:r>
                  <w:r>
                    <w:rPr>
                      <w:rFonts w:hint="eastAsia" w:ascii="Times New Roman" w:hAnsi="Times New Roman" w:eastAsia="宋体" w:cs="Times New Roman"/>
                      <w:color w:val="auto"/>
                      <w:lang w:eastAsia="zh-CN"/>
                    </w:rPr>
                    <w:t>。</w:t>
                  </w:r>
                </w:p>
              </w:tc>
              <w:tc>
                <w:tcPr>
                  <w:tcW w:w="508" w:type="dxa"/>
                  <w:vAlign w:val="center"/>
                </w:tcPr>
                <w:p w14:paraId="0EF5221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新建</w:t>
                  </w:r>
                </w:p>
              </w:tc>
            </w:tr>
            <w:tr w14:paraId="1104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1A89852">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BE87DCC">
                  <w:pPr>
                    <w:kinsoku/>
                    <w:overflowPunct w:val="0"/>
                    <w:autoSpaceDE/>
                    <w:autoSpaceDN/>
                    <w:adjustRightInd/>
                    <w:snapToGrid/>
                    <w:jc w:val="center"/>
                    <w:rPr>
                      <w:rFonts w:ascii="Times New Roman" w:hAnsi="Times New Roman" w:eastAsia="宋体" w:cs="Times New Roman"/>
                      <w:color w:val="auto"/>
                    </w:rPr>
                  </w:pPr>
                </w:p>
              </w:tc>
              <w:tc>
                <w:tcPr>
                  <w:tcW w:w="870" w:type="dxa"/>
                  <w:vAlign w:val="center"/>
                </w:tcPr>
                <w:p w14:paraId="412EC63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中水池</w:t>
                  </w:r>
                </w:p>
              </w:tc>
              <w:tc>
                <w:tcPr>
                  <w:tcW w:w="6201" w:type="dxa"/>
                  <w:vAlign w:val="center"/>
                </w:tcPr>
                <w:p w14:paraId="3A75F9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在厂区北侧设置1个容积为10m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的中水池，用于暂存处理达标的回用水。</w:t>
                  </w:r>
                </w:p>
              </w:tc>
              <w:tc>
                <w:tcPr>
                  <w:tcW w:w="508" w:type="dxa"/>
                  <w:vAlign w:val="center"/>
                </w:tcPr>
                <w:p w14:paraId="5AEEAA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新建</w:t>
                  </w:r>
                </w:p>
              </w:tc>
            </w:tr>
            <w:tr w14:paraId="14704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5583264">
                  <w:pPr>
                    <w:kinsoku/>
                    <w:overflowPunct w:val="0"/>
                    <w:autoSpaceDE/>
                    <w:autoSpaceDN/>
                    <w:adjustRightInd/>
                    <w:snapToGrid/>
                    <w:jc w:val="center"/>
                    <w:rPr>
                      <w:rFonts w:ascii="Times New Roman" w:hAnsi="Times New Roman" w:eastAsia="宋体" w:cs="Times New Roman"/>
                      <w:color w:val="auto"/>
                    </w:rPr>
                  </w:pPr>
                </w:p>
              </w:tc>
              <w:tc>
                <w:tcPr>
                  <w:tcW w:w="1306" w:type="dxa"/>
                  <w:gridSpan w:val="2"/>
                  <w:vAlign w:val="center"/>
                </w:tcPr>
                <w:p w14:paraId="5392116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噪声</w:t>
                  </w:r>
                </w:p>
              </w:tc>
              <w:tc>
                <w:tcPr>
                  <w:tcW w:w="6201" w:type="dxa"/>
                  <w:vAlign w:val="center"/>
                </w:tcPr>
                <w:p w14:paraId="25B265A0">
                  <w:pPr>
                    <w:pStyle w:val="30"/>
                    <w:kinsoku/>
                    <w:overflowPunct w:val="0"/>
                    <w:autoSpaceDE/>
                    <w:autoSpaceDN/>
                    <w:adjustRightInd/>
                    <w:snapToGrid/>
                    <w:ind w:hanging="1"/>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合理安排作业及运输时间；绿化降噪；距离衰减；厂房隔音</w:t>
                  </w:r>
                  <w:r>
                    <w:rPr>
                      <w:rFonts w:hint="eastAsia" w:ascii="Times New Roman" w:hAnsi="Times New Roman" w:eastAsia="宋体" w:cs="Times New Roman"/>
                      <w:color w:val="auto"/>
                      <w:sz w:val="21"/>
                      <w:szCs w:val="21"/>
                      <w:lang w:eastAsia="zh-CN"/>
                    </w:rPr>
                    <w:t>。</w:t>
                  </w:r>
                </w:p>
              </w:tc>
              <w:tc>
                <w:tcPr>
                  <w:tcW w:w="508" w:type="dxa"/>
                  <w:vAlign w:val="center"/>
                </w:tcPr>
                <w:p w14:paraId="47F170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171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33458DE0">
                  <w:pPr>
                    <w:kinsoku/>
                    <w:overflowPunct w:val="0"/>
                    <w:autoSpaceDE/>
                    <w:autoSpaceDN/>
                    <w:adjustRightInd/>
                    <w:snapToGrid/>
                    <w:jc w:val="center"/>
                    <w:rPr>
                      <w:rFonts w:ascii="Times New Roman" w:hAnsi="Times New Roman" w:eastAsia="宋体" w:cs="Times New Roman"/>
                      <w:color w:val="auto"/>
                    </w:rPr>
                  </w:pPr>
                </w:p>
              </w:tc>
              <w:tc>
                <w:tcPr>
                  <w:tcW w:w="436" w:type="dxa"/>
                  <w:vMerge w:val="restart"/>
                  <w:vAlign w:val="center"/>
                </w:tcPr>
                <w:p w14:paraId="0E60A4A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固废</w:t>
                  </w:r>
                </w:p>
              </w:tc>
              <w:tc>
                <w:tcPr>
                  <w:tcW w:w="870" w:type="dxa"/>
                  <w:vAlign w:val="center"/>
                </w:tcPr>
                <w:p w14:paraId="2C99E2E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w:t>
                  </w:r>
                </w:p>
              </w:tc>
              <w:tc>
                <w:tcPr>
                  <w:tcW w:w="6201" w:type="dxa"/>
                  <w:vAlign w:val="center"/>
                </w:tcPr>
                <w:p w14:paraId="26A19267">
                  <w:pPr>
                    <w:pStyle w:val="30"/>
                    <w:kinsoku/>
                    <w:overflowPunct w:val="0"/>
                    <w:autoSpaceDE/>
                    <w:autoSpaceDN/>
                    <w:adjustRightInd/>
                    <w:snapToGrid/>
                    <w:ind w:firstLine="1"/>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设置若干垃圾桶，收集后</w:t>
                  </w:r>
                  <w:r>
                    <w:rPr>
                      <w:rFonts w:ascii="Times New Roman" w:hAnsi="Times New Roman" w:eastAsia="宋体" w:cs="Times New Roman"/>
                      <w:color w:val="auto"/>
                      <w:sz w:val="21"/>
                      <w:szCs w:val="21"/>
                      <w:lang w:eastAsia="zh-CN"/>
                    </w:rPr>
                    <w:t>定期委托环卫部门清运</w:t>
                  </w:r>
                  <w:r>
                    <w:rPr>
                      <w:rFonts w:hint="eastAsia" w:ascii="Times New Roman" w:hAnsi="Times New Roman" w:eastAsia="宋体" w:cs="Times New Roman"/>
                      <w:color w:val="auto"/>
                      <w:sz w:val="21"/>
                      <w:szCs w:val="21"/>
                      <w:lang w:eastAsia="zh-CN"/>
                    </w:rPr>
                    <w:t>。</w:t>
                  </w:r>
                </w:p>
              </w:tc>
              <w:tc>
                <w:tcPr>
                  <w:tcW w:w="508" w:type="dxa"/>
                  <w:vAlign w:val="center"/>
                </w:tcPr>
                <w:p w14:paraId="1F7A49E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3E4F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C33F15C">
                  <w:pPr>
                    <w:kinsoku/>
                    <w:overflowPunct w:val="0"/>
                    <w:autoSpaceDE/>
                    <w:autoSpaceDN/>
                    <w:adjustRightInd/>
                    <w:snapToGrid/>
                    <w:jc w:val="center"/>
                    <w:rPr>
                      <w:rFonts w:ascii="Times New Roman" w:hAnsi="Times New Roman" w:eastAsia="宋体" w:cs="Times New Roman"/>
                      <w:color w:val="auto"/>
                    </w:rPr>
                  </w:pPr>
                </w:p>
              </w:tc>
              <w:tc>
                <w:tcPr>
                  <w:tcW w:w="436" w:type="dxa"/>
                  <w:vMerge w:val="continue"/>
                  <w:vAlign w:val="center"/>
                </w:tcPr>
                <w:p w14:paraId="1FBF428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0768AC8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废含油手套及抹布</w:t>
                  </w:r>
                </w:p>
              </w:tc>
              <w:tc>
                <w:tcPr>
                  <w:tcW w:w="6201" w:type="dxa"/>
                  <w:vAlign w:val="center"/>
                </w:tcPr>
                <w:p w14:paraId="55AFB5AC">
                  <w:pPr>
                    <w:pStyle w:val="30"/>
                    <w:kinsoku/>
                    <w:overflowPunct w:val="0"/>
                    <w:autoSpaceDE/>
                    <w:autoSpaceDN/>
                    <w:adjustRightInd/>
                    <w:snapToGrid/>
                    <w:ind w:firstLine="1"/>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收集后暂存于危废暂存间，定期委托有资质单位清运处置。</w:t>
                  </w:r>
                </w:p>
              </w:tc>
              <w:tc>
                <w:tcPr>
                  <w:tcW w:w="508" w:type="dxa"/>
                  <w:vAlign w:val="center"/>
                </w:tcPr>
                <w:p w14:paraId="50D9604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9A95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16F739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BB1976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570961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收集</w:t>
                  </w:r>
                  <w:r>
                    <w:rPr>
                      <w:rFonts w:ascii="Times New Roman" w:hAnsi="Times New Roman" w:eastAsia="宋体" w:cs="Times New Roman"/>
                      <w:color w:val="auto"/>
                      <w:sz w:val="21"/>
                      <w:szCs w:val="21"/>
                    </w:rPr>
                    <w:t>尘</w:t>
                  </w:r>
                </w:p>
              </w:tc>
              <w:tc>
                <w:tcPr>
                  <w:tcW w:w="6201" w:type="dxa"/>
                  <w:vAlign w:val="center"/>
                </w:tcPr>
                <w:p w14:paraId="1DE665A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回用</w:t>
                  </w:r>
                  <w:r>
                    <w:rPr>
                      <w:rFonts w:hint="eastAsia" w:ascii="Times New Roman" w:hAnsi="Times New Roman" w:eastAsia="宋体" w:cs="Times New Roman"/>
                      <w:color w:val="auto"/>
                      <w:sz w:val="21"/>
                      <w:szCs w:val="21"/>
                      <w:lang w:eastAsia="zh-CN"/>
                    </w:rPr>
                    <w:t>于生产。</w:t>
                  </w:r>
                </w:p>
              </w:tc>
              <w:tc>
                <w:tcPr>
                  <w:tcW w:w="508" w:type="dxa"/>
                  <w:vAlign w:val="center"/>
                </w:tcPr>
                <w:p w14:paraId="2AD6B34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99CC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41C452A2">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3A2EE9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3CA7D34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隔油池</w:t>
                  </w:r>
                </w:p>
                <w:p w14:paraId="0D60012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油污</w:t>
                  </w:r>
                </w:p>
              </w:tc>
              <w:tc>
                <w:tcPr>
                  <w:tcW w:w="6201" w:type="dxa"/>
                  <w:vAlign w:val="center"/>
                </w:tcPr>
                <w:p w14:paraId="3719639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委托取得餐厨废弃物特许经营许可的单位定期清运处置</w:t>
                  </w:r>
                  <w:r>
                    <w:rPr>
                      <w:rFonts w:hint="eastAsia" w:ascii="Times New Roman" w:hAnsi="Times New Roman" w:eastAsia="宋体" w:cs="Times New Roman"/>
                      <w:color w:val="auto"/>
                      <w:sz w:val="21"/>
                      <w:szCs w:val="21"/>
                      <w:lang w:eastAsia="zh-CN"/>
                    </w:rPr>
                    <w:t>。</w:t>
                  </w:r>
                </w:p>
              </w:tc>
              <w:tc>
                <w:tcPr>
                  <w:tcW w:w="508" w:type="dxa"/>
                  <w:vAlign w:val="center"/>
                </w:tcPr>
                <w:p w14:paraId="640EDF6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0F20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F97CB8F">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7D692CE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46ED633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污水处理</w:t>
                  </w:r>
                  <w:r>
                    <w:rPr>
                      <w:rFonts w:ascii="Times New Roman" w:hAnsi="Times New Roman" w:eastAsia="宋体" w:cs="Times New Roman"/>
                      <w:color w:val="auto"/>
                      <w:sz w:val="21"/>
                      <w:szCs w:val="21"/>
                    </w:rPr>
                    <w:t>污泥</w:t>
                  </w:r>
                </w:p>
              </w:tc>
              <w:tc>
                <w:tcPr>
                  <w:tcW w:w="6201" w:type="dxa"/>
                  <w:vAlign w:val="center"/>
                </w:tcPr>
                <w:p w14:paraId="1C048D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委托环卫部门清运处置。</w:t>
                  </w:r>
                </w:p>
              </w:tc>
              <w:tc>
                <w:tcPr>
                  <w:tcW w:w="508" w:type="dxa"/>
                  <w:vAlign w:val="center"/>
                </w:tcPr>
                <w:p w14:paraId="75C4849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2C3A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767EEDAA">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7E7097D4">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407D90A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初期雨水收集池污泥</w:t>
                  </w:r>
                </w:p>
              </w:tc>
              <w:tc>
                <w:tcPr>
                  <w:tcW w:w="6201" w:type="dxa"/>
                  <w:vAlign w:val="center"/>
                </w:tcPr>
                <w:p w14:paraId="2C2270F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w:t>
                  </w:r>
                  <w:r>
                    <w:rPr>
                      <w:rFonts w:hint="eastAsia" w:cs="Times New Roman"/>
                      <w:color w:val="auto"/>
                      <w:sz w:val="21"/>
                      <w:szCs w:val="21"/>
                      <w:lang w:val="en-US" w:eastAsia="zh-CN"/>
                    </w:rPr>
                    <w:t>有资质单位</w:t>
                  </w:r>
                  <w:r>
                    <w:rPr>
                      <w:rFonts w:hint="eastAsia" w:ascii="Times New Roman" w:hAnsi="Times New Roman" w:eastAsia="宋体" w:cs="Times New Roman"/>
                      <w:color w:val="auto"/>
                      <w:sz w:val="21"/>
                      <w:szCs w:val="21"/>
                      <w:lang w:eastAsia="zh-CN"/>
                    </w:rPr>
                    <w:t>清运处置。</w:t>
                  </w:r>
                </w:p>
              </w:tc>
              <w:tc>
                <w:tcPr>
                  <w:tcW w:w="508" w:type="dxa"/>
                  <w:vAlign w:val="center"/>
                </w:tcPr>
                <w:p w14:paraId="4055877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3CC5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55F7F7DE">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Merge w:val="continue"/>
                  <w:vAlign w:val="center"/>
                </w:tcPr>
                <w:p w14:paraId="24ECE3AE">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70" w:type="dxa"/>
                  <w:vAlign w:val="center"/>
                </w:tcPr>
                <w:p w14:paraId="2EE7507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废机油</w:t>
                  </w:r>
                </w:p>
              </w:tc>
              <w:tc>
                <w:tcPr>
                  <w:tcW w:w="6201" w:type="dxa"/>
                  <w:vAlign w:val="center"/>
                </w:tcPr>
                <w:p w14:paraId="7B07DA2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收集后暂存于危废暂存间，定期委托有资质单位清运处置。</w:t>
                  </w:r>
                </w:p>
              </w:tc>
              <w:tc>
                <w:tcPr>
                  <w:tcW w:w="508" w:type="dxa"/>
                  <w:vAlign w:val="center"/>
                </w:tcPr>
                <w:p w14:paraId="7748BE9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新建</w:t>
                  </w:r>
                </w:p>
              </w:tc>
            </w:tr>
            <w:tr w14:paraId="2B90A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02A2A51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436" w:type="dxa"/>
                  <w:vAlign w:val="center"/>
                </w:tcPr>
                <w:p w14:paraId="34A3CA5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环境风险</w:t>
                  </w:r>
                </w:p>
              </w:tc>
              <w:tc>
                <w:tcPr>
                  <w:tcW w:w="870" w:type="dxa"/>
                  <w:vAlign w:val="center"/>
                </w:tcPr>
                <w:p w14:paraId="0A95DF1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危废暂存间</w:t>
                  </w:r>
                </w:p>
              </w:tc>
              <w:tc>
                <w:tcPr>
                  <w:tcW w:w="6201" w:type="dxa"/>
                  <w:vAlign w:val="center"/>
                </w:tcPr>
                <w:p w14:paraId="329C7FC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1个，占地面积10m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，一层，砖混结构，</w:t>
                  </w:r>
                  <w:r>
                    <w:rPr>
                      <w:rFonts w:hint="eastAsia" w:ascii="Times New Roman" w:hAnsi="Times New Roman" w:eastAsia="宋体" w:cs="Times New Roman"/>
                      <w:color w:val="auto"/>
                      <w:sz w:val="21"/>
                      <w:szCs w:val="21"/>
                      <w:lang w:val="en-US" w:eastAsia="zh-CN"/>
                    </w:rPr>
                    <w:t>按照</w:t>
                  </w:r>
                  <w:r>
                    <w:rPr>
                      <w:rFonts w:hint="eastAsia" w:ascii="Times New Roman" w:hAnsi="Times New Roman" w:eastAsia="宋体" w:cs="Times New Roman"/>
                      <w:color w:val="auto"/>
                      <w:sz w:val="21"/>
                      <w:szCs w:val="21"/>
                      <w:lang w:eastAsia="zh-CN"/>
                    </w:rPr>
                    <w:t>《危险废物贮存污染控制标准》（GB 18597-2023）</w:t>
                  </w:r>
                  <w:r>
                    <w:rPr>
                      <w:rFonts w:hint="eastAsia" w:ascii="Times New Roman" w:hAnsi="Times New Roman" w:eastAsia="宋体" w:cs="Times New Roman"/>
                      <w:color w:val="auto"/>
                      <w:sz w:val="21"/>
                      <w:szCs w:val="21"/>
                      <w:lang w:val="en-US" w:eastAsia="zh-CN"/>
                    </w:rPr>
                    <w:t>要求</w:t>
                  </w:r>
                  <w:r>
                    <w:rPr>
                      <w:rFonts w:hint="eastAsia" w:ascii="Times New Roman" w:hAnsi="Times New Roman" w:eastAsia="宋体" w:cs="Times New Roman"/>
                      <w:color w:val="auto"/>
                      <w:sz w:val="21"/>
                      <w:szCs w:val="21"/>
                      <w:lang w:eastAsia="zh-CN"/>
                    </w:rPr>
                    <w:t>设置于厂区西侧，用于暂存设备维修产生的废机油、废含油手套及抹布，定期委托有资质单位清运处置。</w:t>
                  </w:r>
                </w:p>
              </w:tc>
              <w:tc>
                <w:tcPr>
                  <w:tcW w:w="508" w:type="dxa"/>
                  <w:vAlign w:val="center"/>
                </w:tcPr>
                <w:p w14:paraId="38DDAF0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新建</w:t>
                  </w:r>
                </w:p>
              </w:tc>
            </w:tr>
            <w:tr w14:paraId="57E0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87ADAF8">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4C2F3BA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绿化</w:t>
                  </w:r>
                </w:p>
              </w:tc>
              <w:tc>
                <w:tcPr>
                  <w:tcW w:w="6201" w:type="dxa"/>
                  <w:vAlign w:val="center"/>
                </w:tcPr>
                <w:p w14:paraId="4B0F59A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200m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，环绕厂区进行绿化。</w:t>
                  </w:r>
                </w:p>
              </w:tc>
              <w:tc>
                <w:tcPr>
                  <w:tcW w:w="508" w:type="dxa"/>
                  <w:vAlign w:val="center"/>
                </w:tcPr>
                <w:p w14:paraId="26EFC8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新建</w:t>
                  </w:r>
                </w:p>
              </w:tc>
            </w:tr>
            <w:tr w14:paraId="19E8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75" w:type="dxa"/>
                  <w:vMerge w:val="continue"/>
                  <w:vAlign w:val="center"/>
                </w:tcPr>
                <w:p w14:paraId="66B26FDC">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06" w:type="dxa"/>
                  <w:gridSpan w:val="2"/>
                  <w:vAlign w:val="center"/>
                </w:tcPr>
                <w:p w14:paraId="667A442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土壤、地下水防渗措施</w:t>
                  </w:r>
                </w:p>
              </w:tc>
              <w:tc>
                <w:tcPr>
                  <w:tcW w:w="6201" w:type="dxa"/>
                  <w:vAlign w:val="center"/>
                </w:tcPr>
                <w:p w14:paraId="7B958852">
                  <w:pPr>
                    <w:pStyle w:val="30"/>
                    <w:kinsoku/>
                    <w:overflowPunct w:val="0"/>
                    <w:autoSpaceDE/>
                    <w:autoSpaceDN/>
                    <w:adjustRightInd/>
                    <w:snapToGrid/>
                    <w:ind w:firstLine="6"/>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2#原料</w:t>
                  </w:r>
                  <w:r>
                    <w:rPr>
                      <w:rFonts w:ascii="Times New Roman" w:hAnsi="Times New Roman" w:eastAsia="宋体" w:cs="Times New Roman"/>
                      <w:color w:val="auto"/>
                      <w:sz w:val="21"/>
                      <w:szCs w:val="21"/>
                      <w:lang w:eastAsia="zh-CN"/>
                    </w:rPr>
                    <w:t>堆场地面</w:t>
                  </w:r>
                  <w:r>
                    <w:rPr>
                      <w:rFonts w:hint="eastAsia" w:ascii="Times New Roman" w:hAnsi="Times New Roman" w:eastAsia="宋体" w:cs="Times New Roman"/>
                      <w:color w:val="auto"/>
                      <w:sz w:val="21"/>
                      <w:szCs w:val="21"/>
                      <w:lang w:eastAsia="zh-CN"/>
                    </w:rPr>
                    <w:t>已</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cm/s）+混凝土（厚度150mm）的防渗措施</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后续需补充建设</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建设单位需对1#原料堆场、</w:t>
                  </w:r>
                  <w:r>
                    <w:rPr>
                      <w:rFonts w:ascii="Times New Roman" w:hAnsi="Times New Roman" w:eastAsia="宋体" w:cs="Times New Roman"/>
                      <w:color w:val="auto"/>
                      <w:sz w:val="21"/>
                      <w:szCs w:val="21"/>
                      <w:lang w:eastAsia="zh-CN"/>
                    </w:rPr>
                    <w:t>生产区、成品仓库、废品仓库</w:t>
                  </w:r>
                  <w:r>
                    <w:rPr>
                      <w:rFonts w:hint="eastAsia" w:ascii="Times New Roman" w:hAnsi="Times New Roman" w:eastAsia="宋体" w:cs="Times New Roman"/>
                      <w:color w:val="auto"/>
                      <w:sz w:val="21"/>
                      <w:szCs w:val="21"/>
                      <w:lang w:eastAsia="zh-CN"/>
                    </w:rPr>
                    <w:t>地面采用</w:t>
                  </w:r>
                  <w:r>
                    <w:rPr>
                      <w:rFonts w:ascii="Times New Roman" w:hAnsi="Times New Roman" w:eastAsia="宋体" w:cs="Times New Roman"/>
                      <w:color w:val="auto"/>
                      <w:sz w:val="21"/>
                      <w:szCs w:val="21"/>
                      <w:lang w:eastAsia="zh-CN"/>
                    </w:rPr>
                    <w:t>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p>
              </w:tc>
              <w:tc>
                <w:tcPr>
                  <w:tcW w:w="508" w:type="dxa"/>
                  <w:vAlign w:val="center"/>
                </w:tcPr>
                <w:p w14:paraId="329BB12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新建</w:t>
                  </w:r>
                </w:p>
              </w:tc>
            </w:tr>
          </w:tbl>
          <w:p w14:paraId="09F74683">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三、产品</w:t>
            </w:r>
          </w:p>
          <w:p w14:paraId="6E58B354">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产品</w:t>
            </w:r>
            <w:r>
              <w:rPr>
                <w:rFonts w:hint="eastAsia" w:ascii="Times New Roman" w:hAnsi="Times New Roman" w:eastAsia="宋体" w:cs="Times New Roman"/>
                <w:b/>
                <w:bCs/>
                <w:color w:val="auto"/>
                <w:sz w:val="24"/>
                <w:szCs w:val="24"/>
                <w:lang w:eastAsia="zh-CN"/>
              </w:rPr>
              <w:t>方案</w:t>
            </w:r>
          </w:p>
          <w:p w14:paraId="5BE490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设计</w:t>
            </w:r>
            <w:r>
              <w:rPr>
                <w:rFonts w:ascii="Times New Roman" w:hAnsi="Times New Roman" w:eastAsia="宋体" w:cs="Times New Roman"/>
                <w:color w:val="auto"/>
                <w:sz w:val="24"/>
                <w:szCs w:val="24"/>
                <w:lang w:eastAsia="zh-CN"/>
              </w:rPr>
              <w:t>建设一条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10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路基材料</w:t>
            </w:r>
            <w:r>
              <w:rPr>
                <w:rFonts w:ascii="Times New Roman" w:hAnsi="Times New Roman" w:eastAsia="宋体" w:cs="Times New Roman"/>
                <w:color w:val="auto"/>
                <w:sz w:val="24"/>
                <w:szCs w:val="24"/>
                <w:lang w:eastAsia="zh-CN"/>
              </w:rPr>
              <w:t>生产线，不涉及</w:t>
            </w:r>
            <w:r>
              <w:rPr>
                <w:rFonts w:hint="eastAsia" w:ascii="Times New Roman" w:hAnsi="Times New Roman" w:eastAsia="宋体" w:cs="Times New Roman"/>
                <w:color w:val="auto"/>
                <w:sz w:val="24"/>
                <w:szCs w:val="24"/>
                <w:lang w:eastAsia="zh-CN"/>
              </w:rPr>
              <w:t>改性磷石膏</w:t>
            </w:r>
            <w:r>
              <w:rPr>
                <w:rFonts w:ascii="Times New Roman" w:hAnsi="Times New Roman" w:eastAsia="宋体" w:cs="Times New Roman"/>
                <w:color w:val="auto"/>
                <w:sz w:val="24"/>
                <w:szCs w:val="24"/>
                <w:lang w:eastAsia="zh-CN"/>
              </w:rPr>
              <w:t>的生产。根据提供的原材料情况，项目原料</w:t>
            </w:r>
            <w:r>
              <w:rPr>
                <w:rFonts w:hint="eastAsia" w:ascii="Times New Roman" w:hAnsi="Times New Roman" w:eastAsia="宋体" w:cs="Times New Roman"/>
                <w:color w:val="auto"/>
                <w:sz w:val="24"/>
                <w:szCs w:val="24"/>
                <w:lang w:eastAsia="zh-CN"/>
              </w:rPr>
              <w:t>为中化云龙有限公司生产的</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、砂石骨料、粉煤灰</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1"/>
                <w:sz w:val="24"/>
                <w:szCs w:val="24"/>
                <w:lang w:eastAsia="zh-CN"/>
              </w:rPr>
              <w:t>具体</w:t>
            </w:r>
            <w:r>
              <w:rPr>
                <w:rFonts w:ascii="Times New Roman" w:hAnsi="Times New Roman" w:eastAsia="宋体" w:cs="Times New Roman"/>
                <w:color w:val="auto"/>
                <w:sz w:val="24"/>
                <w:szCs w:val="24"/>
              </w:rPr>
              <w:t>产品</w:t>
            </w:r>
            <w:r>
              <w:rPr>
                <w:rFonts w:hint="eastAsia" w:ascii="Times New Roman" w:hAnsi="Times New Roman" w:eastAsia="宋体" w:cs="Times New Roman"/>
                <w:color w:val="auto"/>
                <w:sz w:val="24"/>
                <w:szCs w:val="24"/>
                <w:lang w:eastAsia="zh-CN"/>
              </w:rPr>
              <w:t>方案</w:t>
            </w:r>
            <w:r>
              <w:rPr>
                <w:rFonts w:ascii="Times New Roman" w:hAnsi="Times New Roman" w:eastAsia="宋体" w:cs="Times New Roman"/>
                <w:color w:val="auto"/>
                <w:sz w:val="24"/>
                <w:szCs w:val="24"/>
              </w:rPr>
              <w:t>如下。</w:t>
            </w:r>
          </w:p>
          <w:p w14:paraId="6A75652E">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eastAsia="zh-CN" w:bidi="ar"/>
              </w:rPr>
              <w:t xml:space="preserve">3 </w:t>
            </w:r>
            <w:r>
              <w:rPr>
                <w:rFonts w:ascii="Times New Roman" w:hAnsi="Times New Roman" w:eastAsia="宋体" w:cs="Times New Roman"/>
                <w:b/>
                <w:snapToGrid/>
                <w:color w:val="auto"/>
                <w:kern w:val="2"/>
                <w:sz w:val="24"/>
                <w:szCs w:val="24"/>
                <w:lang w:eastAsia="zh-CN" w:bidi="ar"/>
              </w:rPr>
              <w:t>本项目主要产品方案</w:t>
            </w:r>
          </w:p>
          <w:tbl>
            <w:tblPr>
              <w:tblStyle w:val="19"/>
              <w:tblW w:w="48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960"/>
              <w:gridCol w:w="2961"/>
              <w:gridCol w:w="1505"/>
              <w:gridCol w:w="1853"/>
            </w:tblGrid>
            <w:tr w14:paraId="24AF3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60" w:type="pct"/>
                  <w:vAlign w:val="center"/>
                </w:tcPr>
                <w:p w14:paraId="049AD756">
                  <w:pPr>
                    <w:kinsoku/>
                    <w:overflowPunct w:val="0"/>
                    <w:autoSpaceDE/>
                    <w:autoSpaceDN/>
                    <w:adjustRightInd/>
                    <w:snapToGrid/>
                    <w:jc w:val="center"/>
                    <w:textAlignment w:val="auto"/>
                    <w:rPr>
                      <w:rFonts w:ascii="Times New Roman" w:hAnsi="Times New Roman" w:eastAsia="宋体" w:cs="Times New Roman"/>
                      <w:b/>
                      <w:bCs/>
                      <w:color w:val="auto"/>
                    </w:rPr>
                  </w:pPr>
                  <w:r>
                    <w:rPr>
                      <w:rFonts w:ascii="Times New Roman" w:hAnsi="Times New Roman" w:eastAsia="宋体" w:cs="Times New Roman"/>
                      <w:b/>
                      <w:bCs/>
                      <w:color w:val="auto"/>
                    </w:rPr>
                    <w:t>产品</w:t>
                  </w:r>
                </w:p>
              </w:tc>
              <w:tc>
                <w:tcPr>
                  <w:tcW w:w="572" w:type="pct"/>
                  <w:vAlign w:val="center"/>
                </w:tcPr>
                <w:p w14:paraId="0EF522D5">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产量</w:t>
                  </w:r>
                </w:p>
              </w:tc>
              <w:tc>
                <w:tcPr>
                  <w:tcW w:w="1765" w:type="pct"/>
                  <w:vAlign w:val="center"/>
                </w:tcPr>
                <w:p w14:paraId="1B574456">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产品执行标准</w:t>
                  </w:r>
                </w:p>
              </w:tc>
              <w:tc>
                <w:tcPr>
                  <w:tcW w:w="897" w:type="pct"/>
                  <w:vAlign w:val="center"/>
                </w:tcPr>
                <w:p w14:paraId="7092FA8E">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包装情况</w:t>
                  </w:r>
                </w:p>
              </w:tc>
              <w:tc>
                <w:tcPr>
                  <w:tcW w:w="1104" w:type="pct"/>
                  <w:vAlign w:val="center"/>
                </w:tcPr>
                <w:p w14:paraId="6721F1DF">
                  <w:pPr>
                    <w:kinsoku/>
                    <w:overflowPunct w:val="0"/>
                    <w:autoSpaceDE/>
                    <w:autoSpaceDN/>
                    <w:adjustRightInd/>
                    <w:snapToGrid/>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备注</w:t>
                  </w:r>
                </w:p>
              </w:tc>
            </w:tr>
            <w:tr w14:paraId="4B291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60" w:type="pct"/>
                  <w:vAlign w:val="center"/>
                </w:tcPr>
                <w:p w14:paraId="6F4E7DAE">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路基材料</w:t>
                  </w:r>
                </w:p>
              </w:tc>
              <w:tc>
                <w:tcPr>
                  <w:tcW w:w="572" w:type="pct"/>
                  <w:vAlign w:val="center"/>
                </w:tcPr>
                <w:p w14:paraId="63F357C2">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r>
                    <w:rPr>
                      <w:rFonts w:ascii="Times New Roman" w:hAnsi="Times New Roman" w:eastAsia="宋体" w:cs="Times New Roman"/>
                      <w:color w:val="auto"/>
                    </w:rPr>
                    <w:t>万t/a</w:t>
                  </w:r>
                </w:p>
              </w:tc>
              <w:tc>
                <w:tcPr>
                  <w:tcW w:w="1765" w:type="pct"/>
                  <w:vAlign w:val="center"/>
                </w:tcPr>
                <w:p w14:paraId="736C1694">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《路用改性磷石膏》(JT/T1551-2025)中4.2 路用改性磷石膏C类标准</w:t>
                  </w:r>
                  <w:r>
                    <w:rPr>
                      <w:rFonts w:hint="eastAsia" w:ascii="Times New Roman" w:hAnsi="Times New Roman" w:eastAsia="宋体" w:cs="Times New Roman"/>
                      <w:color w:val="auto"/>
                      <w:lang w:eastAsia="zh-CN"/>
                    </w:rPr>
                    <w:t>中7d抗压强度</w:t>
                  </w:r>
                  <w:r>
                    <w:rPr>
                      <w:rFonts w:hint="eastAsia" w:cs="Times New Roman"/>
                      <w:color w:val="auto"/>
                      <w:lang w:eastAsia="zh-CN"/>
                    </w:rPr>
                    <w:t>、4.3.3掺加改性磷石膏的路基材料</w:t>
                  </w:r>
                  <w:r>
                    <w:rPr>
                      <w:rFonts w:hint="eastAsia" w:cs="Times New Roman"/>
                      <w:color w:val="auto"/>
                      <w:lang w:val="en-US" w:eastAsia="zh-CN"/>
                    </w:rPr>
                    <w:t xml:space="preserve"> 附录C的规定</w:t>
                  </w:r>
                  <w:r>
                    <w:rPr>
                      <w:rFonts w:hint="eastAsia" w:ascii="Times New Roman" w:hAnsi="Times New Roman" w:eastAsia="宋体" w:cs="Times New Roman"/>
                      <w:color w:val="auto"/>
                      <w:lang w:eastAsia="zh-CN"/>
                    </w:rPr>
                    <w:t>；《磷石膏的处理处置规范》（GB/T 32124-2024）中6.6筑路材料 6.6.4产品要求</w:t>
                  </w:r>
                </w:p>
              </w:tc>
              <w:tc>
                <w:tcPr>
                  <w:tcW w:w="897" w:type="pct"/>
                  <w:vAlign w:val="center"/>
                </w:tcPr>
                <w:p w14:paraId="5ECAE26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散装</w:t>
                  </w:r>
                </w:p>
              </w:tc>
              <w:tc>
                <w:tcPr>
                  <w:tcW w:w="1104" w:type="pct"/>
                  <w:vAlign w:val="center"/>
                </w:tcPr>
                <w:p w14:paraId="5BE59AC2">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路基材料，筑路利用，已与云南博聘建筑劳务有限公司达成供货意向</w:t>
                  </w:r>
                </w:p>
              </w:tc>
            </w:tr>
          </w:tbl>
          <w:p w14:paraId="0D0446DE">
            <w:pPr>
              <w:pStyle w:val="30"/>
              <w:kinsoku/>
              <w:overflowPunct w:val="0"/>
              <w:autoSpaceDE/>
              <w:autoSpaceDN/>
              <w:adjustRightInd/>
              <w:snapToGrid/>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lang w:eastAsia="zh-CN"/>
              </w:rPr>
              <w:t>云南博聘建筑劳务有限公司</w:t>
            </w:r>
            <w:r>
              <w:rPr>
                <w:rFonts w:hint="eastAsia" w:cs="Times New Roman"/>
                <w:color w:val="auto"/>
                <w:lang w:eastAsia="zh-CN"/>
              </w:rPr>
              <w:t>，</w:t>
            </w:r>
            <w:r>
              <w:rPr>
                <w:rFonts w:hint="eastAsia" w:cs="Times New Roman"/>
                <w:color w:val="auto"/>
                <w:lang w:val="en-US" w:eastAsia="zh-CN"/>
              </w:rPr>
              <w:t>统一社会信用代码：91530129MAETUDTQ5F，经营范围包括许可项目：建筑劳务分包；住宅室内装饰装修；建设工程施工。采购本项目路基材料用于昆明各区、县的道路建设项目筑路利用。</w:t>
            </w:r>
          </w:p>
          <w:p w14:paraId="629926AB">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2、产品质量要求</w:t>
            </w:r>
          </w:p>
          <w:p w14:paraId="72153117">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b w:val="0"/>
                <w:bCs w:val="0"/>
                <w:snapToGrid/>
                <w:color w:val="auto"/>
                <w:kern w:val="2"/>
                <w:sz w:val="24"/>
                <w:szCs w:val="24"/>
                <w:lang w:val="en-US" w:eastAsia="zh-CN" w:bidi="ar"/>
              </w:rPr>
            </w:pPr>
            <w:r>
              <w:rPr>
                <w:rFonts w:hint="eastAsia" w:ascii="Times New Roman" w:hAnsi="Times New Roman" w:eastAsia="宋体" w:cs="Times New Roman"/>
                <w:b w:val="0"/>
                <w:bCs w:val="0"/>
                <w:snapToGrid/>
                <w:color w:val="auto"/>
                <w:kern w:val="2"/>
                <w:sz w:val="24"/>
                <w:szCs w:val="24"/>
                <w:lang w:val="en-US" w:eastAsia="zh-CN" w:bidi="ar"/>
              </w:rPr>
              <w:t>项目生产路基材料主要利用中化云龙有限公司生产改性后的磷石膏（路基材料）与砂石骨料、粉煤灰按比例进行搅拌混合均匀得到，主要用于道路施工时路基筑路使用。</w:t>
            </w:r>
          </w:p>
          <w:p w14:paraId="35DC5F37">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A.</w:t>
            </w:r>
            <w:r>
              <w:rPr>
                <w:rFonts w:hint="eastAsia" w:ascii="Times New Roman" w:hAnsi="Times New Roman" w:eastAsia="宋体" w:cs="Times New Roman"/>
                <w:b/>
                <w:bCs/>
                <w:snapToGrid/>
                <w:color w:val="auto"/>
                <w:kern w:val="2"/>
                <w:sz w:val="24"/>
                <w:szCs w:val="24"/>
                <w:lang w:eastAsia="zh-CN" w:bidi="ar"/>
              </w:rPr>
              <w:t>《路用改性磷石膏》（JT/T 1551-2025）</w:t>
            </w:r>
          </w:p>
          <w:p w14:paraId="01D38B48">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cs="Times New Roman"/>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根据</w:t>
            </w:r>
            <w:r>
              <w:rPr>
                <w:rFonts w:hint="eastAsia" w:ascii="Times New Roman" w:hAnsi="Times New Roman" w:eastAsia="宋体" w:cs="Times New Roman"/>
                <w:snapToGrid/>
                <w:color w:val="auto"/>
                <w:kern w:val="2"/>
                <w:sz w:val="24"/>
                <w:szCs w:val="24"/>
                <w:lang w:eastAsia="zh-CN" w:bidi="ar"/>
              </w:rPr>
              <w:t>《路用改性磷石膏》（JT/T 1551-2025）中4.2路用改性磷石膏 路用改性磷石膏按性能及应用工程部位分为A类、B类和C类。A类材料适用于水泥混凝土构件、水泥稳定基层、路基；B 类材料适用于水泥稳定基层、路基；C 类材料适用于路基。因此本项目路基材料执行C类标准</w:t>
            </w:r>
            <w:r>
              <w:rPr>
                <w:rFonts w:hint="eastAsia" w:cs="Times New Roman"/>
                <w:snapToGrid/>
                <w:color w:val="auto"/>
                <w:kern w:val="2"/>
                <w:sz w:val="24"/>
                <w:szCs w:val="24"/>
                <w:lang w:val="en-US" w:eastAsia="zh-CN" w:bidi="ar"/>
              </w:rPr>
              <w:t>中7d抗压强度。</w:t>
            </w:r>
          </w:p>
          <w:p w14:paraId="10708A48">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cs="Times New Roman"/>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根据</w:t>
            </w:r>
            <w:r>
              <w:rPr>
                <w:rFonts w:hint="eastAsia" w:ascii="Times New Roman" w:hAnsi="Times New Roman" w:eastAsia="宋体" w:cs="Times New Roman"/>
                <w:snapToGrid/>
                <w:color w:val="auto"/>
                <w:kern w:val="2"/>
                <w:sz w:val="24"/>
                <w:szCs w:val="24"/>
                <w:lang w:eastAsia="zh-CN" w:bidi="ar"/>
              </w:rPr>
              <w:t>《路用改性磷石膏》（JT/T 1551-2025）中4.</w:t>
            </w:r>
            <w:r>
              <w:rPr>
                <w:rFonts w:hint="eastAsia" w:cs="Times New Roman"/>
                <w:snapToGrid/>
                <w:color w:val="auto"/>
                <w:kern w:val="2"/>
                <w:sz w:val="24"/>
                <w:szCs w:val="24"/>
                <w:lang w:val="en-US" w:eastAsia="zh-CN" w:bidi="ar"/>
              </w:rPr>
              <w:t>3.3掺加改性磷石膏的路基材料</w:t>
            </w:r>
            <w:r>
              <w:rPr>
                <w:rFonts w:hint="eastAsia" w:ascii="Times New Roman" w:hAnsi="Times New Roman" w:eastAsia="宋体" w:cs="Times New Roman"/>
                <w:snapToGrid/>
                <w:color w:val="auto"/>
                <w:kern w:val="2"/>
                <w:sz w:val="24"/>
                <w:szCs w:val="24"/>
                <w:lang w:eastAsia="zh-CN" w:bidi="ar"/>
              </w:rPr>
              <w:t xml:space="preserve"> 掺加改性磷石膏的路基材料技术要求应符合附录C的规定。</w:t>
            </w:r>
          </w:p>
          <w:p w14:paraId="2DB33F27">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B.</w:t>
            </w:r>
            <w:r>
              <w:rPr>
                <w:rFonts w:ascii="Times New Roman" w:hAnsi="Times New Roman" w:eastAsia="宋体" w:cs="Times New Roman"/>
                <w:b/>
                <w:bCs/>
                <w:snapToGrid/>
                <w:color w:val="auto"/>
                <w:kern w:val="2"/>
                <w:sz w:val="24"/>
                <w:szCs w:val="24"/>
                <w:lang w:eastAsia="zh-CN" w:bidi="ar"/>
              </w:rPr>
              <w:t>《磷石膏的处理处置规范》（GB/T 32124-2024）</w:t>
            </w:r>
          </w:p>
          <w:p w14:paraId="0B30D3BA">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val="en-US" w:eastAsia="zh-CN" w:bidi="ar"/>
              </w:rPr>
              <w:t>根据</w:t>
            </w:r>
            <w:r>
              <w:rPr>
                <w:rFonts w:ascii="Times New Roman" w:hAnsi="Times New Roman" w:eastAsia="宋体" w:cs="Times New Roman"/>
                <w:snapToGrid/>
                <w:color w:val="auto"/>
                <w:kern w:val="2"/>
                <w:sz w:val="24"/>
                <w:szCs w:val="24"/>
                <w:lang w:eastAsia="zh-CN" w:bidi="ar"/>
              </w:rPr>
              <w:t>《磷石膏的处理处置规范》（GB/T 32124-2024）</w:t>
            </w:r>
            <w:r>
              <w:rPr>
                <w:rFonts w:hint="eastAsia" w:ascii="Times New Roman" w:hAnsi="Times New Roman" w:eastAsia="宋体" w:cs="Times New Roman"/>
                <w:snapToGrid/>
                <w:color w:val="auto"/>
                <w:kern w:val="2"/>
                <w:sz w:val="24"/>
                <w:szCs w:val="24"/>
                <w:lang w:eastAsia="zh-CN" w:bidi="ar"/>
              </w:rPr>
              <w:t>中6.6筑路材料 6.6.4产品要求 磷石膏筑路材料应用于道路的基础垫层、底基层、基层等筑路材料时，应采用14d龄期无侧限抗压强度作为设计的主要指标，强度代表值应符合表10的规定，且水稳定系数不小于0.8</w:t>
            </w:r>
            <w:r>
              <w:rPr>
                <w:rFonts w:hint="eastAsia" w:cs="Times New Roman"/>
                <w:snapToGrid/>
                <w:color w:val="auto"/>
                <w:kern w:val="2"/>
                <w:sz w:val="24"/>
                <w:szCs w:val="24"/>
                <w:lang w:eastAsia="zh-CN" w:bidi="ar"/>
              </w:rPr>
              <w:t>。</w:t>
            </w:r>
            <w:r>
              <w:rPr>
                <w:rFonts w:hint="eastAsia" w:ascii="Times New Roman" w:hAnsi="Times New Roman" w:eastAsia="宋体" w:cs="Times New Roman"/>
                <w:snapToGrid/>
                <w:color w:val="auto"/>
                <w:kern w:val="2"/>
                <w:sz w:val="24"/>
                <w:szCs w:val="24"/>
                <w:lang w:eastAsia="zh-CN" w:bidi="ar"/>
              </w:rPr>
              <w:t>磷石膏筑路材料在工程应用养护期满后取芯样，按照 HJ 557制取的浸出液应满足：pH：6~9、总磷≤0.5mg/L、氟化物≤10mg/L。</w:t>
            </w:r>
          </w:p>
          <w:p w14:paraId="5BE84F6D">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b/>
                <w:bCs/>
                <w:snapToGrid/>
                <w:color w:val="auto"/>
                <w:kern w:val="2"/>
                <w:sz w:val="24"/>
                <w:szCs w:val="24"/>
                <w:lang w:val="en-US" w:eastAsia="zh-CN" w:bidi="ar"/>
              </w:rPr>
            </w:pPr>
            <w:r>
              <w:rPr>
                <w:rFonts w:hint="eastAsia" w:ascii="Times New Roman" w:hAnsi="Times New Roman" w:eastAsia="宋体" w:cs="Times New Roman"/>
                <w:b/>
                <w:bCs/>
                <w:snapToGrid/>
                <w:color w:val="auto"/>
                <w:kern w:val="2"/>
                <w:sz w:val="24"/>
                <w:szCs w:val="24"/>
                <w:lang w:val="en-US" w:eastAsia="zh-CN" w:bidi="ar"/>
              </w:rPr>
              <w:t>C、《高速公路基层磷石膏应用技术规范》（DB53/T 1359-2025）</w:t>
            </w:r>
          </w:p>
          <w:p w14:paraId="60E27BA1">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根据《高速公路基层磷石膏应用技术规范》（DB53/T 1359-2025）中5.2 强度要求，水泥稳定磷石膏碎石混合料设计指标以7d无侧限抗压强度作为设计指标，应满足表2相应要求。9.4磷石膏筑路材料在工程应用养护期满后取芯样，按照HJ557 规定方法制取的浸出液应符合表8的规定，浸出液其他特征污染物控制指标宜符合表9的规定。</w:t>
            </w:r>
          </w:p>
          <w:p w14:paraId="34C1383A">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snapToGrid/>
                <w:color w:val="auto"/>
                <w:kern w:val="2"/>
                <w:sz w:val="24"/>
                <w:szCs w:val="24"/>
                <w:lang w:eastAsia="zh-CN" w:bidi="ar"/>
              </w:rPr>
              <w:t>综上，本项目路基材料产品执行以上要求</w:t>
            </w:r>
            <w:r>
              <w:rPr>
                <w:rFonts w:hint="eastAsia" w:ascii="Times New Roman" w:hAnsi="Times New Roman" w:eastAsia="宋体" w:cs="Times New Roman"/>
                <w:b w:val="0"/>
                <w:bCs w:val="0"/>
                <w:snapToGrid/>
                <w:color w:val="auto"/>
                <w:kern w:val="2"/>
                <w:sz w:val="24"/>
                <w:szCs w:val="24"/>
                <w:lang w:val="en-US" w:eastAsia="zh-CN" w:bidi="ar"/>
              </w:rPr>
              <w:t>较</w:t>
            </w:r>
            <w:r>
              <w:rPr>
                <w:rFonts w:hint="eastAsia" w:ascii="Times New Roman" w:hAnsi="Times New Roman" w:eastAsia="宋体" w:cs="Times New Roman"/>
                <w:b w:val="0"/>
                <w:bCs w:val="0"/>
                <w:snapToGrid/>
                <w:color w:val="auto"/>
                <w:kern w:val="2"/>
                <w:sz w:val="24"/>
                <w:szCs w:val="24"/>
                <w:lang w:eastAsia="zh-CN" w:bidi="ar"/>
              </w:rPr>
              <w:t>严值，具体执行标准如下。</w:t>
            </w:r>
          </w:p>
          <w:p w14:paraId="3FBB8C5E">
            <w:pPr>
              <w:kinsoku/>
              <w:overflowPunct w:val="0"/>
              <w:autoSpaceDE/>
              <w:autoSpaceDN/>
              <w:adjustRightInd/>
              <w:snapToGrid/>
              <w:jc w:val="center"/>
              <w:textAlignment w:val="auto"/>
              <w:rPr>
                <w:rFonts w:hint="eastAsia"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val="en-US" w:eastAsia="zh-CN" w:bidi="ar"/>
              </w:rPr>
              <w:t>表2-</w:t>
            </w:r>
            <w:r>
              <w:rPr>
                <w:rFonts w:hint="eastAsia" w:cs="Times New Roman"/>
                <w:b/>
                <w:snapToGrid/>
                <w:color w:val="auto"/>
                <w:kern w:val="2"/>
                <w:sz w:val="24"/>
                <w:szCs w:val="24"/>
                <w:lang w:val="en-US" w:eastAsia="zh-CN" w:bidi="ar"/>
              </w:rPr>
              <w:t xml:space="preserve">4 </w:t>
            </w:r>
            <w:r>
              <w:rPr>
                <w:rFonts w:hint="eastAsia" w:ascii="Times New Roman" w:hAnsi="Times New Roman" w:eastAsia="宋体" w:cs="Times New Roman"/>
                <w:b/>
                <w:snapToGrid/>
                <w:color w:val="auto"/>
                <w:kern w:val="2"/>
                <w:sz w:val="24"/>
                <w:szCs w:val="24"/>
                <w:lang w:val="en-US" w:eastAsia="zh-CN" w:bidi="ar"/>
              </w:rPr>
              <w:t>路基材料产品执行标准</w:t>
            </w:r>
          </w:p>
          <w:tbl>
            <w:tblPr>
              <w:tblStyle w:val="20"/>
              <w:tblW w:w="48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6"/>
              <w:gridCol w:w="1339"/>
              <w:gridCol w:w="1851"/>
              <w:gridCol w:w="1703"/>
              <w:gridCol w:w="1881"/>
            </w:tblGrid>
            <w:tr w14:paraId="7BF9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151FA82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w:t>
                  </w:r>
                </w:p>
              </w:tc>
              <w:tc>
                <w:tcPr>
                  <w:tcW w:w="797" w:type="pct"/>
                  <w:vAlign w:val="center"/>
                </w:tcPr>
                <w:p w14:paraId="2012070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JT/T 1551-2025</w:t>
                  </w:r>
                </w:p>
              </w:tc>
              <w:tc>
                <w:tcPr>
                  <w:tcW w:w="1103" w:type="pct"/>
                  <w:vAlign w:val="center"/>
                </w:tcPr>
                <w:p w14:paraId="2B81438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GB/T 32124-2024</w:t>
                  </w:r>
                </w:p>
              </w:tc>
              <w:tc>
                <w:tcPr>
                  <w:tcW w:w="1014" w:type="pct"/>
                  <w:vAlign w:val="center"/>
                </w:tcPr>
                <w:p w14:paraId="3517B4B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val="en-US" w:eastAsia="zh-CN" w:bidi="ar"/>
                    </w:rPr>
                  </w:pPr>
                  <w:r>
                    <w:rPr>
                      <w:rFonts w:hint="eastAsia" w:ascii="Times New Roman" w:hAnsi="Times New Roman" w:eastAsia="宋体" w:cs="Times New Roman"/>
                      <w:b/>
                      <w:bCs/>
                      <w:snapToGrid/>
                      <w:color w:val="auto"/>
                      <w:kern w:val="2"/>
                      <w:sz w:val="21"/>
                      <w:szCs w:val="21"/>
                      <w:lang w:val="en-US" w:eastAsia="zh-CN" w:bidi="ar"/>
                    </w:rPr>
                    <w:t>DB53/T 1359-2025</w:t>
                  </w:r>
                </w:p>
              </w:tc>
              <w:tc>
                <w:tcPr>
                  <w:tcW w:w="1120" w:type="pct"/>
                  <w:vAlign w:val="center"/>
                </w:tcPr>
                <w:p w14:paraId="0E4FA99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val="en-US" w:eastAsia="zh-CN" w:bidi="ar"/>
                    </w:rPr>
                    <w:t>本项目路基</w:t>
                  </w:r>
                  <w:r>
                    <w:rPr>
                      <w:rFonts w:hint="eastAsia" w:cs="Times New Roman"/>
                      <w:b/>
                      <w:bCs/>
                      <w:snapToGrid/>
                      <w:color w:val="auto"/>
                      <w:kern w:val="2"/>
                      <w:sz w:val="21"/>
                      <w:szCs w:val="21"/>
                      <w:lang w:val="en-US" w:eastAsia="zh-CN" w:bidi="ar"/>
                    </w:rPr>
                    <w:t>材料</w:t>
                  </w:r>
                  <w:r>
                    <w:rPr>
                      <w:rFonts w:hint="eastAsia" w:ascii="Times New Roman" w:hAnsi="Times New Roman" w:eastAsia="宋体" w:cs="Times New Roman"/>
                      <w:b/>
                      <w:bCs/>
                      <w:snapToGrid/>
                      <w:color w:val="auto"/>
                      <w:kern w:val="2"/>
                      <w:sz w:val="21"/>
                      <w:szCs w:val="21"/>
                      <w:lang w:val="en-US" w:eastAsia="zh-CN" w:bidi="ar"/>
                    </w:rPr>
                    <w:t>产品</w:t>
                  </w:r>
                  <w:r>
                    <w:rPr>
                      <w:rFonts w:hint="eastAsia" w:ascii="Times New Roman" w:hAnsi="Times New Roman" w:eastAsia="宋体" w:cs="Times New Roman"/>
                      <w:b/>
                      <w:bCs/>
                      <w:snapToGrid/>
                      <w:color w:val="auto"/>
                      <w:kern w:val="2"/>
                      <w:sz w:val="21"/>
                      <w:szCs w:val="21"/>
                      <w:lang w:eastAsia="zh-CN" w:bidi="ar"/>
                    </w:rPr>
                    <w:t>指标</w:t>
                  </w:r>
                </w:p>
              </w:tc>
            </w:tr>
            <w:tr w14:paraId="3651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63214F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pH（无量纲）</w:t>
                  </w:r>
                </w:p>
              </w:tc>
              <w:tc>
                <w:tcPr>
                  <w:tcW w:w="797" w:type="pct"/>
                  <w:vAlign w:val="center"/>
                </w:tcPr>
                <w:p w14:paraId="375FAA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368AA41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6~9</w:t>
                  </w:r>
                </w:p>
              </w:tc>
              <w:tc>
                <w:tcPr>
                  <w:tcW w:w="1014" w:type="pct"/>
                  <w:vAlign w:val="center"/>
                </w:tcPr>
                <w:p w14:paraId="6C4BCED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snapToGrid/>
                      <w:color w:val="auto"/>
                      <w:kern w:val="2"/>
                      <w:lang w:val="en-US" w:eastAsia="zh-CN" w:bidi="ar"/>
                    </w:rPr>
                  </w:pPr>
                  <w:r>
                    <w:rPr>
                      <w:rFonts w:hint="eastAsia" w:cs="Times New Roman"/>
                      <w:color w:val="auto"/>
                      <w:lang w:val="en-US" w:eastAsia="zh-CN"/>
                    </w:rPr>
                    <w:t>6~9</w:t>
                  </w:r>
                </w:p>
              </w:tc>
              <w:tc>
                <w:tcPr>
                  <w:tcW w:w="1120" w:type="pct"/>
                  <w:vAlign w:val="center"/>
                </w:tcPr>
                <w:p w14:paraId="5AB9F91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cs="Times New Roman"/>
                      <w:snapToGrid/>
                      <w:color w:val="auto"/>
                      <w:kern w:val="2"/>
                      <w:lang w:val="en-US" w:eastAsia="zh-CN" w:bidi="ar"/>
                    </w:rPr>
                    <w:t>6</w:t>
                  </w:r>
                  <w:r>
                    <w:rPr>
                      <w:rFonts w:hint="eastAsia" w:ascii="Times New Roman" w:hAnsi="Times New Roman" w:eastAsia="宋体" w:cs="Times New Roman"/>
                      <w:snapToGrid/>
                      <w:color w:val="auto"/>
                      <w:kern w:val="2"/>
                      <w:lang w:eastAsia="zh-CN" w:bidi="ar"/>
                    </w:rPr>
                    <w:t>~9</w:t>
                  </w:r>
                </w:p>
              </w:tc>
            </w:tr>
            <w:tr w14:paraId="7B36A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4A6847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7d抗压强度/MPa</w:t>
                  </w:r>
                </w:p>
              </w:tc>
              <w:tc>
                <w:tcPr>
                  <w:tcW w:w="797" w:type="pct"/>
                  <w:vAlign w:val="center"/>
                </w:tcPr>
                <w:p w14:paraId="4F61C62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1103" w:type="pct"/>
                  <w:vAlign w:val="center"/>
                </w:tcPr>
                <w:p w14:paraId="6CE4408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014" w:type="pct"/>
                  <w:vAlign w:val="center"/>
                </w:tcPr>
                <w:p w14:paraId="765F8C8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20" w:type="pct"/>
                  <w:vAlign w:val="center"/>
                </w:tcPr>
                <w:p w14:paraId="731FFFC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≥0.3</w:t>
                  </w:r>
                </w:p>
              </w:tc>
            </w:tr>
            <w:tr w14:paraId="4AF3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096F58B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最小承载比（CBR）</w:t>
                  </w:r>
                </w:p>
              </w:tc>
              <w:tc>
                <w:tcPr>
                  <w:tcW w:w="797" w:type="pct"/>
                  <w:vAlign w:val="center"/>
                </w:tcPr>
                <w:p w14:paraId="74B9810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w:t>
                  </w:r>
                  <w:r>
                    <w:rPr>
                      <w:rFonts w:hint="eastAsia" w:cs="Times New Roman"/>
                      <w:color w:val="auto"/>
                      <w:lang w:val="en-US" w:eastAsia="zh-CN"/>
                    </w:rPr>
                    <w:t>、</w:t>
                  </w:r>
                  <w:r>
                    <w:rPr>
                      <w:rFonts w:hint="eastAsia" w:ascii="Times New Roman" w:hAnsi="Times New Roman" w:eastAsia="宋体" w:cs="Times New Roman"/>
                      <w:color w:val="auto"/>
                      <w:lang w:val="en-US" w:eastAsia="zh-CN"/>
                    </w:rPr>
                    <w:t>一级公路：≥</w:t>
                  </w:r>
                  <w:r>
                    <w:rPr>
                      <w:rFonts w:hint="eastAsia" w:cs="Times New Roman"/>
                      <w:color w:val="auto"/>
                      <w:lang w:val="en-US" w:eastAsia="zh-CN"/>
                    </w:rPr>
                    <w:t>4%；</w:t>
                  </w:r>
                  <w:r>
                    <w:rPr>
                      <w:rFonts w:hint="eastAsia" w:ascii="Times New Roman" w:hAnsi="Times New Roman" w:eastAsia="宋体" w:cs="Times New Roman"/>
                      <w:color w:val="auto"/>
                      <w:lang w:val="en-US" w:eastAsia="zh-CN"/>
                    </w:rPr>
                    <w:t>二级及以下公路：≥</w:t>
                  </w:r>
                  <w:r>
                    <w:rPr>
                      <w:rFonts w:hint="eastAsia" w:cs="Times New Roman"/>
                      <w:color w:val="auto"/>
                      <w:lang w:val="en-US" w:eastAsia="zh-CN"/>
                    </w:rPr>
                    <w:t>3%</w:t>
                  </w:r>
                </w:p>
              </w:tc>
              <w:tc>
                <w:tcPr>
                  <w:tcW w:w="1103" w:type="pct"/>
                  <w:vAlign w:val="center"/>
                </w:tcPr>
                <w:p w14:paraId="3F6783D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955449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20" w:type="pct"/>
                  <w:vAlign w:val="center"/>
                </w:tcPr>
                <w:p w14:paraId="2FDBEE0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w:t>
                  </w:r>
                  <w:r>
                    <w:rPr>
                      <w:rFonts w:hint="eastAsia" w:cs="Times New Roman"/>
                      <w:color w:val="auto"/>
                      <w:lang w:val="en-US" w:eastAsia="zh-CN"/>
                    </w:rPr>
                    <w:t>、</w:t>
                  </w:r>
                  <w:r>
                    <w:rPr>
                      <w:rFonts w:hint="eastAsia" w:ascii="Times New Roman" w:hAnsi="Times New Roman" w:eastAsia="宋体" w:cs="Times New Roman"/>
                      <w:color w:val="auto"/>
                      <w:lang w:val="en-US" w:eastAsia="zh-CN"/>
                    </w:rPr>
                    <w:t>一级公路：≥</w:t>
                  </w:r>
                  <w:r>
                    <w:rPr>
                      <w:rFonts w:hint="eastAsia" w:cs="Times New Roman"/>
                      <w:color w:val="auto"/>
                      <w:lang w:val="en-US" w:eastAsia="zh-CN"/>
                    </w:rPr>
                    <w:t>4%；</w:t>
                  </w:r>
                  <w:r>
                    <w:rPr>
                      <w:rFonts w:hint="eastAsia" w:ascii="Times New Roman" w:hAnsi="Times New Roman" w:eastAsia="宋体" w:cs="Times New Roman"/>
                      <w:color w:val="auto"/>
                      <w:lang w:val="en-US" w:eastAsia="zh-CN"/>
                    </w:rPr>
                    <w:t>二级及以下公路：≥</w:t>
                  </w:r>
                  <w:r>
                    <w:rPr>
                      <w:rFonts w:hint="eastAsia" w:cs="Times New Roman"/>
                      <w:color w:val="auto"/>
                      <w:lang w:val="en-US" w:eastAsia="zh-CN"/>
                    </w:rPr>
                    <w:t>3%</w:t>
                  </w:r>
                </w:p>
              </w:tc>
            </w:tr>
            <w:tr w14:paraId="0C65E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761C7D2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color w:val="auto"/>
                      <w:lang w:val="en-US" w:eastAsia="zh-CN"/>
                    </w:rPr>
                  </w:pPr>
                  <w:r>
                    <w:rPr>
                      <w:rFonts w:hint="eastAsia" w:cs="Times New Roman"/>
                      <w:color w:val="auto"/>
                      <w:lang w:val="en-US" w:eastAsia="zh-CN"/>
                    </w:rPr>
                    <w:t>水稳系数</w:t>
                  </w:r>
                </w:p>
              </w:tc>
              <w:tc>
                <w:tcPr>
                  <w:tcW w:w="797" w:type="pct"/>
                  <w:vAlign w:val="center"/>
                </w:tcPr>
                <w:p w14:paraId="1478EE1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57C4AD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0.8</w:t>
                  </w:r>
                </w:p>
              </w:tc>
              <w:tc>
                <w:tcPr>
                  <w:tcW w:w="1014" w:type="pct"/>
                  <w:vAlign w:val="center"/>
                </w:tcPr>
                <w:p w14:paraId="386B359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20" w:type="pct"/>
                  <w:vAlign w:val="center"/>
                </w:tcPr>
                <w:p w14:paraId="649899F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s="Times New Roman"/>
                      <w:color w:val="auto"/>
                      <w:lang w:val="en-US" w:eastAsia="zh-CN"/>
                    </w:rPr>
                    <w:t>0.8</w:t>
                  </w:r>
                </w:p>
              </w:tc>
            </w:tr>
            <w:tr w14:paraId="54FA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44F139A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color w:val="auto"/>
                      <w:lang w:val="en-US" w:eastAsia="zh-CN"/>
                    </w:rPr>
                  </w:pPr>
                  <w:r>
                    <w:rPr>
                      <w:rFonts w:hint="eastAsia" w:cs="Times New Roman"/>
                      <w:color w:val="auto"/>
                      <w:lang w:val="en-US" w:eastAsia="zh-CN"/>
                    </w:rPr>
                    <w:t>7d无侧限抗压强度</w:t>
                  </w:r>
                  <w:r>
                    <w:rPr>
                      <w:rFonts w:hint="eastAsia" w:ascii="Times New Roman" w:hAnsi="Times New Roman" w:eastAsia="宋体" w:cs="Times New Roman"/>
                      <w:color w:val="auto"/>
                      <w:lang w:val="en-US" w:eastAsia="zh-CN"/>
                    </w:rPr>
                    <w:t>/MPa</w:t>
                  </w:r>
                </w:p>
              </w:tc>
              <w:tc>
                <w:tcPr>
                  <w:tcW w:w="797" w:type="pct"/>
                  <w:vAlign w:val="center"/>
                </w:tcPr>
                <w:p w14:paraId="6B1CBCC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color w:val="auto"/>
                      <w:lang w:val="en-US" w:eastAsia="zh-CN"/>
                    </w:rPr>
                  </w:pPr>
                  <w:r>
                    <w:rPr>
                      <w:rFonts w:hint="eastAsia" w:cs="Times New Roman"/>
                      <w:color w:val="auto"/>
                      <w:lang w:val="en-US" w:eastAsia="zh-CN"/>
                    </w:rPr>
                    <w:t>/</w:t>
                  </w:r>
                </w:p>
              </w:tc>
              <w:tc>
                <w:tcPr>
                  <w:tcW w:w="1103" w:type="pct"/>
                  <w:vAlign w:val="center"/>
                </w:tcPr>
                <w:p w14:paraId="014475C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43F366F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高速公路和一级公路：重交通3.5~4.5；中、轻交通3.0~4.0。二级及二级以下公路：重交通3.0~4.0；中、轻交通2.5~3.5。</w:t>
                  </w:r>
                </w:p>
              </w:tc>
              <w:tc>
                <w:tcPr>
                  <w:tcW w:w="1120" w:type="pct"/>
                  <w:vAlign w:val="center"/>
                </w:tcPr>
                <w:p w14:paraId="603D1F9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高速公路和一级公路：重交通3.5~4.5；中、轻交通3.0~4.0。二级及二级以下公路：重交通3.0~4.0；中、轻交通2.5~3.5。</w:t>
                  </w:r>
                </w:p>
              </w:tc>
            </w:tr>
            <w:tr w14:paraId="497C7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46A7365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14d龄期无侧限抗压强度/MPa</w:t>
                  </w:r>
                </w:p>
              </w:tc>
              <w:tc>
                <w:tcPr>
                  <w:tcW w:w="797" w:type="pct"/>
                  <w:vAlign w:val="center"/>
                </w:tcPr>
                <w:p w14:paraId="500822D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3" w:type="pct"/>
                  <w:vAlign w:val="center"/>
                </w:tcPr>
                <w:p w14:paraId="492B622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高速公路和一级公路：极重、特重交通5.0~7.0；重交通4.0~6.0；中、轻交通3.0~5.0。二级及二级以下公路：极重、特重交通4.0~6.0；重交通3.0~5.0；中、轻交通2.0~4.0。</w:t>
                  </w:r>
                </w:p>
              </w:tc>
              <w:tc>
                <w:tcPr>
                  <w:tcW w:w="1014" w:type="pct"/>
                  <w:vAlign w:val="center"/>
                </w:tcPr>
                <w:p w14:paraId="7FB753A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120" w:type="pct"/>
                  <w:vAlign w:val="center"/>
                </w:tcPr>
                <w:p w14:paraId="027260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高速公路和一级公路：极重、特重交通5.0~7.0；重交通4.0~6.0；中、轻交通3.0~5.0。二级及二级以下公路：极重、特重交通4.0~6.0；重交通3.0~5.0；中、轻交通2.0~4.0。</w:t>
                  </w:r>
                </w:p>
              </w:tc>
            </w:tr>
            <w:tr w14:paraId="07ACA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0AD9D2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总磷（mg/L）</w:t>
                  </w:r>
                </w:p>
              </w:tc>
              <w:tc>
                <w:tcPr>
                  <w:tcW w:w="797" w:type="pct"/>
                  <w:vAlign w:val="center"/>
                </w:tcPr>
                <w:p w14:paraId="7536B8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3" w:type="pct"/>
                  <w:vAlign w:val="center"/>
                </w:tcPr>
                <w:p w14:paraId="2A68C58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1014" w:type="pct"/>
                  <w:vAlign w:val="center"/>
                </w:tcPr>
                <w:p w14:paraId="3701F48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lang w:val="en-US" w:eastAsia="zh-CN" w:bidi="ar"/>
                    </w:rPr>
                  </w:pPr>
                  <w:r>
                    <w:rPr>
                      <w:rFonts w:hint="eastAsia" w:ascii="Times New Roman" w:hAnsi="Times New Roman" w:eastAsia="宋体" w:cs="Times New Roman"/>
                      <w:color w:val="auto"/>
                      <w:lang w:val="en-US" w:eastAsia="zh-CN"/>
                    </w:rPr>
                    <w:t>≤0.5</w:t>
                  </w:r>
                </w:p>
              </w:tc>
              <w:tc>
                <w:tcPr>
                  <w:tcW w:w="1120" w:type="pct"/>
                  <w:vAlign w:val="center"/>
                </w:tcPr>
                <w:p w14:paraId="7D8BB00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≤0.5</w:t>
                  </w:r>
                </w:p>
              </w:tc>
            </w:tr>
            <w:tr w14:paraId="22AB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1FE660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氟化物（mg/L）</w:t>
                  </w:r>
                </w:p>
              </w:tc>
              <w:tc>
                <w:tcPr>
                  <w:tcW w:w="797" w:type="pct"/>
                  <w:vAlign w:val="center"/>
                </w:tcPr>
                <w:p w14:paraId="5E560B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3" w:type="pct"/>
                  <w:vAlign w:val="center"/>
                </w:tcPr>
                <w:p w14:paraId="4ADF102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014" w:type="pct"/>
                  <w:vAlign w:val="center"/>
                </w:tcPr>
                <w:p w14:paraId="027E696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lang w:val="en-US" w:eastAsia="zh-CN" w:bidi="ar"/>
                    </w:rPr>
                  </w:pPr>
                  <w:r>
                    <w:rPr>
                      <w:rFonts w:hint="eastAsia" w:ascii="Times New Roman" w:hAnsi="Times New Roman" w:eastAsia="宋体" w:cs="Times New Roman"/>
                      <w:color w:val="auto"/>
                      <w:lang w:val="en-US" w:eastAsia="zh-CN"/>
                    </w:rPr>
                    <w:t>≤10</w:t>
                  </w:r>
                </w:p>
              </w:tc>
              <w:tc>
                <w:tcPr>
                  <w:tcW w:w="1120" w:type="pct"/>
                  <w:vAlign w:val="center"/>
                </w:tcPr>
                <w:p w14:paraId="23543EE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≤10</w:t>
                  </w:r>
                </w:p>
              </w:tc>
            </w:tr>
            <w:tr w14:paraId="14AF9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75C621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氨氮</w:t>
                  </w:r>
                  <w:r>
                    <w:rPr>
                      <w:rFonts w:hint="eastAsia" w:ascii="Times New Roman" w:hAnsi="Times New Roman" w:eastAsia="宋体" w:cs="Times New Roman"/>
                      <w:color w:val="auto"/>
                      <w:lang w:eastAsia="zh-CN"/>
                    </w:rPr>
                    <w:t>（mg/L）</w:t>
                  </w:r>
                </w:p>
              </w:tc>
              <w:tc>
                <w:tcPr>
                  <w:tcW w:w="797" w:type="pct"/>
                  <w:vAlign w:val="center"/>
                </w:tcPr>
                <w:p w14:paraId="0FDDFA1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13DF83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37CA44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1120" w:type="pct"/>
                  <w:vAlign w:val="center"/>
                </w:tcPr>
                <w:p w14:paraId="02C24E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≤15</w:t>
                  </w:r>
                </w:p>
              </w:tc>
            </w:tr>
            <w:tr w14:paraId="09795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42438EA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化学需氧量</w:t>
                  </w:r>
                  <w:r>
                    <w:rPr>
                      <w:rFonts w:hint="eastAsia" w:ascii="Times New Roman" w:hAnsi="Times New Roman" w:eastAsia="宋体" w:cs="Times New Roman"/>
                      <w:color w:val="auto"/>
                      <w:lang w:eastAsia="zh-CN"/>
                    </w:rPr>
                    <w:t>（mg/L）</w:t>
                  </w:r>
                </w:p>
              </w:tc>
              <w:tc>
                <w:tcPr>
                  <w:tcW w:w="797" w:type="pct"/>
                  <w:vAlign w:val="center"/>
                </w:tcPr>
                <w:p w14:paraId="70043BE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4956D33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F52A1B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≤100</w:t>
                  </w:r>
                </w:p>
              </w:tc>
              <w:tc>
                <w:tcPr>
                  <w:tcW w:w="1120" w:type="pct"/>
                  <w:vAlign w:val="center"/>
                </w:tcPr>
                <w:p w14:paraId="7D2F390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≤100</w:t>
                  </w:r>
                </w:p>
              </w:tc>
            </w:tr>
            <w:tr w14:paraId="095E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14F8EC0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color w:val="auto"/>
                      <w:lang w:val="en-US" w:eastAsia="zh-CN"/>
                    </w:rPr>
                  </w:pPr>
                  <w:r>
                    <w:rPr>
                      <w:rFonts w:hint="eastAsia" w:cs="Times New Roman"/>
                      <w:color w:val="auto"/>
                      <w:lang w:val="en-US" w:eastAsia="zh-CN"/>
                    </w:rPr>
                    <w:t>总铍</w:t>
                  </w:r>
                  <w:r>
                    <w:rPr>
                      <w:rFonts w:hint="eastAsia" w:ascii="Times New Roman" w:hAnsi="Times New Roman" w:eastAsia="宋体" w:cs="Times New Roman"/>
                      <w:color w:val="auto"/>
                      <w:lang w:eastAsia="zh-CN"/>
                    </w:rPr>
                    <w:t>（mg/L）</w:t>
                  </w:r>
                </w:p>
              </w:tc>
              <w:tc>
                <w:tcPr>
                  <w:tcW w:w="797" w:type="pct"/>
                  <w:vAlign w:val="center"/>
                </w:tcPr>
                <w:p w14:paraId="5663E7F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46C7B86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2947F1C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≤0.005</w:t>
                  </w:r>
                </w:p>
              </w:tc>
              <w:tc>
                <w:tcPr>
                  <w:tcW w:w="1120" w:type="pct"/>
                  <w:vAlign w:val="center"/>
                </w:tcPr>
                <w:p w14:paraId="7F016A9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≤0.005</w:t>
                  </w:r>
                </w:p>
              </w:tc>
            </w:tr>
            <w:tr w14:paraId="793A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28D9BD6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总铜</w:t>
                  </w:r>
                  <w:r>
                    <w:rPr>
                      <w:rFonts w:hint="eastAsia" w:ascii="Times New Roman" w:hAnsi="Times New Roman" w:eastAsia="宋体" w:cs="Times New Roman"/>
                      <w:color w:val="auto"/>
                      <w:lang w:eastAsia="zh-CN"/>
                    </w:rPr>
                    <w:t>（mg/L）</w:t>
                  </w:r>
                </w:p>
              </w:tc>
              <w:tc>
                <w:tcPr>
                  <w:tcW w:w="797" w:type="pct"/>
                  <w:vAlign w:val="center"/>
                </w:tcPr>
                <w:p w14:paraId="1792BDC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731B9B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188FD60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1120" w:type="pct"/>
                  <w:vAlign w:val="center"/>
                </w:tcPr>
                <w:p w14:paraId="117963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≤0.5</w:t>
                  </w:r>
                </w:p>
              </w:tc>
            </w:tr>
            <w:tr w14:paraId="0B559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5E13541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总汞</w:t>
                  </w:r>
                  <w:r>
                    <w:rPr>
                      <w:rFonts w:hint="eastAsia" w:ascii="Times New Roman" w:hAnsi="Times New Roman" w:eastAsia="宋体" w:cs="Times New Roman"/>
                      <w:color w:val="auto"/>
                      <w:lang w:eastAsia="zh-CN"/>
                    </w:rPr>
                    <w:t>（mg/L）</w:t>
                  </w:r>
                </w:p>
              </w:tc>
              <w:tc>
                <w:tcPr>
                  <w:tcW w:w="797" w:type="pct"/>
                  <w:vAlign w:val="center"/>
                </w:tcPr>
                <w:p w14:paraId="4CF91A2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0DCB5EA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CD7F7E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c>
                <w:tcPr>
                  <w:tcW w:w="1120" w:type="pct"/>
                  <w:vAlign w:val="center"/>
                </w:tcPr>
                <w:p w14:paraId="0137B9C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≤0.05</w:t>
                  </w:r>
                </w:p>
              </w:tc>
            </w:tr>
            <w:tr w14:paraId="10BF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08BFA58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总镉</w:t>
                  </w:r>
                  <w:r>
                    <w:rPr>
                      <w:rFonts w:hint="eastAsia" w:ascii="Times New Roman" w:hAnsi="Times New Roman" w:eastAsia="宋体" w:cs="Times New Roman"/>
                      <w:color w:val="auto"/>
                      <w:lang w:eastAsia="zh-CN"/>
                    </w:rPr>
                    <w:t>（mg/L）</w:t>
                  </w:r>
                </w:p>
              </w:tc>
              <w:tc>
                <w:tcPr>
                  <w:tcW w:w="797" w:type="pct"/>
                  <w:vAlign w:val="center"/>
                </w:tcPr>
                <w:p w14:paraId="21B66BD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0148F8F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22EF15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≤0.1</w:t>
                  </w:r>
                </w:p>
              </w:tc>
              <w:tc>
                <w:tcPr>
                  <w:tcW w:w="1120" w:type="pct"/>
                  <w:vAlign w:val="center"/>
                </w:tcPr>
                <w:p w14:paraId="2C7BAF0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≤0.1</w:t>
                  </w:r>
                </w:p>
              </w:tc>
            </w:tr>
            <w:tr w14:paraId="4293B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08B11E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总铬</w:t>
                  </w:r>
                  <w:r>
                    <w:rPr>
                      <w:rFonts w:hint="eastAsia" w:ascii="Times New Roman" w:hAnsi="Times New Roman" w:eastAsia="宋体" w:cs="Times New Roman"/>
                      <w:color w:val="auto"/>
                      <w:lang w:eastAsia="zh-CN"/>
                    </w:rPr>
                    <w:t>（mg/L）</w:t>
                  </w:r>
                </w:p>
              </w:tc>
              <w:tc>
                <w:tcPr>
                  <w:tcW w:w="797" w:type="pct"/>
                  <w:vAlign w:val="center"/>
                </w:tcPr>
                <w:p w14:paraId="7B4D79B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412B286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1757787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1120" w:type="pct"/>
                  <w:vAlign w:val="center"/>
                </w:tcPr>
                <w:p w14:paraId="55A10AA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≤1.5</w:t>
                  </w:r>
                </w:p>
              </w:tc>
            </w:tr>
            <w:tr w14:paraId="347C8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286DF5C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总砷</w:t>
                  </w:r>
                  <w:r>
                    <w:rPr>
                      <w:rFonts w:hint="eastAsia" w:ascii="Times New Roman" w:hAnsi="Times New Roman" w:eastAsia="宋体" w:cs="Times New Roman"/>
                      <w:color w:val="auto"/>
                      <w:lang w:eastAsia="zh-CN"/>
                    </w:rPr>
                    <w:t>（mg/L）</w:t>
                  </w:r>
                </w:p>
              </w:tc>
              <w:tc>
                <w:tcPr>
                  <w:tcW w:w="797" w:type="pct"/>
                  <w:vAlign w:val="center"/>
                </w:tcPr>
                <w:p w14:paraId="3581627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5AC927B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00E3B5C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c>
                <w:tcPr>
                  <w:tcW w:w="1120" w:type="pct"/>
                  <w:vAlign w:val="center"/>
                </w:tcPr>
                <w:p w14:paraId="1F5E105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≤0.5</w:t>
                  </w:r>
                </w:p>
              </w:tc>
            </w:tr>
            <w:tr w14:paraId="4548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3" w:type="pct"/>
                  <w:vAlign w:val="center"/>
                </w:tcPr>
                <w:p w14:paraId="5C0F459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cs="Times New Roman"/>
                      <w:color w:val="auto"/>
                      <w:lang w:val="en-US" w:eastAsia="zh-CN"/>
                    </w:rPr>
                  </w:pPr>
                  <w:r>
                    <w:rPr>
                      <w:rFonts w:hint="eastAsia" w:cs="Times New Roman"/>
                      <w:color w:val="auto"/>
                      <w:lang w:val="en-US" w:eastAsia="zh-CN"/>
                    </w:rPr>
                    <w:t>总铅</w:t>
                  </w:r>
                  <w:r>
                    <w:rPr>
                      <w:rFonts w:hint="eastAsia" w:ascii="Times New Roman" w:hAnsi="Times New Roman" w:eastAsia="宋体" w:cs="Times New Roman"/>
                      <w:color w:val="auto"/>
                      <w:lang w:eastAsia="zh-CN"/>
                    </w:rPr>
                    <w:t>（mg/L）</w:t>
                  </w:r>
                </w:p>
              </w:tc>
              <w:tc>
                <w:tcPr>
                  <w:tcW w:w="797" w:type="pct"/>
                  <w:vAlign w:val="center"/>
                </w:tcPr>
                <w:p w14:paraId="0221F86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103" w:type="pct"/>
                  <w:vAlign w:val="center"/>
                </w:tcPr>
                <w:p w14:paraId="15FEFB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r>
                    <w:rPr>
                      <w:rFonts w:hint="eastAsia" w:cs="Times New Roman"/>
                      <w:color w:val="auto"/>
                      <w:lang w:val="en-US" w:eastAsia="zh-CN"/>
                    </w:rPr>
                    <w:t>/</w:t>
                  </w:r>
                </w:p>
              </w:tc>
              <w:tc>
                <w:tcPr>
                  <w:tcW w:w="1014" w:type="pct"/>
                  <w:vAlign w:val="center"/>
                </w:tcPr>
                <w:p w14:paraId="366E44E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120" w:type="pct"/>
                  <w:vAlign w:val="center"/>
                </w:tcPr>
                <w:p w14:paraId="2A41063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val="en-US" w:eastAsia="zh-CN"/>
                    </w:rPr>
                    <w:t>≤1.0</w:t>
                  </w:r>
                </w:p>
              </w:tc>
            </w:tr>
          </w:tbl>
          <w:p w14:paraId="3603A26B">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3、产品认证</w:t>
            </w:r>
          </w:p>
          <w:p w14:paraId="1437A6F7">
            <w:pPr>
              <w:pStyle w:val="30"/>
              <w:kinsoku/>
              <w:overflowPunct w:val="0"/>
              <w:autoSpaceDE/>
              <w:autoSpaceDN/>
              <w:adjustRightInd/>
              <w:snapToGrid/>
              <w:spacing w:line="360" w:lineRule="auto"/>
              <w:ind w:firstLine="480" w:firstLineChars="200"/>
              <w:jc w:val="both"/>
              <w:rPr>
                <w:rFonts w:hint="eastAsia" w:cs="Times New Roman"/>
                <w:snapToGrid/>
                <w:color w:val="auto"/>
                <w:kern w:val="2"/>
                <w:sz w:val="24"/>
                <w:szCs w:val="24"/>
                <w:lang w:val="en-US" w:eastAsia="zh-CN" w:bidi="ar"/>
              </w:rPr>
            </w:pPr>
            <w:r>
              <w:rPr>
                <w:rFonts w:hint="eastAsia" w:cs="Times New Roman"/>
                <w:snapToGrid/>
                <w:color w:val="auto"/>
                <w:kern w:val="2"/>
                <w:sz w:val="24"/>
                <w:szCs w:val="24"/>
                <w:lang w:val="en-US" w:eastAsia="zh-CN" w:bidi="ar"/>
              </w:rPr>
              <w:t>本项目生产路基材料属于固废综合利用，项目产品与《</w:t>
            </w:r>
            <w:r>
              <w:rPr>
                <w:rFonts w:hint="eastAsia" w:ascii="Times New Roman" w:hAnsi="Times New Roman" w:eastAsia="宋体" w:cs="Times New Roman"/>
                <w:snapToGrid/>
                <w:color w:val="auto"/>
                <w:kern w:val="2"/>
                <w:sz w:val="24"/>
                <w:szCs w:val="24"/>
                <w:lang w:val="en-US" w:eastAsia="zh-CN" w:bidi="ar"/>
              </w:rPr>
              <w:t>固体废物鉴别标准 通则</w:t>
            </w:r>
            <w:r>
              <w:rPr>
                <w:rFonts w:hint="eastAsia" w:cs="Times New Roman"/>
                <w:snapToGrid/>
                <w:color w:val="auto"/>
                <w:kern w:val="2"/>
                <w:sz w:val="24"/>
                <w:szCs w:val="24"/>
                <w:lang w:val="en-US" w:eastAsia="zh-CN" w:bidi="ar"/>
              </w:rPr>
              <w:t>》（GB 34330—2025）中6.1相关要求的符合情况见下表。</w:t>
            </w:r>
          </w:p>
          <w:p w14:paraId="564E087B">
            <w:pPr>
              <w:kinsoku/>
              <w:overflowPunct w:val="0"/>
              <w:autoSpaceDE/>
              <w:autoSpaceDN/>
              <w:adjustRightInd/>
              <w:snapToGrid/>
              <w:jc w:val="center"/>
              <w:textAlignment w:val="auto"/>
              <w:rPr>
                <w:rFonts w:hint="default" w:ascii="Times New Roman" w:hAnsi="Times New Roman" w:eastAsia="宋体" w:cs="Times New Roman"/>
                <w:b/>
                <w:snapToGrid/>
                <w:color w:val="auto"/>
                <w:kern w:val="2"/>
                <w:sz w:val="24"/>
                <w:szCs w:val="24"/>
                <w:lang w:val="en-US"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5</w:t>
            </w:r>
            <w:r>
              <w:rPr>
                <w:rFonts w:hint="eastAsia" w:ascii="Times New Roman" w:hAnsi="Times New Roman" w:eastAsia="宋体" w:cs="Times New Roman"/>
                <w:b/>
                <w:snapToGrid/>
                <w:color w:val="auto"/>
                <w:kern w:val="2"/>
                <w:sz w:val="24"/>
                <w:szCs w:val="24"/>
                <w:lang w:eastAsia="zh-CN" w:bidi="ar"/>
              </w:rPr>
              <w:t xml:space="preserve"> 产品</w:t>
            </w:r>
            <w:r>
              <w:rPr>
                <w:rFonts w:hint="eastAsia" w:ascii="Times New Roman" w:hAnsi="Times New Roman" w:eastAsia="宋体" w:cs="Times New Roman"/>
                <w:b/>
                <w:snapToGrid/>
                <w:color w:val="auto"/>
                <w:kern w:val="2"/>
                <w:sz w:val="24"/>
                <w:szCs w:val="24"/>
                <w:lang w:val="en-US" w:eastAsia="zh-CN" w:bidi="ar"/>
              </w:rPr>
              <w:t>性质鉴别情况一览表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gridCol w:w="2343"/>
              <w:gridCol w:w="875"/>
            </w:tblGrid>
            <w:tr w14:paraId="5F1F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78E979E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bCs/>
                      <w:snapToGrid/>
                      <w:color w:val="auto"/>
                      <w:kern w:val="2"/>
                      <w:sz w:val="21"/>
                      <w:szCs w:val="21"/>
                      <w:lang w:val="en-US" w:eastAsia="zh-CN" w:bidi="ar"/>
                    </w:rPr>
                  </w:pPr>
                  <w:r>
                    <w:rPr>
                      <w:rFonts w:hint="eastAsia" w:ascii="Times New Roman" w:hAnsi="Times New Roman" w:eastAsia="宋体" w:cs="Times New Roman"/>
                      <w:b/>
                      <w:bCs/>
                      <w:snapToGrid/>
                      <w:color w:val="auto"/>
                      <w:kern w:val="2"/>
                      <w:sz w:val="21"/>
                      <w:szCs w:val="21"/>
                      <w:lang w:eastAsia="zh-CN" w:bidi="ar"/>
                    </w:rPr>
                    <w:t>《固体废物鉴别标准 通则》（GB 34330—2025）</w:t>
                  </w:r>
                  <w:r>
                    <w:rPr>
                      <w:rFonts w:hint="eastAsia" w:cs="Times New Roman"/>
                      <w:b/>
                      <w:bCs/>
                      <w:snapToGrid/>
                      <w:color w:val="auto"/>
                      <w:kern w:val="2"/>
                      <w:sz w:val="21"/>
                      <w:szCs w:val="21"/>
                      <w:lang w:val="en-US" w:eastAsia="zh-CN" w:bidi="ar"/>
                    </w:rPr>
                    <w:t>6.1</w:t>
                  </w:r>
                </w:p>
              </w:tc>
              <w:tc>
                <w:tcPr>
                  <w:tcW w:w="2343" w:type="dxa"/>
                  <w:vAlign w:val="center"/>
                </w:tcPr>
                <w:p w14:paraId="5F7BF94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项目情况</w:t>
                  </w:r>
                </w:p>
              </w:tc>
              <w:tc>
                <w:tcPr>
                  <w:tcW w:w="875" w:type="dxa"/>
                  <w:vAlign w:val="center"/>
                </w:tcPr>
                <w:p w14:paraId="2E090E4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符合性</w:t>
                  </w:r>
                </w:p>
              </w:tc>
            </w:tr>
            <w:tr w14:paraId="1018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25B0ED78">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6.1  市场上存在使用正常原料生产的同类物质，并同时满足以下条件时，不属于固体废物，否则均属于固体废物：</w:t>
                  </w:r>
                </w:p>
                <w:p w14:paraId="2B79B74D">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a）物质组成（有效成分含量和杂质限量）及性能指标符合以下任一国家或行业通行的标准，并按标准规定的用途使用：</w:t>
                  </w:r>
                </w:p>
                <w:p w14:paraId="0B89082C">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1）针对固体废物利用工艺制定的产品质量标准；</w:t>
                  </w:r>
                </w:p>
                <w:p w14:paraId="551110A9">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2）市场上使用正常原料生产的同类物质的质量标准。</w:t>
                  </w:r>
                </w:p>
              </w:tc>
              <w:tc>
                <w:tcPr>
                  <w:tcW w:w="2343" w:type="dxa"/>
                  <w:vAlign w:val="center"/>
                </w:tcPr>
                <w:p w14:paraId="79C2B27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cs="Times New Roman"/>
                      <w:snapToGrid/>
                      <w:color w:val="auto"/>
                      <w:kern w:val="2"/>
                      <w:sz w:val="21"/>
                      <w:szCs w:val="21"/>
                      <w:lang w:val="en-US" w:eastAsia="zh-CN" w:bidi="ar"/>
                    </w:rPr>
                    <w:t>本项目路基材料满足《路用改性磷石膏》（JT/T 1551-2025）中4.2路用改性磷石膏C类标准中7d抗压强度，《磷石膏的处理处置规范》（GB/T 32124-2024）中6.6筑路材料 6.6.4产品要求，并按</w:t>
                  </w:r>
                  <w:r>
                    <w:rPr>
                      <w:rFonts w:hint="eastAsia" w:ascii="Times New Roman" w:hAnsi="Times New Roman" w:eastAsia="宋体" w:cs="Times New Roman"/>
                      <w:snapToGrid/>
                      <w:color w:val="auto"/>
                      <w:kern w:val="2"/>
                      <w:sz w:val="21"/>
                      <w:szCs w:val="21"/>
                      <w:lang w:eastAsia="zh-CN" w:bidi="ar"/>
                    </w:rPr>
                    <w:t>标准规定</w:t>
                  </w:r>
                  <w:r>
                    <w:rPr>
                      <w:rFonts w:hint="eastAsia" w:cs="Times New Roman"/>
                      <w:snapToGrid/>
                      <w:color w:val="auto"/>
                      <w:kern w:val="2"/>
                      <w:sz w:val="21"/>
                      <w:szCs w:val="21"/>
                      <w:lang w:val="en-US" w:eastAsia="zh-CN" w:bidi="ar"/>
                    </w:rPr>
                    <w:t>用于筑路利用。</w:t>
                  </w:r>
                </w:p>
              </w:tc>
              <w:tc>
                <w:tcPr>
                  <w:tcW w:w="875" w:type="dxa"/>
                  <w:vAlign w:val="center"/>
                </w:tcPr>
                <w:p w14:paraId="176A0D7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2872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E89910F">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b）除正常物质组成之外，其他对人体健康或生态环境有害的物质，符合相关国家污染控制标准所规定的含量限值［含量限值包含6.1a）规定的所有使用情形］，或技术规范所规定的技术要求。</w:t>
                  </w:r>
                </w:p>
                <w:p w14:paraId="5D1C2D13">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当没有国家污染控制标准或技术规范时，与被替代物质相比，满足以下任意条件：</w:t>
                  </w:r>
                </w:p>
                <w:p w14:paraId="2F407C82">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1）产物中环境有害成分含量［6.1a）标准规定除外］不得高于被替代物质；或所含有害成分在被替代物质任何使用过程中均不足以对人体健康或生态环境造成不利的影响；</w:t>
                  </w:r>
                </w:p>
                <w:p w14:paraId="42F9D19C">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2）如该产物替代工业原料使用时，生产的产品所含有害成分含量符合6.1a）和6.1b）1）规定的要求，且生产过程排放到环境中的污染物应不高于污染控制标准所规定的排放要求。当特征污染物缺乏相应的排放控制限值时，污染物排放应不高于使用被替代原料的情形，或不足以对人体健康或生态环境造成不利的影响；</w:t>
                  </w:r>
                </w:p>
                <w:p w14:paraId="04959B24">
                  <w:pPr>
                    <w:pStyle w:val="30"/>
                    <w:keepNext w:val="0"/>
                    <w:keepLines w:val="0"/>
                    <w:pageBreakBefore w:val="0"/>
                    <w:widowControl/>
                    <w:kinsoku/>
                    <w:wordWrap/>
                    <w:overflowPunct w:val="0"/>
                    <w:topLinePunct w:val="0"/>
                    <w:autoSpaceDE/>
                    <w:autoSpaceDN/>
                    <w:bidi w:val="0"/>
                    <w:adjustRightInd/>
                    <w:snapToGrid/>
                    <w:spacing w:line="240" w:lineRule="auto"/>
                    <w:jc w:val="left"/>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3）如该产物替代燃料使用时，排放到环境中的污染物应不高于该燃烧设施污染控制标准所规定的污染物排放要求。当该特征污染物缺乏相应的排放限值时，污染物排放应不高于使用被替代燃料的情形，或不足以对人体健康或生态环境造成不利的影响。</w:t>
                  </w:r>
                </w:p>
              </w:tc>
              <w:tc>
                <w:tcPr>
                  <w:tcW w:w="2343" w:type="dxa"/>
                  <w:vAlign w:val="center"/>
                </w:tcPr>
                <w:p w14:paraId="79FD37C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cs="Times New Roman"/>
                      <w:snapToGrid/>
                      <w:color w:val="auto"/>
                      <w:kern w:val="2"/>
                      <w:sz w:val="21"/>
                      <w:szCs w:val="21"/>
                      <w:lang w:val="en-US" w:eastAsia="zh-CN" w:bidi="ar"/>
                    </w:rPr>
                    <w:t>本项目路基材料内污染物含量满足《磷石膏利用和无害化贮存污染控制技术规范》（HJ 1415-2025）、《磷石膏的处理处置规范》（GB/T 32124-2024）、《路用改性磷石膏》（JT/T 1551-2025）中相关要求。</w:t>
                  </w:r>
                </w:p>
              </w:tc>
              <w:tc>
                <w:tcPr>
                  <w:tcW w:w="875" w:type="dxa"/>
                  <w:vAlign w:val="center"/>
                </w:tcPr>
                <w:p w14:paraId="727D6F4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bl>
          <w:p w14:paraId="0F5176A9">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snapToGrid/>
                <w:color w:val="auto"/>
                <w:kern w:val="2"/>
                <w:sz w:val="24"/>
                <w:szCs w:val="24"/>
                <w:lang w:val="en-US" w:eastAsia="zh-CN" w:bidi="ar"/>
              </w:rPr>
            </w:pPr>
            <w:r>
              <w:rPr>
                <w:rFonts w:hint="eastAsia" w:ascii="Times New Roman" w:hAnsi="Times New Roman" w:eastAsia="宋体" w:cs="Times New Roman"/>
                <w:snapToGrid/>
                <w:color w:val="auto"/>
                <w:kern w:val="2"/>
                <w:sz w:val="24"/>
                <w:szCs w:val="24"/>
                <w:lang w:val="en-US" w:eastAsia="zh-CN" w:bidi="ar"/>
              </w:rPr>
              <w:t>综上，本项目生产的路基材料</w:t>
            </w:r>
            <w:r>
              <w:rPr>
                <w:rFonts w:hint="eastAsia" w:cs="Times New Roman"/>
                <w:snapToGrid/>
                <w:color w:val="auto"/>
                <w:kern w:val="2"/>
                <w:sz w:val="24"/>
                <w:szCs w:val="24"/>
                <w:lang w:val="en-US" w:eastAsia="zh-CN" w:bidi="ar"/>
              </w:rPr>
              <w:t>同时满足《</w:t>
            </w:r>
            <w:r>
              <w:rPr>
                <w:rFonts w:hint="eastAsia" w:ascii="Times New Roman" w:hAnsi="Times New Roman" w:eastAsia="宋体" w:cs="Times New Roman"/>
                <w:snapToGrid/>
                <w:color w:val="auto"/>
                <w:kern w:val="2"/>
                <w:sz w:val="24"/>
                <w:szCs w:val="24"/>
                <w:lang w:val="en-US" w:eastAsia="zh-CN" w:bidi="ar"/>
              </w:rPr>
              <w:t>固体废物鉴别标准 通则</w:t>
            </w:r>
            <w:r>
              <w:rPr>
                <w:rFonts w:hint="eastAsia" w:cs="Times New Roman"/>
                <w:snapToGrid/>
                <w:color w:val="auto"/>
                <w:kern w:val="2"/>
                <w:sz w:val="24"/>
                <w:szCs w:val="24"/>
                <w:lang w:val="en-US" w:eastAsia="zh-CN" w:bidi="ar"/>
              </w:rPr>
              <w:t>》（GB 34330—2025）中6.1的（a和（b，</w:t>
            </w:r>
            <w:r>
              <w:rPr>
                <w:rFonts w:hint="eastAsia" w:ascii="Times New Roman" w:hAnsi="Times New Roman" w:eastAsia="宋体" w:cs="Times New Roman"/>
                <w:snapToGrid/>
                <w:color w:val="auto"/>
                <w:kern w:val="2"/>
                <w:sz w:val="24"/>
                <w:szCs w:val="24"/>
                <w:lang w:val="en-US" w:eastAsia="zh-CN" w:bidi="ar"/>
              </w:rPr>
              <w:t>可以认定为产品。</w:t>
            </w:r>
          </w:p>
          <w:p w14:paraId="47C3C952">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cs="Times New Roman"/>
                <w:b/>
                <w:bCs/>
                <w:color w:val="auto"/>
                <w:sz w:val="24"/>
                <w:szCs w:val="24"/>
                <w:lang w:val="en-US" w:eastAsia="zh-CN"/>
              </w:rPr>
              <w:t>4</w:t>
            </w:r>
            <w:r>
              <w:rPr>
                <w:rFonts w:hint="eastAsia" w:ascii="Times New Roman" w:hAnsi="Times New Roman" w:eastAsia="宋体" w:cs="Times New Roman"/>
                <w:b/>
                <w:bCs/>
                <w:color w:val="auto"/>
                <w:sz w:val="24"/>
                <w:szCs w:val="24"/>
                <w:lang w:eastAsia="zh-CN"/>
              </w:rPr>
              <w:t>、产品的检验检测要求</w:t>
            </w:r>
          </w:p>
          <w:p w14:paraId="502BF06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根据项目产品质量标准，为保证产品能满足相应的质量标准要求，且方便后续管理，本次环评提出要求对每批次产品进行检测，检测合格方可作为产品外售。考虑到目前建设单位尚无检测能力，建设单位</w:t>
            </w:r>
            <w:r>
              <w:rPr>
                <w:rFonts w:hint="eastAsia" w:ascii="Times New Roman" w:hAnsi="Times New Roman" w:eastAsia="宋体" w:cs="Times New Roman"/>
                <w:snapToGrid/>
                <w:color w:val="auto"/>
                <w:kern w:val="2"/>
                <w:sz w:val="24"/>
                <w:szCs w:val="24"/>
                <w:lang w:eastAsia="zh-CN" w:bidi="ar"/>
              </w:rPr>
              <w:t>应委托相关有资质单位对产品进行检测。</w:t>
            </w:r>
          </w:p>
          <w:p w14:paraId="5A8F67F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（1）检测频次</w:t>
            </w:r>
          </w:p>
          <w:p w14:paraId="67479D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建设单位后续生产环节中检测需按照《磷石膏》（GB/T 23456-2018）中6.2.1</w:t>
            </w:r>
            <w:r>
              <w:rPr>
                <w:rFonts w:hint="eastAsia" w:ascii="Times New Roman" w:hAnsi="Times New Roman" w:eastAsia="宋体" w:cs="Times New Roman"/>
                <w:snapToGrid/>
                <w:color w:val="auto"/>
                <w:kern w:val="2"/>
                <w:sz w:val="24"/>
                <w:szCs w:val="24"/>
                <w:lang w:val="en-US" w:eastAsia="zh-CN" w:bidi="ar"/>
              </w:rPr>
              <w:t>批量及《路用改性磷石膏》（JT/T 1551-2025）6.2.1组批</w:t>
            </w:r>
            <w:r>
              <w:rPr>
                <w:rFonts w:hint="eastAsia" w:ascii="Times New Roman" w:hAnsi="Times New Roman" w:eastAsia="宋体" w:cs="Times New Roman"/>
                <w:snapToGrid/>
                <w:color w:val="auto"/>
                <w:kern w:val="2"/>
                <w:sz w:val="24"/>
                <w:szCs w:val="24"/>
                <w:lang w:eastAsia="zh-CN" w:bidi="ar"/>
              </w:rPr>
              <w:t>的要求，以5000t产品为一批，不足5000t也按一批计，进行采样检测。</w:t>
            </w:r>
          </w:p>
          <w:p w14:paraId="53318E2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（2）分析方法</w:t>
            </w:r>
          </w:p>
          <w:p w14:paraId="6CA3ED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color w:val="auto"/>
                <w:sz w:val="24"/>
                <w:szCs w:val="24"/>
                <w:lang w:eastAsia="zh-CN"/>
              </w:rPr>
              <w:t>路基材料</w:t>
            </w:r>
            <w:r>
              <w:rPr>
                <w:rFonts w:hint="eastAsia" w:ascii="Times New Roman" w:hAnsi="Times New Roman" w:eastAsia="宋体" w:cs="Times New Roman"/>
                <w:snapToGrid/>
                <w:color w:val="auto"/>
                <w:kern w:val="2"/>
                <w:sz w:val="24"/>
                <w:szCs w:val="24"/>
                <w:lang w:eastAsia="zh-CN" w:bidi="ar"/>
              </w:rPr>
              <w:t>产品各项指标的分析方法参照GB/T 23456、HJ 557要求执行。</w:t>
            </w:r>
          </w:p>
          <w:p w14:paraId="619BD80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snapToGrid/>
                <w:color w:val="auto"/>
                <w:kern w:val="2"/>
                <w:sz w:val="24"/>
                <w:szCs w:val="24"/>
                <w:lang w:eastAsia="zh-CN" w:bidi="ar"/>
              </w:rPr>
            </w:pP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、产品利用过程污染控制要求</w:t>
            </w:r>
          </w:p>
          <w:p w14:paraId="4CFE2206">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snapToGrid/>
                <w:color w:val="auto"/>
                <w:kern w:val="2"/>
                <w:sz w:val="24"/>
                <w:szCs w:val="24"/>
                <w:lang w:val="en-US" w:eastAsia="zh-CN" w:bidi="ar"/>
              </w:rPr>
            </w:pPr>
            <w:r>
              <w:rPr>
                <w:rFonts w:hint="eastAsia" w:cs="Times New Roman"/>
                <w:snapToGrid/>
                <w:color w:val="auto"/>
                <w:kern w:val="2"/>
                <w:sz w:val="24"/>
                <w:szCs w:val="24"/>
                <w:lang w:val="en-US" w:eastAsia="zh-CN" w:bidi="ar"/>
              </w:rPr>
              <w:t>根据《昆明市磷石膏综合利用环境污染防治政策指引（试行）》，路基材料</w:t>
            </w:r>
            <w:r>
              <w:rPr>
                <w:rFonts w:hint="eastAsia" w:ascii="Times New Roman" w:hAnsi="Times New Roman" w:eastAsia="宋体" w:cs="Times New Roman"/>
                <w:snapToGrid/>
                <w:color w:val="auto"/>
                <w:kern w:val="2"/>
                <w:sz w:val="24"/>
                <w:szCs w:val="24"/>
                <w:lang w:eastAsia="zh-CN" w:bidi="ar"/>
              </w:rPr>
              <w:t>用于符合有关标准规定的筑路利用时，应避开饮用水水源和其他特殊水体保护区</w:t>
            </w:r>
            <w:r>
              <w:rPr>
                <w:rFonts w:hint="eastAsia" w:cs="Times New Roman"/>
                <w:snapToGrid/>
                <w:color w:val="auto"/>
                <w:kern w:val="2"/>
                <w:sz w:val="24"/>
                <w:szCs w:val="24"/>
                <w:lang w:eastAsia="zh-CN" w:bidi="ar"/>
              </w:rPr>
              <w:t>，</w:t>
            </w:r>
            <w:r>
              <w:rPr>
                <w:rFonts w:hint="eastAsia" w:ascii="Times New Roman" w:hAnsi="Times New Roman" w:eastAsia="宋体" w:cs="Times New Roman"/>
                <w:snapToGrid/>
                <w:color w:val="auto"/>
                <w:kern w:val="2"/>
                <w:sz w:val="24"/>
                <w:szCs w:val="24"/>
                <w:lang w:eastAsia="zh-CN" w:bidi="ar"/>
              </w:rPr>
              <w:t>还应避开活动断层，泉域保护范围以及岩溶强发育、存在较多落水洞和岩溶漏斗的区域，湿地，江河、湖泊、运河、渠道、最高水位线以下的滩地和岸坡，以及国家和地方规划中的水库等人工蓄水设施的淹没区和保护区等</w:t>
            </w:r>
            <w:r>
              <w:rPr>
                <w:rFonts w:hint="eastAsia" w:cs="Times New Roman"/>
                <w:snapToGrid/>
                <w:color w:val="auto"/>
                <w:kern w:val="2"/>
                <w:sz w:val="24"/>
                <w:szCs w:val="24"/>
                <w:lang w:eastAsia="zh-CN" w:bidi="ar"/>
              </w:rPr>
              <w:t>。路基材料外售时</w:t>
            </w:r>
            <w:r>
              <w:rPr>
                <w:rFonts w:hint="eastAsia" w:cs="Times New Roman"/>
                <w:snapToGrid/>
                <w:color w:val="auto"/>
                <w:kern w:val="2"/>
                <w:sz w:val="24"/>
                <w:szCs w:val="24"/>
                <w:lang w:val="en-US" w:eastAsia="zh-CN" w:bidi="ar"/>
              </w:rPr>
              <w:t>应</w:t>
            </w:r>
            <w:r>
              <w:rPr>
                <w:rFonts w:hint="eastAsia" w:cs="Times New Roman"/>
                <w:snapToGrid/>
                <w:color w:val="auto"/>
                <w:kern w:val="2"/>
                <w:sz w:val="24"/>
                <w:szCs w:val="24"/>
                <w:lang w:eastAsia="zh-CN" w:bidi="ar"/>
              </w:rPr>
              <w:t>与购买方明确说明</w:t>
            </w:r>
            <w:r>
              <w:rPr>
                <w:rFonts w:hint="eastAsia" w:cs="Times New Roman"/>
                <w:snapToGrid/>
                <w:color w:val="auto"/>
                <w:kern w:val="2"/>
                <w:sz w:val="24"/>
                <w:szCs w:val="24"/>
                <w:lang w:val="en-US" w:eastAsia="zh-CN" w:bidi="ar"/>
              </w:rPr>
              <w:t>以上要求。</w:t>
            </w:r>
          </w:p>
          <w:p w14:paraId="6BF935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根据《磷石膏利用和无害化贮存污染控制技术规范》（HJ 1415-2025）要求，项目所生产路基材料在利用过程中需满足筑路利用过程污染控制技术要求，具体污染控制措施及本项目与其符合性对照分析如下：</w:t>
            </w:r>
          </w:p>
          <w:p w14:paraId="5D7F810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筑路利用</w:t>
            </w:r>
            <w:r>
              <w:rPr>
                <w:rFonts w:hint="eastAsia" w:cs="Times New Roman"/>
                <w:snapToGrid/>
                <w:color w:val="auto"/>
                <w:kern w:val="2"/>
                <w:sz w:val="24"/>
                <w:szCs w:val="24"/>
                <w:lang w:eastAsia="zh-CN" w:bidi="ar"/>
              </w:rPr>
              <w:t>：</w:t>
            </w:r>
          </w:p>
          <w:p w14:paraId="3802D77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根据《磷石膏利用和无害化贮存污染控制技术规范》（HJ 1415-2025）要求，对照情况如下：</w:t>
            </w:r>
          </w:p>
          <w:p w14:paraId="6E357107">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cs="Times New Roman"/>
                <w:b/>
                <w:snapToGrid/>
                <w:color w:val="auto"/>
                <w:kern w:val="2"/>
                <w:sz w:val="24"/>
                <w:szCs w:val="24"/>
                <w:lang w:val="en-US" w:eastAsia="zh-CN" w:bidi="ar"/>
              </w:rPr>
              <w:t>6</w:t>
            </w:r>
            <w:r>
              <w:rPr>
                <w:rFonts w:hint="eastAsia" w:ascii="Times New Roman" w:hAnsi="Times New Roman" w:eastAsia="宋体" w:cs="Times New Roman"/>
                <w:b/>
                <w:snapToGrid/>
                <w:color w:val="auto"/>
                <w:kern w:val="2"/>
                <w:sz w:val="24"/>
                <w:szCs w:val="24"/>
                <w:lang w:eastAsia="zh-CN" w:bidi="ar"/>
              </w:rPr>
              <w:t xml:space="preserve"> 产品用于筑路利用时污染控制要求对照一览表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72"/>
              <w:gridCol w:w="2343"/>
              <w:gridCol w:w="875"/>
            </w:tblGrid>
            <w:tr w14:paraId="290CF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231D3D2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要求</w:t>
                  </w:r>
                </w:p>
              </w:tc>
              <w:tc>
                <w:tcPr>
                  <w:tcW w:w="2343" w:type="dxa"/>
                  <w:vAlign w:val="center"/>
                </w:tcPr>
                <w:p w14:paraId="665C434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项目情况</w:t>
                  </w:r>
                </w:p>
              </w:tc>
              <w:tc>
                <w:tcPr>
                  <w:tcW w:w="875" w:type="dxa"/>
                  <w:vAlign w:val="center"/>
                </w:tcPr>
                <w:p w14:paraId="4B62E38C">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符合性</w:t>
                  </w:r>
                </w:p>
              </w:tc>
            </w:tr>
            <w:tr w14:paraId="7DD3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741A99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5.1.1 磷石膏经预处理后可用于道路基层，经养护后的筑路物料按照 HJ 557 制备的浸出液中氟化物、磷酸盐（以 P 计）、氨氮、化学需氧量、总铅、总镉、总砷、总汞和总铬浓度应满足GB 18599中界定的第Ⅰ类一般工业固体废物的要求。</w:t>
                  </w:r>
                </w:p>
              </w:tc>
              <w:tc>
                <w:tcPr>
                  <w:tcW w:w="2343" w:type="dxa"/>
                  <w:vAlign w:val="center"/>
                </w:tcPr>
                <w:p w14:paraId="0B9592F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项目生产的所有产品出厂前均进行相应的质量检测，确保出厂产品可满足GB18599中界定的第Ⅰ类一般工业固体废物的要求。</w:t>
                  </w:r>
                </w:p>
              </w:tc>
              <w:tc>
                <w:tcPr>
                  <w:tcW w:w="875" w:type="dxa"/>
                  <w:vAlign w:val="center"/>
                </w:tcPr>
                <w:p w14:paraId="2F98580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3494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02A6B31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5.1.2 磷石膏筑路物料利用过程中的转运和临时存放应采取相应的防渗漏、防雨淋、防扬尘措施。</w:t>
                  </w:r>
                </w:p>
              </w:tc>
              <w:tc>
                <w:tcPr>
                  <w:tcW w:w="2343" w:type="dxa"/>
                  <w:vAlign w:val="center"/>
                </w:tcPr>
                <w:p w14:paraId="6FE3B1B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snapToGrid/>
                      <w:color w:val="auto"/>
                      <w:kern w:val="2"/>
                      <w:sz w:val="21"/>
                      <w:szCs w:val="21"/>
                      <w:lang w:eastAsia="zh-CN" w:bidi="ar"/>
                    </w:rPr>
                    <w:t>使用期间需采取防渗漏、防雨淋、防扬尘措施。</w:t>
                  </w:r>
                </w:p>
              </w:tc>
              <w:tc>
                <w:tcPr>
                  <w:tcW w:w="875" w:type="dxa"/>
                  <w:vAlign w:val="center"/>
                </w:tcPr>
                <w:p w14:paraId="6D23B98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332B3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17C29BB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5.1.3 磷石膏筑路利用的道路工程设计、施工应满足相关的国家和地方技术要求。</w:t>
                  </w:r>
                </w:p>
              </w:tc>
              <w:tc>
                <w:tcPr>
                  <w:tcW w:w="2343" w:type="dxa"/>
                  <w:vAlign w:val="center"/>
                </w:tcPr>
                <w:p w14:paraId="76B8426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snapToGrid/>
                      <w:color w:val="auto"/>
                      <w:kern w:val="2"/>
                      <w:sz w:val="21"/>
                      <w:szCs w:val="21"/>
                      <w:lang w:eastAsia="zh-CN" w:bidi="ar"/>
                    </w:rPr>
                    <w:t>设计、施工需满足</w:t>
                  </w:r>
                  <w:r>
                    <w:rPr>
                      <w:rFonts w:ascii="Times New Roman" w:hAnsi="Times New Roman" w:eastAsia="宋体" w:cs="Times New Roman"/>
                      <w:snapToGrid/>
                      <w:color w:val="auto"/>
                      <w:kern w:val="2"/>
                      <w:sz w:val="21"/>
                      <w:szCs w:val="21"/>
                      <w:lang w:eastAsia="zh-CN" w:bidi="ar"/>
                    </w:rPr>
                    <w:t>相关的国家和地方技术要求</w:t>
                  </w:r>
                  <w:r>
                    <w:rPr>
                      <w:rFonts w:hint="eastAsia" w:ascii="Times New Roman" w:hAnsi="Times New Roman" w:eastAsia="宋体" w:cs="Times New Roman"/>
                      <w:snapToGrid/>
                      <w:color w:val="auto"/>
                      <w:kern w:val="2"/>
                      <w:sz w:val="21"/>
                      <w:szCs w:val="21"/>
                      <w:lang w:eastAsia="zh-CN" w:bidi="ar"/>
                    </w:rPr>
                    <w:t>。</w:t>
                  </w:r>
                </w:p>
              </w:tc>
              <w:tc>
                <w:tcPr>
                  <w:tcW w:w="875" w:type="dxa"/>
                  <w:vAlign w:val="center"/>
                </w:tcPr>
                <w:p w14:paraId="15506B1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符合</w:t>
                  </w:r>
                </w:p>
              </w:tc>
            </w:tr>
            <w:tr w14:paraId="62AD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72" w:type="dxa"/>
                  <w:vAlign w:val="center"/>
                </w:tcPr>
                <w:p w14:paraId="043E448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7.1.1 筑路、回填、充填和土地利用产物的监测应满足以下要求：</w:t>
                  </w:r>
                </w:p>
                <w:p w14:paraId="703D6E4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a）磷石膏回填和土地利用产物中污染物的监测频次应不低于每周 3 次；连续 2 周监测结果均不超出 5.2.3 和 5.4 条规定限值时，在磷石膏来源及投加量稳定的前提下，频次可减为每月 1 次；连续 3 个月监测结果均不超出规定限值，频次可减为每年 2 次。若在此期间监测结果超出规定限值，或磷石膏来源发生变化，或利用活动中断 3 个月以上，则监测频次重新调整为每周 3 次，依次重复。每次采样数量应不少于 10 份，每份样品不小于 0.5 kg，混合均匀后进行分析测试。</w:t>
                  </w:r>
                </w:p>
                <w:p w14:paraId="7A2A818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b）应对磷石膏筑路和充填产物进行留样监测，监测结果应满足 5.1.1 和 5.3.2 规定限值，监测频次和采样数量应符合 7.1.1 中 a）款规定。</w:t>
                  </w:r>
                </w:p>
                <w:p w14:paraId="0F02A69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7.1.2 利用过程大气和废水污染物的监测应执行相关的国家或地方标准的规定。</w:t>
                  </w:r>
                </w:p>
              </w:tc>
              <w:tc>
                <w:tcPr>
                  <w:tcW w:w="2343" w:type="dxa"/>
                  <w:vAlign w:val="center"/>
                </w:tcPr>
                <w:p w14:paraId="1E238FF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路基材料外售时</w:t>
                  </w:r>
                  <w:r>
                    <w:rPr>
                      <w:rFonts w:ascii="Times New Roman" w:hAnsi="Times New Roman" w:eastAsia="宋体" w:cs="Times New Roman"/>
                      <w:color w:val="auto"/>
                      <w:sz w:val="21"/>
                      <w:szCs w:val="21"/>
                      <w:lang w:eastAsia="zh-CN"/>
                    </w:rPr>
                    <w:t>与购买方明确说明</w:t>
                  </w:r>
                  <w:r>
                    <w:rPr>
                      <w:rFonts w:hint="eastAsia" w:ascii="Times New Roman" w:hAnsi="Times New Roman" w:eastAsia="宋体" w:cs="Times New Roman"/>
                      <w:color w:val="auto"/>
                      <w:sz w:val="21"/>
                      <w:szCs w:val="21"/>
                      <w:lang w:eastAsia="zh-CN"/>
                    </w:rPr>
                    <w:t>筑路利用时</w:t>
                  </w:r>
                  <w:r>
                    <w:rPr>
                      <w:rFonts w:ascii="Times New Roman" w:hAnsi="Times New Roman" w:eastAsia="宋体" w:cs="Times New Roman"/>
                      <w:color w:val="auto"/>
                      <w:sz w:val="21"/>
                      <w:szCs w:val="21"/>
                      <w:lang w:eastAsia="zh-CN"/>
                    </w:rPr>
                    <w:t>需根据规范要求进行污染物监测</w:t>
                  </w:r>
                  <w:r>
                    <w:rPr>
                      <w:rFonts w:hint="eastAsia" w:ascii="Times New Roman" w:hAnsi="Times New Roman" w:eastAsia="宋体" w:cs="Times New Roman"/>
                      <w:color w:val="auto"/>
                      <w:sz w:val="21"/>
                      <w:szCs w:val="21"/>
                      <w:lang w:eastAsia="zh-CN"/>
                    </w:rPr>
                    <w:t>。</w:t>
                  </w:r>
                </w:p>
              </w:tc>
              <w:tc>
                <w:tcPr>
                  <w:tcW w:w="875" w:type="dxa"/>
                  <w:vAlign w:val="center"/>
                </w:tcPr>
                <w:p w14:paraId="6ECF84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snapToGrid/>
                      <w:color w:val="auto"/>
                      <w:kern w:val="2"/>
                      <w:lang w:eastAsia="zh-CN" w:bidi="ar"/>
                    </w:rPr>
                    <w:t>符合</w:t>
                  </w:r>
                </w:p>
              </w:tc>
            </w:tr>
          </w:tbl>
          <w:p w14:paraId="36E7D34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eastAsia="zh-CN"/>
              </w:rPr>
              <w:t>、不合格产品处置要求</w:t>
            </w:r>
          </w:p>
          <w:p w14:paraId="656C9B8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由于本项目工艺仅为物理混合，若原料供应商提供不合格原料，易造成本项目产品无法达到产品质量标准，如：路基材料按照 HJ 557 制备的浸出液中氟化物、磷酸盐（以 P 计）、氨氮、化学需氧量、总铅、总镉、总砷、总汞和总铬浓度不满足GB 18599中界定的第Ⅰ类一般工业固体废物的要求等。</w:t>
            </w:r>
          </w:p>
          <w:p w14:paraId="6B8CCB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出厂产品质检若不满足产品质量标准，本评价提出以下处置要求：</w:t>
            </w:r>
          </w:p>
          <w:p w14:paraId="51FE8F2A">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①立即停止流转，单独存放于废品仓库，防止混入合格品，挂不合格品标识，注明名称、批次、数量、问题。</w:t>
            </w:r>
          </w:p>
          <w:p w14:paraId="6A9C34C2">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②禁止出售该批次产品，不得回掺到新批次产品。</w:t>
            </w:r>
          </w:p>
          <w:p w14:paraId="40DD460F">
            <w:pPr>
              <w:pStyle w:val="30"/>
              <w:numPr>
                <w:ilvl w:val="0"/>
                <w:numId w:val="0"/>
              </w:numPr>
              <w:kinsoku/>
              <w:overflowPunct w:val="0"/>
              <w:autoSpaceDE/>
              <w:autoSpaceDN/>
              <w:adjustRightInd/>
              <w:snapToGrid/>
              <w:spacing w:line="360" w:lineRule="auto"/>
              <w:ind w:firstLine="480" w:firstLineChars="200"/>
              <w:jc w:val="both"/>
              <w:rPr>
                <w:rFonts w:hint="eastAsia" w:cs="Times New Roman"/>
                <w:color w:val="auto"/>
                <w:sz w:val="24"/>
                <w:szCs w:val="24"/>
                <w:lang w:val="en-US" w:eastAsia="zh-CN"/>
              </w:rPr>
            </w:pPr>
            <w:r>
              <w:rPr>
                <w:rFonts w:hint="eastAsia" w:ascii="Times New Roman" w:hAnsi="Times New Roman" w:eastAsia="宋体" w:cs="Times New Roman"/>
                <w:color w:val="auto"/>
                <w:sz w:val="24"/>
                <w:szCs w:val="24"/>
                <w:lang w:eastAsia="zh-CN"/>
              </w:rPr>
              <w:t>③</w:t>
            </w:r>
            <w:r>
              <w:rPr>
                <w:rFonts w:hint="eastAsia" w:cs="Times New Roman"/>
                <w:color w:val="auto"/>
                <w:sz w:val="24"/>
                <w:szCs w:val="24"/>
                <w:lang w:val="en-US" w:eastAsia="zh-CN"/>
              </w:rPr>
              <w:t>将该批次产品取样做浸出毒性+pH+强度检测，判定不合格原因。</w:t>
            </w:r>
          </w:p>
          <w:p w14:paraId="6624ECAD">
            <w:pPr>
              <w:pStyle w:val="30"/>
              <w:numPr>
                <w:ilvl w:val="0"/>
                <w:numId w:val="0"/>
              </w:num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④将该批次产品的各类原料分别取样送至第三方检测机构，排查不合格原料从源头杜绝</w:t>
            </w:r>
            <w:r>
              <w:rPr>
                <w:rFonts w:hint="eastAsia" w:cs="Times New Roman"/>
                <w:color w:val="auto"/>
                <w:sz w:val="24"/>
                <w:szCs w:val="24"/>
                <w:lang w:eastAsia="zh-CN"/>
              </w:rPr>
              <w:t>，</w:t>
            </w:r>
            <w:r>
              <w:rPr>
                <w:rFonts w:hint="eastAsia" w:cs="Times New Roman"/>
                <w:color w:val="auto"/>
                <w:sz w:val="24"/>
                <w:szCs w:val="24"/>
                <w:lang w:val="en-US" w:eastAsia="zh-CN"/>
              </w:rPr>
              <w:t>并</w:t>
            </w:r>
            <w:r>
              <w:rPr>
                <w:rFonts w:hint="eastAsia" w:ascii="Times New Roman" w:hAnsi="Times New Roman" w:eastAsia="宋体" w:cs="Times New Roman"/>
                <w:color w:val="auto"/>
                <w:sz w:val="24"/>
                <w:szCs w:val="24"/>
                <w:lang w:eastAsia="zh-CN"/>
              </w:rPr>
              <w:t>要求供货商及时提供合格原料或及时更换供货商。</w:t>
            </w:r>
          </w:p>
          <w:p w14:paraId="67B9FCB7">
            <w:pPr>
              <w:pStyle w:val="30"/>
              <w:numPr>
                <w:ilvl w:val="0"/>
                <w:numId w:val="0"/>
              </w:numPr>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w:t>
            </w:r>
            <w:r>
              <w:rPr>
                <w:rFonts w:hint="eastAsia" w:cs="Times New Roman"/>
                <w:color w:val="auto"/>
                <w:sz w:val="24"/>
                <w:szCs w:val="24"/>
                <w:lang w:val="en-US" w:eastAsia="zh-CN"/>
              </w:rPr>
              <w:t>若产品不合格原因为氟、磷、pH超标，则运回中化云龙重新进行改性和酸碱调节处理；若不合格原因为砂石级配错乱、强度不达标，则筛分分离改性磷石膏与砂石，重新精准计量配比+补加粉煤灰后</w:t>
            </w:r>
            <w:r>
              <w:rPr>
                <w:rFonts w:ascii="宋体" w:hAnsi="宋体" w:eastAsia="宋体" w:cs="宋体"/>
                <w:color w:val="auto"/>
                <w:sz w:val="24"/>
                <w:szCs w:val="24"/>
              </w:rPr>
              <w:t>二次拌和</w:t>
            </w:r>
            <w:r>
              <w:rPr>
                <w:rFonts w:hint="eastAsia" w:ascii="宋体" w:hAnsi="宋体" w:eastAsia="宋体" w:cs="宋体"/>
                <w:color w:val="auto"/>
                <w:sz w:val="24"/>
                <w:szCs w:val="24"/>
                <w:lang w:eastAsia="zh-CN"/>
              </w:rPr>
              <w:t>；</w:t>
            </w:r>
            <w:r>
              <w:rPr>
                <w:rFonts w:hint="eastAsia" w:cs="Times New Roman"/>
                <w:color w:val="auto"/>
                <w:sz w:val="24"/>
                <w:szCs w:val="24"/>
                <w:lang w:val="en-US" w:eastAsia="zh-CN"/>
              </w:rPr>
              <w:t>若不合格原因为重金属超标，则</w:t>
            </w:r>
            <w:r>
              <w:rPr>
                <w:rFonts w:ascii="宋体" w:hAnsi="宋体" w:eastAsia="宋体" w:cs="宋体"/>
                <w:color w:val="auto"/>
                <w:sz w:val="24"/>
                <w:szCs w:val="24"/>
              </w:rPr>
              <w:t>严禁随意露天乱堆、就地填埋、私自外运铺路</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应当转运正规磷石膏渣库贮存处置</w:t>
            </w:r>
            <w:r>
              <w:rPr>
                <w:rFonts w:hint="eastAsia" w:ascii="Times New Roman" w:hAnsi="Times New Roman" w:eastAsia="宋体" w:cs="Times New Roman"/>
                <w:color w:val="auto"/>
                <w:sz w:val="24"/>
                <w:szCs w:val="24"/>
                <w:lang w:eastAsia="zh-CN"/>
              </w:rPr>
              <w:t>。</w:t>
            </w:r>
          </w:p>
          <w:p w14:paraId="0D6EAB00">
            <w:pPr>
              <w:pStyle w:val="30"/>
              <w:numPr>
                <w:ilvl w:val="0"/>
                <w:numId w:val="0"/>
              </w:numPr>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⑥若不合格产品已经应用于筑路利用，但不满足本评价表2-6中提出的污染控制要求，则需将已使用的路基材料挖出后</w:t>
            </w:r>
            <w:r>
              <w:rPr>
                <w:rFonts w:hint="eastAsia" w:ascii="宋体" w:hAnsi="宋体" w:eastAsia="宋体" w:cs="宋体"/>
                <w:color w:val="auto"/>
                <w:sz w:val="24"/>
                <w:szCs w:val="24"/>
                <w:lang w:val="en-US" w:eastAsia="zh-CN"/>
              </w:rPr>
              <w:t>转运正规磷石膏渣库贮存处置</w:t>
            </w:r>
            <w:r>
              <w:rPr>
                <w:rFonts w:hint="eastAsia" w:cs="Times New Roman"/>
                <w:color w:val="auto"/>
                <w:sz w:val="24"/>
                <w:szCs w:val="24"/>
                <w:lang w:val="en-US" w:eastAsia="zh-CN"/>
              </w:rPr>
              <w:t>。</w:t>
            </w:r>
          </w:p>
          <w:p w14:paraId="3AC0BE76">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四、原材料</w:t>
            </w:r>
          </w:p>
          <w:p w14:paraId="74033FD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eastAsia="zh-CN"/>
              </w:rPr>
              <w:t>原料</w:t>
            </w:r>
            <w:r>
              <w:rPr>
                <w:rFonts w:hint="eastAsia" w:ascii="Times New Roman" w:hAnsi="Times New Roman" w:eastAsia="宋体" w:cs="Times New Roman"/>
                <w:b/>
                <w:bCs/>
                <w:color w:val="auto"/>
                <w:sz w:val="24"/>
                <w:szCs w:val="24"/>
                <w:lang w:eastAsia="zh-CN"/>
              </w:rPr>
              <w:t>及能源消耗</w:t>
            </w:r>
          </w:p>
          <w:p w14:paraId="569731E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项目使用的原材料主要有改性磷石膏</w:t>
            </w:r>
            <w:r>
              <w:rPr>
                <w:rFonts w:hint="eastAsia" w:ascii="Times New Roman" w:hAnsi="Times New Roman" w:eastAsia="宋体" w:cs="Times New Roman"/>
                <w:color w:val="auto"/>
                <w:sz w:val="24"/>
                <w:szCs w:val="24"/>
                <w:lang w:eastAsia="zh-CN"/>
              </w:rPr>
              <w:t>、砂石骨料、粉煤灰，均为已破碎的粉状、</w:t>
            </w:r>
            <w:r>
              <w:rPr>
                <w:rFonts w:hint="eastAsia" w:ascii="Times New Roman" w:hAnsi="Times New Roman" w:eastAsia="宋体" w:cs="Times New Roman"/>
                <w:color w:val="auto"/>
                <w:sz w:val="24"/>
                <w:szCs w:val="24"/>
                <w:lang w:val="en-US" w:eastAsia="zh-CN"/>
              </w:rPr>
              <w:t>粒状</w:t>
            </w:r>
            <w:r>
              <w:rPr>
                <w:rFonts w:hint="eastAsia" w:ascii="Times New Roman" w:hAnsi="Times New Roman" w:eastAsia="宋体" w:cs="Times New Roman"/>
                <w:color w:val="auto"/>
                <w:sz w:val="24"/>
                <w:szCs w:val="24"/>
                <w:lang w:eastAsia="zh-CN"/>
              </w:rPr>
              <w:t>成品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pacing w:val="-1"/>
                <w:sz w:val="24"/>
                <w:szCs w:val="24"/>
                <w:lang w:eastAsia="zh-CN"/>
              </w:rPr>
              <w:t>路基材料使用的改性磷石膏</w:t>
            </w:r>
            <w:r>
              <w:rPr>
                <w:rFonts w:hint="eastAsia" w:cs="Times New Roman"/>
                <w:color w:val="auto"/>
                <w:spacing w:val="-1"/>
                <w:sz w:val="24"/>
                <w:szCs w:val="24"/>
                <w:lang w:val="en-US" w:eastAsia="zh-CN"/>
              </w:rPr>
              <w:t>由</w:t>
            </w:r>
            <w:r>
              <w:rPr>
                <w:rFonts w:hint="eastAsia" w:ascii="Times New Roman" w:hAnsi="Times New Roman" w:eastAsia="宋体" w:cs="Times New Roman"/>
                <w:color w:val="auto"/>
                <w:spacing w:val="-1"/>
                <w:sz w:val="24"/>
                <w:szCs w:val="24"/>
                <w:lang w:val="en-US" w:eastAsia="zh-CN"/>
              </w:rPr>
              <w:t>中化云龙有限公司生产</w:t>
            </w:r>
            <w:r>
              <w:rPr>
                <w:rFonts w:hint="eastAsia" w:cs="Times New Roman"/>
                <w:color w:val="auto"/>
                <w:spacing w:val="-1"/>
                <w:sz w:val="24"/>
                <w:szCs w:val="24"/>
                <w:lang w:val="en-US" w:eastAsia="zh-CN"/>
              </w:rPr>
              <w:t>，砂石骨料及粉煤灰外购来源暂未确定，待项目建设完成试运营期需选择合法外购渠道并提供第Ⅰ类一般工业固体废物的监测报告作为验收依据。各原料</w:t>
            </w:r>
            <w:r>
              <w:rPr>
                <w:rFonts w:hint="eastAsia" w:ascii="Times New Roman" w:hAnsi="Times New Roman" w:eastAsia="宋体" w:cs="Times New Roman"/>
                <w:color w:val="auto"/>
                <w:spacing w:val="-1"/>
                <w:sz w:val="24"/>
                <w:szCs w:val="24"/>
                <w:lang w:eastAsia="zh-CN"/>
              </w:rPr>
              <w:t>储存于1#原料堆场及2#原料堆场指定区域，禁止混合堆放。</w:t>
            </w:r>
            <w:r>
              <w:rPr>
                <w:rFonts w:ascii="Times New Roman" w:hAnsi="Times New Roman" w:eastAsia="宋体" w:cs="Times New Roman"/>
                <w:color w:val="auto"/>
                <w:sz w:val="24"/>
                <w:szCs w:val="24"/>
                <w:lang w:eastAsia="zh-CN"/>
              </w:rPr>
              <w:t>具体物料使用情况如下：</w:t>
            </w:r>
          </w:p>
          <w:p w14:paraId="47DBBB8B">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cs="Times New Roman"/>
                <w:b/>
                <w:snapToGrid/>
                <w:color w:val="auto"/>
                <w:kern w:val="2"/>
                <w:sz w:val="24"/>
                <w:szCs w:val="24"/>
                <w:lang w:val="en-US" w:eastAsia="zh-CN" w:bidi="ar"/>
              </w:rPr>
              <w:t>7</w:t>
            </w:r>
            <w:r>
              <w:rPr>
                <w:rFonts w:hint="eastAsia" w:ascii="Times New Roman" w:hAnsi="Times New Roman" w:eastAsia="宋体" w:cs="Times New Roman"/>
                <w:b/>
                <w:snapToGrid/>
                <w:color w:val="auto"/>
                <w:kern w:val="2"/>
                <w:sz w:val="24"/>
                <w:szCs w:val="24"/>
                <w:lang w:eastAsia="zh-CN" w:bidi="ar"/>
              </w:rPr>
              <w:t xml:space="preserve"> 项目原辅料及能源用量情况表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98"/>
              <w:gridCol w:w="1266"/>
              <w:gridCol w:w="1732"/>
              <w:gridCol w:w="3794"/>
            </w:tblGrid>
            <w:tr w14:paraId="4B41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563998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val="en-US" w:eastAsia="zh-CN"/>
                    </w:rPr>
                    <w:t>原辅料</w:t>
                  </w:r>
                </w:p>
              </w:tc>
              <w:tc>
                <w:tcPr>
                  <w:tcW w:w="1266" w:type="dxa"/>
                  <w:vAlign w:val="center"/>
                </w:tcPr>
                <w:p w14:paraId="1E599E8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用量</w:t>
                  </w:r>
                </w:p>
              </w:tc>
              <w:tc>
                <w:tcPr>
                  <w:tcW w:w="1732" w:type="dxa"/>
                  <w:vAlign w:val="center"/>
                </w:tcPr>
                <w:p w14:paraId="3D16493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来源</w:t>
                  </w:r>
                </w:p>
              </w:tc>
              <w:tc>
                <w:tcPr>
                  <w:tcW w:w="3794" w:type="dxa"/>
                  <w:vAlign w:val="center"/>
                </w:tcPr>
                <w:p w14:paraId="227CAB7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备注</w:t>
                  </w:r>
                </w:p>
              </w:tc>
            </w:tr>
            <w:tr w14:paraId="65D6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3" w:hRule="atLeast"/>
                <w:jc w:val="center"/>
              </w:trPr>
              <w:tc>
                <w:tcPr>
                  <w:tcW w:w="1598" w:type="dxa"/>
                  <w:vAlign w:val="center"/>
                </w:tcPr>
                <w:p w14:paraId="0692FAF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改性磷石膏</w:t>
                  </w:r>
                </w:p>
              </w:tc>
              <w:tc>
                <w:tcPr>
                  <w:tcW w:w="1266" w:type="dxa"/>
                  <w:vAlign w:val="center"/>
                </w:tcPr>
                <w:p w14:paraId="406004D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2万</w:t>
                  </w:r>
                  <w:r>
                    <w:rPr>
                      <w:rFonts w:ascii="Times New Roman" w:hAnsi="Times New Roman" w:eastAsia="宋体" w:cs="Times New Roman"/>
                      <w:color w:val="auto"/>
                    </w:rPr>
                    <w:t>t/a</w:t>
                  </w:r>
                </w:p>
              </w:tc>
              <w:tc>
                <w:tcPr>
                  <w:tcW w:w="1732" w:type="dxa"/>
                  <w:vAlign w:val="center"/>
                </w:tcPr>
                <w:p w14:paraId="327876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中化云龙有限公司</w:t>
                  </w:r>
                </w:p>
              </w:tc>
              <w:tc>
                <w:tcPr>
                  <w:tcW w:w="3794" w:type="dxa"/>
                  <w:vAlign w:val="center"/>
                </w:tcPr>
                <w:p w14:paraId="312E59C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由供货方将改性磷石膏烘干至粉状，含水率10.58%，暂</w:t>
                  </w:r>
                  <w:r>
                    <w:rPr>
                      <w:rFonts w:ascii="Times New Roman" w:hAnsi="Times New Roman" w:eastAsia="宋体" w:cs="Times New Roman"/>
                      <w:color w:val="auto"/>
                      <w:sz w:val="21"/>
                      <w:szCs w:val="21"/>
                      <w:lang w:eastAsia="zh-CN"/>
                    </w:rPr>
                    <w:t>存在</w:t>
                  </w:r>
                  <w:r>
                    <w:rPr>
                      <w:rFonts w:hint="eastAsia" w:ascii="Times New Roman" w:hAnsi="Times New Roman" w:eastAsia="宋体" w:cs="Times New Roman"/>
                      <w:color w:val="auto"/>
                      <w:sz w:val="21"/>
                      <w:szCs w:val="21"/>
                      <w:lang w:eastAsia="zh-CN"/>
                    </w:rPr>
                    <w:t>原</w:t>
                  </w:r>
                  <w:r>
                    <w:rPr>
                      <w:rFonts w:ascii="Times New Roman" w:hAnsi="Times New Roman" w:eastAsia="宋体" w:cs="Times New Roman"/>
                      <w:color w:val="auto"/>
                      <w:sz w:val="21"/>
                      <w:szCs w:val="21"/>
                      <w:lang w:eastAsia="zh-CN"/>
                    </w:rPr>
                    <w:t>料堆场，最大</w:t>
                  </w:r>
                  <w:r>
                    <w:rPr>
                      <w:rFonts w:hint="eastAsia" w:ascii="Times New Roman" w:hAnsi="Times New Roman" w:eastAsia="宋体" w:cs="Times New Roman"/>
                      <w:color w:val="auto"/>
                      <w:sz w:val="21"/>
                      <w:szCs w:val="21"/>
                      <w:lang w:eastAsia="zh-CN"/>
                    </w:rPr>
                    <w:t>暂</w:t>
                  </w:r>
                  <w:r>
                    <w:rPr>
                      <w:rFonts w:ascii="Times New Roman" w:hAnsi="Times New Roman" w:eastAsia="宋体" w:cs="Times New Roman"/>
                      <w:color w:val="auto"/>
                      <w:sz w:val="21"/>
                      <w:szCs w:val="21"/>
                      <w:lang w:eastAsia="zh-CN"/>
                    </w:rPr>
                    <w:t>存量为</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0t。</w:t>
                  </w:r>
                </w:p>
              </w:tc>
            </w:tr>
            <w:tr w14:paraId="71B65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0E1FD91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w:t>
                  </w:r>
                  <w:r>
                    <w:rPr>
                      <w:rFonts w:hint="eastAsia" w:ascii="Times New Roman" w:hAnsi="Times New Roman" w:eastAsia="宋体" w:cs="Times New Roman"/>
                      <w:color w:val="auto"/>
                      <w:sz w:val="21"/>
                      <w:szCs w:val="21"/>
                    </w:rPr>
                    <w:t>骨料</w:t>
                  </w:r>
                </w:p>
              </w:tc>
              <w:tc>
                <w:tcPr>
                  <w:tcW w:w="1266" w:type="dxa"/>
                  <w:vAlign w:val="center"/>
                </w:tcPr>
                <w:p w14:paraId="6870FDF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6万</w:t>
                  </w:r>
                  <w:r>
                    <w:rPr>
                      <w:rFonts w:ascii="Times New Roman" w:hAnsi="Times New Roman" w:eastAsia="宋体" w:cs="Times New Roman"/>
                      <w:color w:val="auto"/>
                    </w:rPr>
                    <w:t>t/a</w:t>
                  </w:r>
                </w:p>
              </w:tc>
              <w:tc>
                <w:tcPr>
                  <w:tcW w:w="1732" w:type="dxa"/>
                  <w:vAlign w:val="center"/>
                </w:tcPr>
                <w:p w14:paraId="5F00BD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w:t>
                  </w:r>
                </w:p>
              </w:tc>
              <w:tc>
                <w:tcPr>
                  <w:tcW w:w="3794" w:type="dxa"/>
                  <w:vAlign w:val="center"/>
                </w:tcPr>
                <w:p w14:paraId="3BD3E22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外购成品砂石骨料，储存在原料堆场，最大储存量为50t。</w:t>
                  </w:r>
                </w:p>
              </w:tc>
            </w:tr>
            <w:tr w14:paraId="77C0D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412942D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1266" w:type="dxa"/>
                  <w:vAlign w:val="center"/>
                </w:tcPr>
                <w:p w14:paraId="581343A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2万</w:t>
                  </w:r>
                  <w:r>
                    <w:rPr>
                      <w:rFonts w:ascii="Times New Roman" w:hAnsi="Times New Roman" w:eastAsia="宋体" w:cs="Times New Roman"/>
                      <w:color w:val="auto"/>
                    </w:rPr>
                    <w:t>t/a</w:t>
                  </w:r>
                </w:p>
              </w:tc>
              <w:tc>
                <w:tcPr>
                  <w:tcW w:w="1732" w:type="dxa"/>
                  <w:vAlign w:val="center"/>
                </w:tcPr>
                <w:p w14:paraId="30FE99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外购</w:t>
                  </w:r>
                </w:p>
              </w:tc>
              <w:tc>
                <w:tcPr>
                  <w:tcW w:w="3794" w:type="dxa"/>
                  <w:vAlign w:val="center"/>
                </w:tcPr>
                <w:p w14:paraId="416D1C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运至厂区内筒仓储存，最大储存量为30t</w:t>
                  </w:r>
                </w:p>
              </w:tc>
            </w:tr>
            <w:tr w14:paraId="5D8B2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342373E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次氯酸钠</w:t>
                  </w:r>
                </w:p>
              </w:tc>
              <w:tc>
                <w:tcPr>
                  <w:tcW w:w="1266" w:type="dxa"/>
                  <w:vAlign w:val="center"/>
                </w:tcPr>
                <w:p w14:paraId="6C33413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0.01t/a</w:t>
                  </w:r>
                </w:p>
              </w:tc>
              <w:tc>
                <w:tcPr>
                  <w:tcW w:w="1732" w:type="dxa"/>
                  <w:vAlign w:val="center"/>
                </w:tcPr>
                <w:p w14:paraId="5E0D7ED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外购</w:t>
                  </w:r>
                </w:p>
              </w:tc>
              <w:tc>
                <w:tcPr>
                  <w:tcW w:w="3794" w:type="dxa"/>
                  <w:vAlign w:val="center"/>
                </w:tcPr>
                <w:p w14:paraId="65649174">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8149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2380DF84">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PAC</w:t>
                  </w:r>
                </w:p>
              </w:tc>
              <w:tc>
                <w:tcPr>
                  <w:tcW w:w="1266" w:type="dxa"/>
                  <w:vAlign w:val="center"/>
                </w:tcPr>
                <w:p w14:paraId="301298E8">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1t/a</w:t>
                  </w:r>
                </w:p>
              </w:tc>
              <w:tc>
                <w:tcPr>
                  <w:tcW w:w="1732" w:type="dxa"/>
                  <w:vAlign w:val="center"/>
                </w:tcPr>
                <w:p w14:paraId="4132733A">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外购</w:t>
                  </w:r>
                </w:p>
              </w:tc>
              <w:tc>
                <w:tcPr>
                  <w:tcW w:w="3794" w:type="dxa"/>
                  <w:vAlign w:val="center"/>
                </w:tcPr>
                <w:p w14:paraId="31007E1A">
                  <w:pPr>
                    <w:pStyle w:val="30"/>
                    <w:kinsoku/>
                    <w:overflowPunct w:val="0"/>
                    <w:autoSpaceDE/>
                    <w:autoSpaceDN/>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14:paraId="550F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714F76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电</w:t>
                  </w:r>
                </w:p>
              </w:tc>
              <w:tc>
                <w:tcPr>
                  <w:tcW w:w="1266" w:type="dxa"/>
                  <w:vAlign w:val="center"/>
                </w:tcPr>
                <w:p w14:paraId="6EE6F06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r>
                    <w:rPr>
                      <w:rFonts w:ascii="Times New Roman" w:hAnsi="Times New Roman" w:eastAsia="宋体" w:cs="Times New Roman"/>
                      <w:color w:val="auto"/>
                      <w:sz w:val="21"/>
                      <w:szCs w:val="21"/>
                      <w:lang w:eastAsia="zh-CN"/>
                    </w:rPr>
                    <w:t>0万</w:t>
                  </w:r>
                  <w:r>
                    <w:rPr>
                      <w:rFonts w:hint="eastAsia" w:ascii="Times New Roman" w:hAnsi="Times New Roman" w:eastAsia="宋体" w:cs="Times New Roman"/>
                      <w:color w:val="auto"/>
                      <w:sz w:val="21"/>
                      <w:szCs w:val="21"/>
                      <w:lang w:eastAsia="zh-CN"/>
                    </w:rPr>
                    <w:t>kwh/a</w:t>
                  </w:r>
                </w:p>
              </w:tc>
              <w:tc>
                <w:tcPr>
                  <w:tcW w:w="1732" w:type="dxa"/>
                  <w:vAlign w:val="center"/>
                </w:tcPr>
                <w:p w14:paraId="701069E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电网公司</w:t>
                  </w:r>
                </w:p>
              </w:tc>
              <w:tc>
                <w:tcPr>
                  <w:tcW w:w="3794" w:type="dxa"/>
                  <w:vAlign w:val="center"/>
                </w:tcPr>
                <w:p w14:paraId="156B74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50BC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598" w:type="dxa"/>
                  <w:vAlign w:val="center"/>
                </w:tcPr>
                <w:p w14:paraId="349482B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w:t>
                  </w:r>
                </w:p>
              </w:tc>
              <w:tc>
                <w:tcPr>
                  <w:tcW w:w="1266" w:type="dxa"/>
                  <w:vAlign w:val="center"/>
                </w:tcPr>
                <w:p w14:paraId="0CD8BC4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cs="Times New Roman"/>
                      <w:color w:val="auto"/>
                      <w:sz w:val="21"/>
                      <w:szCs w:val="21"/>
                      <w:lang w:val="en-US" w:eastAsia="zh-CN"/>
                    </w:rPr>
                    <w:t>483.9</w:t>
                  </w:r>
                  <w:r>
                    <w:rPr>
                      <w:rFonts w:hint="eastAsia" w:ascii="Times New Roman" w:hAnsi="Times New Roman" w:eastAsia="宋体" w:cs="Times New Roman"/>
                      <w:color w:val="auto"/>
                      <w:sz w:val="21"/>
                      <w:szCs w:val="21"/>
                      <w:lang w:eastAsia="zh-CN"/>
                    </w:rPr>
                    <w:t>t/a</w:t>
                  </w:r>
                </w:p>
              </w:tc>
              <w:tc>
                <w:tcPr>
                  <w:tcW w:w="1732" w:type="dxa"/>
                  <w:vAlign w:val="center"/>
                </w:tcPr>
                <w:p w14:paraId="55C94BD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市政管网</w:t>
                  </w:r>
                </w:p>
              </w:tc>
              <w:tc>
                <w:tcPr>
                  <w:tcW w:w="3794" w:type="dxa"/>
                  <w:vAlign w:val="center"/>
                </w:tcPr>
                <w:p w14:paraId="47E072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bl>
          <w:p w14:paraId="4A6FA8CB">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、磷石膏来源</w:t>
            </w:r>
          </w:p>
          <w:p w14:paraId="136DA26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使用的</w:t>
            </w:r>
            <w:r>
              <w:rPr>
                <w:rFonts w:ascii="Times New Roman" w:hAnsi="Times New Roman" w:eastAsia="宋体" w:cs="Times New Roman"/>
                <w:color w:val="auto"/>
                <w:sz w:val="24"/>
                <w:szCs w:val="24"/>
                <w:lang w:eastAsia="zh-CN"/>
              </w:rPr>
              <w:t>改性磷石膏来源于</w:t>
            </w:r>
            <w:r>
              <w:rPr>
                <w:rFonts w:hint="eastAsia" w:ascii="Times New Roman" w:hAnsi="Times New Roman" w:eastAsia="宋体" w:cs="Times New Roman"/>
                <w:color w:val="auto"/>
                <w:sz w:val="24"/>
                <w:szCs w:val="24"/>
                <w:lang w:eastAsia="zh-CN"/>
              </w:rPr>
              <w:t>中化云龙有限公司90万吨/年粉状改性磷石膏项目。中化云龙有限公司于</w:t>
            </w:r>
            <w:r>
              <w:rPr>
                <w:rFonts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7月10日</w:t>
            </w:r>
            <w:r>
              <w:rPr>
                <w:rFonts w:ascii="Times New Roman" w:hAnsi="Times New Roman" w:eastAsia="宋体" w:cs="Times New Roman"/>
                <w:color w:val="auto"/>
                <w:sz w:val="24"/>
                <w:szCs w:val="24"/>
                <w:lang w:eastAsia="zh-CN"/>
              </w:rPr>
              <w:t>取得</w:t>
            </w:r>
            <w:r>
              <w:rPr>
                <w:rFonts w:hint="eastAsia" w:ascii="Times New Roman" w:hAnsi="Times New Roman" w:eastAsia="宋体" w:cs="Times New Roman"/>
                <w:color w:val="auto"/>
                <w:sz w:val="24"/>
                <w:szCs w:val="24"/>
                <w:lang w:eastAsia="zh-CN"/>
              </w:rPr>
              <w:t>了昆明市生态环境局寻甸分局关于对《中化云龙有限公司90万吨粉状改性磷石膏项目环境影响报告表》的批复</w:t>
            </w:r>
            <w:r>
              <w:rPr>
                <w:rFonts w:ascii="Times New Roman" w:hAnsi="Times New Roman" w:eastAsia="宋体" w:cs="Times New Roman"/>
                <w:color w:val="auto"/>
                <w:sz w:val="24"/>
                <w:szCs w:val="24"/>
                <w:lang w:eastAsia="zh-CN"/>
              </w:rPr>
              <w:t>（昆生环寻</w:t>
            </w:r>
            <w:r>
              <w:rPr>
                <w:rFonts w:hint="eastAsia" w:ascii="Times New Roman" w:hAnsi="Times New Roman" w:eastAsia="宋体" w:cs="Times New Roman"/>
                <w:color w:val="auto"/>
                <w:sz w:val="24"/>
                <w:szCs w:val="24"/>
                <w:lang w:eastAsia="zh-CN"/>
              </w:rPr>
              <w:t>复〔2023〕27</w:t>
            </w:r>
            <w:r>
              <w:rPr>
                <w:rFonts w:ascii="Times New Roman" w:hAnsi="Times New Roman" w:eastAsia="宋体" w:cs="Times New Roman"/>
                <w:color w:val="auto"/>
                <w:sz w:val="24"/>
                <w:szCs w:val="24"/>
                <w:lang w:eastAsia="zh-CN"/>
              </w:rPr>
              <w:t>号）</w:t>
            </w:r>
            <w:r>
              <w:rPr>
                <w:rFonts w:hint="eastAsia" w:ascii="Times New Roman" w:hAnsi="Times New Roman" w:eastAsia="宋体" w:cs="Times New Roman"/>
                <w:color w:val="auto"/>
                <w:sz w:val="24"/>
                <w:szCs w:val="24"/>
                <w:lang w:eastAsia="zh-CN"/>
              </w:rPr>
              <w:t>（附件1</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）。中化云龙有限公司90万吨粉状改性磷石膏项目</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月29日验收</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年1</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月</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日取得昆明市生态环境局颁发的排污许可证，证书编号：</w:t>
            </w:r>
            <w:r>
              <w:rPr>
                <w:rFonts w:hint="eastAsia" w:ascii="Times New Roman" w:hAnsi="Times New Roman" w:eastAsia="宋体" w:cs="Times New Roman"/>
                <w:color w:val="auto"/>
                <w:sz w:val="24"/>
                <w:szCs w:val="24"/>
                <w:lang w:eastAsia="zh-CN"/>
              </w:rPr>
              <w:t>91530129763882136J001Q</w:t>
            </w:r>
            <w:r>
              <w:rPr>
                <w:rFonts w:ascii="Times New Roman" w:hAnsi="Times New Roman" w:eastAsia="宋体" w:cs="Times New Roman"/>
                <w:color w:val="auto"/>
                <w:sz w:val="24"/>
                <w:szCs w:val="24"/>
                <w:lang w:eastAsia="zh-CN"/>
              </w:rPr>
              <w:t>。</w:t>
            </w:r>
          </w:p>
          <w:p w14:paraId="3A6C295C">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、原辅料理化性质</w:t>
            </w:r>
          </w:p>
          <w:p w14:paraId="53494A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主要原辅料理化性质如下。</w:t>
            </w:r>
          </w:p>
          <w:p w14:paraId="278149C8">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cs="Times New Roman"/>
                <w:b/>
                <w:snapToGrid/>
                <w:color w:val="auto"/>
                <w:kern w:val="2"/>
                <w:sz w:val="24"/>
                <w:szCs w:val="24"/>
                <w:lang w:val="en-US" w:eastAsia="zh-CN" w:bidi="ar"/>
              </w:rPr>
              <w:t>8</w:t>
            </w:r>
            <w:r>
              <w:rPr>
                <w:rFonts w:hint="eastAsia" w:ascii="Times New Roman" w:hAnsi="Times New Roman" w:eastAsia="宋体" w:cs="Times New Roman"/>
                <w:b/>
                <w:snapToGrid/>
                <w:color w:val="auto"/>
                <w:kern w:val="2"/>
                <w:sz w:val="24"/>
                <w:szCs w:val="24"/>
                <w:lang w:eastAsia="zh-CN" w:bidi="ar"/>
              </w:rPr>
              <w:t xml:space="preserve"> 原辅料理化性质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91"/>
              <w:gridCol w:w="7199"/>
            </w:tblGrid>
            <w:tr w14:paraId="4235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2E556C52">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材料</w:t>
                  </w:r>
                </w:p>
              </w:tc>
              <w:tc>
                <w:tcPr>
                  <w:tcW w:w="7199" w:type="dxa"/>
                  <w:vAlign w:val="center"/>
                </w:tcPr>
                <w:p w14:paraId="0DF08A4F">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理化性质</w:t>
                  </w:r>
                </w:p>
              </w:tc>
            </w:tr>
            <w:tr w14:paraId="58219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64A80A5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改性磷石膏</w:t>
                  </w:r>
                </w:p>
              </w:tc>
              <w:tc>
                <w:tcPr>
                  <w:tcW w:w="7199" w:type="dxa"/>
                  <w:vAlign w:val="center"/>
                </w:tcPr>
                <w:p w14:paraId="6E2B8888">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使用中化云龙有限公司提供的改性磷石膏作为原料，由该公司对磷石膏进行改性处理后烘干至粉状，含水率10.58%。磷石膏主要成分为CaSO</w:t>
                  </w:r>
                  <w:r>
                    <w:rPr>
                      <w:rFonts w:hint="eastAsia" w:ascii="Times New Roman" w:hAnsi="Times New Roman" w:eastAsia="宋体" w:cs="Times New Roman"/>
                      <w:color w:val="auto"/>
                      <w:vertAlign w:val="subscript"/>
                      <w:lang w:eastAsia="zh-CN"/>
                    </w:rPr>
                    <w:t>4</w:t>
                  </w:r>
                  <w:r>
                    <w:rPr>
                      <w:rFonts w:hint="eastAsia" w:ascii="Times New Roman" w:hAnsi="Times New Roman" w:eastAsia="宋体" w:cs="Times New Roman"/>
                      <w:color w:val="auto"/>
                      <w:lang w:eastAsia="zh-CN"/>
                    </w:rPr>
                    <w:t>·2H</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一般呈粉状，外观灰白、灰黑等色，还含有机磷、硫、氟类化合物，颗粒直径一般为10~100μm。根据《工业固体废物名录》可知，磷石膏属于工业固体废物，废物代码261-001-S10，不属于危险废物，属于第Ⅰ类一般固体废物。</w:t>
                  </w:r>
                </w:p>
              </w:tc>
            </w:tr>
            <w:tr w14:paraId="680C2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41FB2DA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砂石骨料</w:t>
                  </w:r>
                </w:p>
              </w:tc>
              <w:tc>
                <w:tcPr>
                  <w:tcW w:w="7199" w:type="dxa"/>
                  <w:vAlign w:val="center"/>
                </w:tcPr>
                <w:p w14:paraId="218BC68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由颗粒较大的碎石和颗粒较小的砂粒组成，以石英（SiO</w:t>
                  </w:r>
                  <w:r>
                    <w:rPr>
                      <w:rFonts w:hint="eastAsia" w:ascii="Times New Roman" w:hAnsi="Times New Roman" w:eastAsia="宋体" w:cs="Times New Roman"/>
                      <w:color w:val="auto"/>
                      <w:sz w:val="21"/>
                      <w:szCs w:val="21"/>
                      <w:vertAlign w:val="subscript"/>
                      <w:lang w:eastAsia="zh-CN"/>
                    </w:rPr>
                    <w:t>2</w:t>
                  </w:r>
                  <w:r>
                    <w:rPr>
                      <w:rFonts w:hint="eastAsia" w:ascii="Times New Roman" w:hAnsi="Times New Roman" w:eastAsia="宋体" w:cs="Times New Roman"/>
                      <w:color w:val="auto"/>
                      <w:sz w:val="21"/>
                      <w:szCs w:val="21"/>
                      <w:lang w:eastAsia="zh-CN"/>
                    </w:rPr>
                    <w:t>）为主，常含有长石、钙质、硅质胶结物等，莫氏硬度约为7（以石英为基准），颗粒坚硬，抗压强度高。由于其来源广泛，压实后具有强度高、变形小、渗透性好的优点，因而在修筑水利工程、公路工程、铁路工程、机场建设、地基工程中得到了广泛应用。项目使用外购的机制砂石骨料，粒径范围通常为0.074–2mm（砂）与大于2mm（碎石）。</w:t>
                  </w:r>
                </w:p>
              </w:tc>
            </w:tr>
            <w:tr w14:paraId="3FE3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1" w:type="dxa"/>
                  <w:vAlign w:val="center"/>
                </w:tcPr>
                <w:p w14:paraId="450432D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7199" w:type="dxa"/>
                  <w:vAlign w:val="center"/>
                </w:tcPr>
                <w:p w14:paraId="5A7EC3A4">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呈灰色或灰白色粉末状，主要由SiO</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、Al</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、Fe</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、CaO等物质组成，此外含少量MgO、K</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O、Na</w:t>
                  </w:r>
                  <w:r>
                    <w:rPr>
                      <w:rFonts w:hint="eastAsia" w:ascii="Times New Roman" w:hAnsi="Times New Roman" w:eastAsia="宋体" w:cs="Times New Roman"/>
                      <w:color w:val="auto"/>
                      <w:vertAlign w:val="subscript"/>
                      <w:lang w:eastAsia="zh-CN"/>
                    </w:rPr>
                    <w:t>2</w:t>
                  </w:r>
                  <w:r>
                    <w:rPr>
                      <w:rFonts w:hint="eastAsia" w:ascii="Times New Roman" w:hAnsi="Times New Roman" w:eastAsia="宋体" w:cs="Times New Roman"/>
                      <w:color w:val="auto"/>
                      <w:lang w:eastAsia="zh-CN"/>
                    </w:rPr>
                    <w:t>O、C。颗粒呈多孔型蜂窝状组织，比表面积较大，具有较高的吸附活性，颗粒的粒径范围为0.5~300μm，并且具有多孔结构，孔隙率高达50%—80%，有很强的吸水性，可应用于混凝土掺合料、水泥原料、环保吸附材料等领域。</w:t>
                  </w:r>
                </w:p>
              </w:tc>
            </w:tr>
          </w:tbl>
          <w:p w14:paraId="0A90DC9A">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4、原辅料入场质量管控要求</w:t>
            </w:r>
          </w:p>
          <w:p w14:paraId="7C2BEE40">
            <w:pPr>
              <w:pStyle w:val="30"/>
              <w:keepNext w:val="0"/>
              <w:keepLines w:val="0"/>
              <w:pageBreakBefore w:val="0"/>
              <w:widowControl w:val="0"/>
              <w:kinsoku/>
              <w:wordWrap/>
              <w:overflowPunct w:val="0"/>
              <w:topLinePunct w:val="0"/>
              <w:autoSpaceDE/>
              <w:autoSpaceDN/>
              <w:bidi w:val="0"/>
              <w:adjustRightInd/>
              <w:snapToGrid/>
              <w:spacing w:line="360" w:lineRule="auto"/>
              <w:ind w:firstLine="476" w:firstLineChars="200"/>
              <w:jc w:val="both"/>
              <w:textAlignment w:val="baseline"/>
              <w:rPr>
                <w:rFonts w:hint="default" w:ascii="Times New Roman" w:hAnsi="Times New Roman" w:eastAsia="宋体" w:cs="Times New Roman"/>
                <w:b w:val="0"/>
                <w:bCs w:val="0"/>
                <w:color w:val="auto"/>
                <w:spacing w:val="-1"/>
                <w:sz w:val="24"/>
                <w:szCs w:val="24"/>
                <w:lang w:val="en-US" w:eastAsia="zh-CN"/>
              </w:rPr>
            </w:pPr>
            <w:r>
              <w:rPr>
                <w:rFonts w:hint="eastAsia" w:ascii="Times New Roman" w:hAnsi="Times New Roman" w:eastAsia="宋体" w:cs="Times New Roman"/>
                <w:b w:val="0"/>
                <w:bCs w:val="0"/>
                <w:color w:val="auto"/>
                <w:spacing w:val="-1"/>
                <w:sz w:val="24"/>
                <w:szCs w:val="24"/>
                <w:lang w:val="en-US" w:eastAsia="zh-CN"/>
              </w:rPr>
              <w:t>项目路基材料生产线使用的改性磷石膏为“</w:t>
            </w:r>
            <w:r>
              <w:rPr>
                <w:rFonts w:hint="eastAsia" w:ascii="Times New Roman" w:hAnsi="Times New Roman" w:eastAsia="宋体" w:cs="Times New Roman"/>
                <w:b w:val="0"/>
                <w:bCs w:val="0"/>
                <w:color w:val="auto"/>
                <w:sz w:val="24"/>
                <w:szCs w:val="24"/>
                <w:lang w:eastAsia="zh-CN"/>
              </w:rPr>
              <w:t>中化云龙有限公司90万吨粉状改性磷石膏项目</w:t>
            </w:r>
            <w:r>
              <w:rPr>
                <w:rFonts w:hint="eastAsia" w:ascii="Times New Roman" w:hAnsi="Times New Roman" w:eastAsia="宋体" w:cs="Times New Roman"/>
                <w:b w:val="0"/>
                <w:bCs w:val="0"/>
                <w:color w:val="auto"/>
                <w:spacing w:val="-1"/>
                <w:sz w:val="24"/>
                <w:szCs w:val="24"/>
                <w:lang w:val="en-US" w:eastAsia="zh-CN"/>
              </w:rPr>
              <w:t>”</w:t>
            </w:r>
            <w:r>
              <w:rPr>
                <w:rFonts w:hint="eastAsia" w:ascii="Times New Roman" w:hAnsi="Times New Roman" w:eastAsia="宋体" w:cs="Times New Roman"/>
                <w:b w:val="0"/>
                <w:bCs w:val="0"/>
                <w:color w:val="auto"/>
                <w:lang w:val="en-US" w:eastAsia="zh-CN"/>
              </w:rPr>
              <w:t>生产的路基材料改性磷石膏，其应符合</w:t>
            </w:r>
            <w:r>
              <w:rPr>
                <w:rFonts w:ascii="Times New Roman" w:hAnsi="Times New Roman" w:eastAsia="宋体" w:cs="Times New Roman"/>
                <w:snapToGrid/>
                <w:color w:val="auto"/>
                <w:kern w:val="2"/>
                <w:sz w:val="24"/>
                <w:szCs w:val="24"/>
                <w:lang w:eastAsia="zh-CN" w:bidi="ar"/>
              </w:rPr>
              <w:t>《磷石膏利用和无害化贮存污染控制技术规范》（HJ</w:t>
            </w:r>
            <w:r>
              <w:rPr>
                <w:rFonts w:hint="eastAsia" w:cs="Times New Roman"/>
                <w:snapToGrid/>
                <w:color w:val="auto"/>
                <w:kern w:val="2"/>
                <w:sz w:val="24"/>
                <w:szCs w:val="24"/>
                <w:lang w:val="en-US" w:eastAsia="zh-CN" w:bidi="ar"/>
              </w:rPr>
              <w:t xml:space="preserve"> </w:t>
            </w:r>
            <w:r>
              <w:rPr>
                <w:rFonts w:ascii="Times New Roman" w:hAnsi="Times New Roman" w:eastAsia="宋体" w:cs="Times New Roman"/>
                <w:snapToGrid/>
                <w:color w:val="auto"/>
                <w:kern w:val="2"/>
                <w:sz w:val="24"/>
                <w:szCs w:val="24"/>
                <w:lang w:eastAsia="zh-CN" w:bidi="ar"/>
              </w:rPr>
              <w:t>1415-2025）</w:t>
            </w:r>
            <w:r>
              <w:rPr>
                <w:rFonts w:hint="eastAsia" w:ascii="Times New Roman" w:hAnsi="Times New Roman" w:eastAsia="宋体" w:cs="Times New Roman"/>
                <w:snapToGrid/>
                <w:color w:val="auto"/>
                <w:kern w:val="2"/>
                <w:sz w:val="24"/>
                <w:szCs w:val="24"/>
                <w:lang w:eastAsia="zh-CN" w:bidi="ar"/>
              </w:rPr>
              <w:t>、《磷石膏的处理处置规范》（GB/T 32124-2024）、《路用改性磷石膏》（JT/T 1551-2025）</w:t>
            </w:r>
            <w:r>
              <w:rPr>
                <w:rFonts w:hint="eastAsia" w:ascii="Times New Roman" w:hAnsi="Times New Roman" w:eastAsia="宋体" w:cs="Times New Roman"/>
                <w:snapToGrid/>
                <w:color w:val="auto"/>
                <w:kern w:val="2"/>
                <w:sz w:val="24"/>
                <w:szCs w:val="24"/>
                <w:lang w:val="en-US" w:eastAsia="zh-CN" w:bidi="ar"/>
              </w:rPr>
              <w:t>中4.1.1磷石膏和4.2路用改性磷石膏要求相关要求，具体如下：</w:t>
            </w:r>
          </w:p>
          <w:p w14:paraId="761E021F">
            <w:pPr>
              <w:pStyle w:val="30"/>
              <w:keepNext w:val="0"/>
              <w:keepLines w:val="0"/>
              <w:pageBreakBefore w:val="0"/>
              <w:widowControl w:val="0"/>
              <w:kinsoku/>
              <w:wordWrap/>
              <w:overflowPunct w:val="0"/>
              <w:topLinePunct w:val="0"/>
              <w:autoSpaceDE/>
              <w:autoSpaceDN/>
              <w:bidi w:val="0"/>
              <w:adjustRightInd/>
              <w:snapToGrid/>
              <w:spacing w:line="360" w:lineRule="auto"/>
              <w:ind w:firstLine="478" w:firstLineChars="200"/>
              <w:jc w:val="both"/>
              <w:textAlignment w:val="baseline"/>
              <w:rPr>
                <w:rFonts w:ascii="Times New Roman" w:hAnsi="Times New Roman" w:eastAsia="宋体" w:cs="Times New Roman"/>
                <w:b/>
                <w:bCs/>
                <w:color w:val="auto"/>
                <w:spacing w:val="-1"/>
                <w:sz w:val="24"/>
                <w:szCs w:val="24"/>
                <w:lang w:eastAsia="zh-CN"/>
              </w:rPr>
            </w:pPr>
            <w:r>
              <w:rPr>
                <w:rFonts w:hint="eastAsia" w:ascii="Times New Roman" w:hAnsi="Times New Roman" w:eastAsia="宋体" w:cs="Times New Roman"/>
                <w:b/>
                <w:bCs/>
                <w:color w:val="auto"/>
                <w:spacing w:val="-1"/>
                <w:sz w:val="24"/>
                <w:szCs w:val="24"/>
                <w:lang w:eastAsia="zh-CN"/>
              </w:rPr>
              <w:t>A.</w:t>
            </w:r>
            <w:r>
              <w:rPr>
                <w:rFonts w:ascii="Times New Roman" w:hAnsi="Times New Roman" w:eastAsia="宋体" w:cs="Times New Roman"/>
                <w:b/>
                <w:bCs/>
                <w:snapToGrid/>
                <w:color w:val="auto"/>
                <w:kern w:val="2"/>
                <w:sz w:val="24"/>
                <w:szCs w:val="24"/>
                <w:lang w:eastAsia="zh-CN" w:bidi="ar"/>
              </w:rPr>
              <w:t>《磷石膏利用和无害化贮存污染控制技术规范》（HJ</w:t>
            </w:r>
            <w:r>
              <w:rPr>
                <w:rFonts w:hint="eastAsia" w:cs="Times New Roman"/>
                <w:b/>
                <w:bCs/>
                <w:snapToGrid/>
                <w:color w:val="auto"/>
                <w:kern w:val="2"/>
                <w:sz w:val="24"/>
                <w:szCs w:val="24"/>
                <w:lang w:val="en-US" w:eastAsia="zh-CN" w:bidi="ar"/>
              </w:rPr>
              <w:t xml:space="preserve"> </w:t>
            </w:r>
            <w:r>
              <w:rPr>
                <w:rFonts w:ascii="Times New Roman" w:hAnsi="Times New Roman" w:eastAsia="宋体" w:cs="Times New Roman"/>
                <w:b/>
                <w:bCs/>
                <w:snapToGrid/>
                <w:color w:val="auto"/>
                <w:kern w:val="2"/>
                <w:sz w:val="24"/>
                <w:szCs w:val="24"/>
                <w:lang w:eastAsia="zh-CN" w:bidi="ar"/>
              </w:rPr>
              <w:t>1415-2025）</w:t>
            </w:r>
          </w:p>
          <w:p w14:paraId="767A444B">
            <w:pPr>
              <w:pStyle w:val="30"/>
              <w:keepNext w:val="0"/>
              <w:keepLines w:val="0"/>
              <w:pageBreakBefore w:val="0"/>
              <w:widowControl w:val="0"/>
              <w:kinsoku/>
              <w:wordWrap/>
              <w:overflowPunct w:val="0"/>
              <w:topLinePunct w:val="0"/>
              <w:autoSpaceDE/>
              <w:autoSpaceDN/>
              <w:bidi w:val="0"/>
              <w:adjustRightInd/>
              <w:snapToGrid/>
              <w:spacing w:line="360" w:lineRule="auto"/>
              <w:ind w:firstLine="476"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color w:val="auto"/>
                <w:spacing w:val="-1"/>
                <w:sz w:val="24"/>
                <w:szCs w:val="24"/>
                <w:lang w:eastAsia="zh-CN"/>
              </w:rPr>
              <w:t>根据</w:t>
            </w:r>
            <w:r>
              <w:rPr>
                <w:rFonts w:ascii="Times New Roman" w:hAnsi="Times New Roman" w:eastAsia="宋体" w:cs="Times New Roman"/>
                <w:snapToGrid/>
                <w:color w:val="auto"/>
                <w:kern w:val="2"/>
                <w:sz w:val="24"/>
                <w:szCs w:val="24"/>
                <w:lang w:eastAsia="zh-CN" w:bidi="ar"/>
              </w:rPr>
              <w:t>《磷石膏利用和无害化贮存污染控制技术规范》（HJ</w:t>
            </w:r>
            <w:r>
              <w:rPr>
                <w:rFonts w:hint="eastAsia" w:cs="Times New Roman"/>
                <w:snapToGrid/>
                <w:color w:val="auto"/>
                <w:kern w:val="2"/>
                <w:sz w:val="24"/>
                <w:szCs w:val="24"/>
                <w:lang w:val="en-US" w:eastAsia="zh-CN" w:bidi="ar"/>
              </w:rPr>
              <w:t xml:space="preserve"> </w:t>
            </w:r>
            <w:r>
              <w:rPr>
                <w:rFonts w:ascii="Times New Roman" w:hAnsi="Times New Roman" w:eastAsia="宋体" w:cs="Times New Roman"/>
                <w:snapToGrid/>
                <w:color w:val="auto"/>
                <w:kern w:val="2"/>
                <w:sz w:val="24"/>
                <w:szCs w:val="24"/>
                <w:lang w:eastAsia="zh-CN" w:bidi="ar"/>
              </w:rPr>
              <w:t>1415-2025）</w:t>
            </w:r>
            <w:r>
              <w:rPr>
                <w:rFonts w:hint="eastAsia" w:ascii="Times New Roman" w:hAnsi="Times New Roman" w:eastAsia="宋体" w:cs="Times New Roman"/>
                <w:snapToGrid/>
                <w:color w:val="auto"/>
                <w:kern w:val="2"/>
                <w:sz w:val="24"/>
                <w:szCs w:val="24"/>
                <w:lang w:eastAsia="zh-CN" w:bidi="ar"/>
              </w:rPr>
              <w:t>，</w:t>
            </w:r>
            <w:r>
              <w:rPr>
                <w:rFonts w:hint="eastAsia" w:ascii="Times New Roman" w:hAnsi="Times New Roman" w:eastAsia="宋体" w:cs="Times New Roman"/>
                <w:snapToGrid/>
                <w:color w:val="auto"/>
                <w:kern w:val="2"/>
                <w:sz w:val="24"/>
                <w:szCs w:val="24"/>
                <w:lang w:val="en-US" w:eastAsia="zh-CN" w:bidi="ar"/>
              </w:rPr>
              <w:t>5.1</w:t>
            </w:r>
            <w:r>
              <w:rPr>
                <w:rFonts w:hint="eastAsia" w:ascii="Times New Roman" w:hAnsi="Times New Roman" w:eastAsia="宋体" w:cs="Times New Roman"/>
                <w:snapToGrid/>
                <w:color w:val="auto"/>
                <w:kern w:val="2"/>
                <w:sz w:val="24"/>
                <w:szCs w:val="24"/>
                <w:lang w:eastAsia="zh-CN" w:bidi="ar"/>
              </w:rPr>
              <w:t xml:space="preserve">筑路利用 </w:t>
            </w:r>
            <w:r>
              <w:rPr>
                <w:rFonts w:hint="eastAsia" w:ascii="Times New Roman" w:hAnsi="Times New Roman" w:eastAsia="宋体" w:cs="Times New Roman"/>
                <w:snapToGrid/>
                <w:color w:val="auto"/>
                <w:kern w:val="2"/>
                <w:sz w:val="24"/>
                <w:szCs w:val="24"/>
                <w:lang w:val="en-US" w:eastAsia="zh-CN" w:bidi="ar"/>
              </w:rPr>
              <w:t>5.1.1</w:t>
            </w:r>
            <w:r>
              <w:rPr>
                <w:rFonts w:hint="eastAsia" w:ascii="Times New Roman" w:hAnsi="Times New Roman" w:eastAsia="宋体" w:cs="Times New Roman"/>
                <w:snapToGrid/>
                <w:color w:val="auto"/>
                <w:kern w:val="2"/>
                <w:sz w:val="24"/>
                <w:szCs w:val="24"/>
                <w:lang w:eastAsia="zh-CN" w:bidi="ar"/>
              </w:rPr>
              <w:t>、磷石膏经预处理后可用于道路基层，经养护后的筑路物料按照HJ557制备的浸出液中氟化物、磷酸盐（以P计）、氨氮、化学需氧量、总铅、总镉、总砷、总汞和总铬浓度应满足GB18599中界定的第Ⅰ类一般工业固体废物的要求。本项目生产路基材料仅进行物理混合，因此改性磷石膏作为原料时需满足筑路物料要求。</w:t>
            </w:r>
          </w:p>
          <w:p w14:paraId="078AB0A8">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ascii="Times New Roman" w:hAnsi="Times New Roman" w:eastAsia="宋体" w:cs="Times New Roman"/>
                <w:b/>
                <w:bCs/>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B.《磷石膏的处理处置规范》（GB/T 32124-2024）</w:t>
            </w:r>
          </w:p>
          <w:p w14:paraId="59F00BB4">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根据《磷石膏的处理处置规范》（GB/T 32124-2024）中6.6筑路材料 表9的要求，磷石膏原料二水硫酸钙含量≥65%，附着水≤25%，可溶性磷（P</w:t>
            </w:r>
            <w:r>
              <w:rPr>
                <w:rFonts w:hint="eastAsia" w:ascii="Times New Roman" w:hAnsi="Times New Roman" w:eastAsia="宋体" w:cs="Times New Roman"/>
                <w:snapToGrid/>
                <w:color w:val="auto"/>
                <w:kern w:val="2"/>
                <w:sz w:val="24"/>
                <w:szCs w:val="24"/>
                <w:vertAlign w:val="subscript"/>
                <w:lang w:eastAsia="zh-CN" w:bidi="ar"/>
              </w:rPr>
              <w:t>2</w:t>
            </w:r>
            <w:r>
              <w:rPr>
                <w:rFonts w:hint="eastAsia" w:ascii="Times New Roman" w:hAnsi="Times New Roman" w:eastAsia="宋体" w:cs="Times New Roman"/>
                <w:snapToGrid/>
                <w:color w:val="auto"/>
                <w:kern w:val="2"/>
                <w:sz w:val="24"/>
                <w:szCs w:val="24"/>
                <w:lang w:eastAsia="zh-CN" w:bidi="ar"/>
              </w:rPr>
              <w:t>O</w:t>
            </w:r>
            <w:r>
              <w:rPr>
                <w:rFonts w:hint="eastAsia" w:ascii="Times New Roman" w:hAnsi="Times New Roman" w:eastAsia="宋体" w:cs="Times New Roman"/>
                <w:snapToGrid/>
                <w:color w:val="auto"/>
                <w:kern w:val="2"/>
                <w:sz w:val="24"/>
                <w:szCs w:val="24"/>
                <w:vertAlign w:val="subscript"/>
                <w:lang w:eastAsia="zh-CN" w:bidi="ar"/>
              </w:rPr>
              <w:t>5</w:t>
            </w:r>
            <w:r>
              <w:rPr>
                <w:rFonts w:hint="eastAsia" w:ascii="Times New Roman" w:hAnsi="Times New Roman" w:eastAsia="宋体" w:cs="Times New Roman"/>
                <w:snapToGrid/>
                <w:color w:val="auto"/>
                <w:kern w:val="2"/>
                <w:sz w:val="24"/>
                <w:szCs w:val="24"/>
                <w:lang w:eastAsia="zh-CN" w:bidi="ar"/>
              </w:rPr>
              <w:t>）≤0.20%，水溶性氟离子≤0.10%，水溶性氯离子≤0.02%，水溶性氧化镁≤0.30%，水溶性氧化钠≤0.10%。</w:t>
            </w:r>
          </w:p>
          <w:p w14:paraId="65A86718">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ascii="Times New Roman" w:hAnsi="Times New Roman" w:eastAsia="宋体" w:cs="Times New Roman"/>
                <w:b/>
                <w:bCs/>
                <w:snapToGrid/>
                <w:color w:val="auto"/>
                <w:kern w:val="2"/>
                <w:sz w:val="24"/>
                <w:szCs w:val="24"/>
                <w:lang w:eastAsia="zh-CN" w:bidi="ar"/>
              </w:rPr>
            </w:pPr>
            <w:r>
              <w:rPr>
                <w:rFonts w:hint="eastAsia" w:ascii="Times New Roman" w:hAnsi="Times New Roman" w:eastAsia="宋体" w:cs="Times New Roman"/>
                <w:b/>
                <w:bCs/>
                <w:snapToGrid/>
                <w:color w:val="auto"/>
                <w:kern w:val="2"/>
                <w:sz w:val="24"/>
                <w:szCs w:val="24"/>
                <w:lang w:eastAsia="zh-CN" w:bidi="ar"/>
              </w:rPr>
              <w:t>C.</w:t>
            </w:r>
            <w:r>
              <w:rPr>
                <w:rFonts w:hint="eastAsia" w:ascii="Times New Roman" w:hAnsi="Times New Roman" w:eastAsia="宋体" w:cs="Times New Roman"/>
                <w:b/>
                <w:bCs/>
                <w:color w:val="auto"/>
                <w:sz w:val="24"/>
                <w:szCs w:val="24"/>
              </w:rPr>
              <w:t>《路用改性磷石膏》</w:t>
            </w: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rPr>
              <w:t>JT/T</w:t>
            </w:r>
            <w:r>
              <w:rPr>
                <w:rFonts w:hint="eastAsia" w:ascii="Times New Roman" w:hAnsi="Times New Roman" w:eastAsia="宋体" w:cs="Times New Roman"/>
                <w:b/>
                <w:bCs/>
                <w:color w:val="auto"/>
                <w:sz w:val="24"/>
                <w:szCs w:val="24"/>
                <w:lang w:eastAsia="zh-CN"/>
              </w:rPr>
              <w:t xml:space="preserve"> </w:t>
            </w:r>
            <w:r>
              <w:rPr>
                <w:rFonts w:ascii="Times New Roman" w:hAnsi="Times New Roman" w:eastAsia="宋体" w:cs="Times New Roman"/>
                <w:b/>
                <w:bCs/>
                <w:color w:val="auto"/>
                <w:sz w:val="24"/>
                <w:szCs w:val="24"/>
              </w:rPr>
              <w:t>1551-2025</w:t>
            </w:r>
            <w:r>
              <w:rPr>
                <w:rFonts w:hint="eastAsia" w:ascii="Times New Roman" w:hAnsi="Times New Roman" w:eastAsia="宋体" w:cs="Times New Roman"/>
                <w:b/>
                <w:bCs/>
                <w:color w:val="auto"/>
                <w:sz w:val="24"/>
                <w:szCs w:val="24"/>
                <w:lang w:eastAsia="zh-CN"/>
              </w:rPr>
              <w:t>）</w:t>
            </w:r>
          </w:p>
          <w:p w14:paraId="6683E3FA">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根据《路用改性磷石膏》（JT/T 1551-2025）中4.1原材料 4.1.1磷石膏 磷石膏应符合GB/T 23456和GB18599-2020中第Ⅰ类一般工业固体废物的规定。</w:t>
            </w:r>
          </w:p>
          <w:p w14:paraId="50896A80">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val="en-US" w:eastAsia="zh-CN" w:bidi="ar"/>
              </w:rPr>
              <w:t>根据</w:t>
            </w:r>
            <w:r>
              <w:rPr>
                <w:rFonts w:hint="eastAsia" w:ascii="Times New Roman" w:hAnsi="Times New Roman" w:eastAsia="宋体" w:cs="Times New Roman"/>
                <w:snapToGrid/>
                <w:color w:val="auto"/>
                <w:kern w:val="2"/>
                <w:sz w:val="24"/>
                <w:szCs w:val="24"/>
                <w:lang w:eastAsia="zh-CN" w:bidi="ar"/>
              </w:rPr>
              <w:t>《路用改性磷石膏》（JT/T 1551-2025）中4.2路用改性磷石膏 路用改性磷石膏按性能及应用工程部位分为A类、B类和C类。A类材料适用于水泥混凝土构件、水泥稳定基层、路基；B 类材料适用于水泥稳定基层、路基；C 类材料适用于路基。因此本项目</w:t>
            </w:r>
            <w:r>
              <w:rPr>
                <w:rFonts w:hint="eastAsia" w:cs="Times New Roman"/>
                <w:snapToGrid/>
                <w:color w:val="auto"/>
                <w:kern w:val="2"/>
                <w:sz w:val="24"/>
                <w:szCs w:val="24"/>
                <w:lang w:val="en-US" w:eastAsia="zh-CN" w:bidi="ar"/>
              </w:rPr>
              <w:t>改性磷石膏</w:t>
            </w:r>
            <w:r>
              <w:rPr>
                <w:rFonts w:hint="eastAsia" w:ascii="Times New Roman" w:hAnsi="Times New Roman" w:eastAsia="宋体" w:cs="Times New Roman"/>
                <w:snapToGrid/>
                <w:color w:val="auto"/>
                <w:kern w:val="2"/>
                <w:sz w:val="24"/>
                <w:szCs w:val="24"/>
                <w:lang w:eastAsia="zh-CN" w:bidi="ar"/>
              </w:rPr>
              <w:t>执行C类标准。</w:t>
            </w:r>
          </w:p>
          <w:p w14:paraId="7B8214B7">
            <w:pPr>
              <w:pStyle w:val="30"/>
              <w:keepNext w:val="0"/>
              <w:keepLines w:val="0"/>
              <w:pageBreakBefore w:val="0"/>
              <w:widowControl w:val="0"/>
              <w:kinsoku/>
              <w:wordWrap/>
              <w:overflowPunct w:val="0"/>
              <w:topLinePunct w:val="0"/>
              <w:autoSpaceDE/>
              <w:autoSpaceDN/>
              <w:bidi w:val="0"/>
              <w:adjustRightInd/>
              <w:snapToGrid/>
              <w:spacing w:line="360" w:lineRule="auto"/>
              <w:ind w:firstLine="482" w:firstLineChars="200"/>
              <w:jc w:val="both"/>
              <w:textAlignment w:val="baseline"/>
              <w:rPr>
                <w:rFonts w:hint="default" w:ascii="Times New Roman" w:hAnsi="Times New Roman" w:eastAsia="宋体" w:cs="Times New Roman"/>
                <w:snapToGrid/>
                <w:color w:val="auto"/>
                <w:kern w:val="2"/>
                <w:sz w:val="24"/>
                <w:szCs w:val="24"/>
                <w:lang w:val="en-US" w:eastAsia="zh-CN" w:bidi="ar"/>
              </w:rPr>
            </w:pPr>
            <w:r>
              <w:rPr>
                <w:rFonts w:hint="eastAsia" w:cs="Times New Roman"/>
                <w:b/>
                <w:bCs/>
                <w:snapToGrid/>
                <w:color w:val="auto"/>
                <w:kern w:val="2"/>
                <w:sz w:val="24"/>
                <w:szCs w:val="24"/>
                <w:lang w:val="en-US" w:eastAsia="zh-CN" w:bidi="ar"/>
              </w:rPr>
              <w:t>D、</w:t>
            </w:r>
            <w:r>
              <w:rPr>
                <w:rFonts w:hint="eastAsia" w:ascii="Times New Roman" w:hAnsi="Times New Roman" w:eastAsia="宋体" w:cs="Times New Roman"/>
                <w:b/>
                <w:bCs/>
                <w:snapToGrid/>
                <w:color w:val="auto"/>
                <w:kern w:val="2"/>
                <w:sz w:val="24"/>
                <w:szCs w:val="24"/>
                <w:lang w:val="en-US" w:eastAsia="zh-CN" w:bidi="ar"/>
              </w:rPr>
              <w:t>《高速公路基层磷石膏应用技术规范》（DB53/T 1359-2025）</w:t>
            </w:r>
          </w:p>
          <w:p w14:paraId="63DBE0EE">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hint="default" w:ascii="Times New Roman" w:hAnsi="Times New Roman" w:eastAsia="宋体" w:cs="Times New Roman"/>
                <w:snapToGrid/>
                <w:color w:val="auto"/>
                <w:kern w:val="2"/>
                <w:sz w:val="24"/>
                <w:szCs w:val="24"/>
                <w:lang w:val="en-US" w:eastAsia="zh-CN" w:bidi="ar"/>
              </w:rPr>
            </w:pPr>
            <w:r>
              <w:rPr>
                <w:rFonts w:hint="eastAsia" w:cs="Times New Roman"/>
                <w:snapToGrid/>
                <w:color w:val="auto"/>
                <w:kern w:val="2"/>
                <w:sz w:val="24"/>
                <w:szCs w:val="24"/>
                <w:lang w:val="en-US" w:eastAsia="zh-CN" w:bidi="ar"/>
              </w:rPr>
              <w:t>根据《高速公路基层磷石膏应用技术规范》（DB53/T 1359-2025）4.1.1对于拟用于高速公路路面基层的磷石膏......磷石膏原材料的质量要求应符合表1的规定。</w:t>
            </w:r>
          </w:p>
          <w:p w14:paraId="07851F3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根据中化云龙有限公司提供的改性磷石膏浸出液检测报告（附件8，</w:t>
            </w:r>
            <w:r>
              <w:rPr>
                <w:rFonts w:hint="eastAsia" w:ascii="Times New Roman" w:hAnsi="Times New Roman" w:eastAsia="宋体" w:cs="Times New Roman"/>
                <w:color w:val="auto"/>
                <w:sz w:val="21"/>
                <w:szCs w:val="21"/>
                <w:lang w:val="en-US" w:eastAsia="zh-CN"/>
              </w:rPr>
              <w:t>YNFY2025092301-1</w:t>
            </w:r>
            <w:r>
              <w:rPr>
                <w:rFonts w:hint="eastAsia" w:ascii="Times New Roman" w:hAnsi="Times New Roman" w:eastAsia="宋体" w:cs="Times New Roman"/>
                <w:snapToGrid/>
                <w:color w:val="auto"/>
                <w:kern w:val="2"/>
                <w:sz w:val="24"/>
                <w:szCs w:val="24"/>
                <w:lang w:eastAsia="zh-CN" w:bidi="ar"/>
              </w:rPr>
              <w:t>），</w:t>
            </w:r>
            <w:r>
              <w:rPr>
                <w:rFonts w:hint="eastAsia" w:cs="Times New Roman"/>
                <w:snapToGrid/>
                <w:color w:val="auto"/>
                <w:kern w:val="2"/>
                <w:sz w:val="24"/>
                <w:szCs w:val="24"/>
                <w:lang w:val="en-US" w:eastAsia="zh-CN" w:bidi="ar"/>
              </w:rPr>
              <w:t>本项目使用的改性磷石膏满足</w:t>
            </w:r>
            <w:r>
              <w:rPr>
                <w:rFonts w:hint="eastAsia" w:ascii="Times New Roman" w:hAnsi="Times New Roman" w:eastAsia="宋体" w:cs="Times New Roman"/>
                <w:snapToGrid/>
                <w:color w:val="auto"/>
                <w:kern w:val="2"/>
                <w:sz w:val="24"/>
                <w:szCs w:val="24"/>
                <w:lang w:eastAsia="zh-CN" w:bidi="ar"/>
              </w:rPr>
              <w:t>GB18599-2020中第Ⅰ类一般工业固体废物的规定</w:t>
            </w:r>
            <w:r>
              <w:rPr>
                <w:rFonts w:hint="eastAsia" w:cs="Times New Roman"/>
                <w:snapToGrid/>
                <w:color w:val="auto"/>
                <w:kern w:val="2"/>
                <w:sz w:val="24"/>
                <w:szCs w:val="24"/>
                <w:lang w:eastAsia="zh-CN" w:bidi="ar"/>
              </w:rPr>
              <w:t>，</w:t>
            </w:r>
            <w:r>
              <w:rPr>
                <w:rFonts w:hint="eastAsia" w:ascii="Times New Roman" w:hAnsi="Times New Roman" w:eastAsia="宋体" w:cs="Times New Roman"/>
                <w:snapToGrid/>
                <w:color w:val="auto"/>
                <w:kern w:val="2"/>
                <w:sz w:val="24"/>
                <w:szCs w:val="24"/>
                <w:lang w:eastAsia="zh-CN" w:bidi="ar"/>
              </w:rPr>
              <w:t>具体数据见下表。</w:t>
            </w:r>
          </w:p>
          <w:p w14:paraId="1CF23A91">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cs="Times New Roman"/>
                <w:b/>
                <w:snapToGrid/>
                <w:color w:val="auto"/>
                <w:kern w:val="2"/>
                <w:sz w:val="24"/>
                <w:szCs w:val="24"/>
                <w:lang w:val="en-US" w:eastAsia="zh-CN" w:bidi="ar"/>
              </w:rPr>
              <w:t>9</w:t>
            </w:r>
            <w:r>
              <w:rPr>
                <w:rFonts w:hint="eastAsia" w:ascii="Times New Roman" w:hAnsi="Times New Roman" w:eastAsia="宋体" w:cs="Times New Roman"/>
                <w:b/>
                <w:snapToGrid/>
                <w:color w:val="auto"/>
                <w:kern w:val="2"/>
                <w:sz w:val="24"/>
                <w:szCs w:val="24"/>
                <w:lang w:eastAsia="zh-CN" w:bidi="ar"/>
              </w:rPr>
              <w:t xml:space="preserve"> </w:t>
            </w:r>
            <w:r>
              <w:rPr>
                <w:rFonts w:hint="eastAsia" w:ascii="Times New Roman" w:hAnsi="Times New Roman" w:eastAsia="宋体" w:cs="Times New Roman"/>
                <w:b/>
                <w:snapToGrid/>
                <w:color w:val="auto"/>
                <w:kern w:val="2"/>
                <w:sz w:val="24"/>
                <w:szCs w:val="24"/>
                <w:lang w:val="en-US" w:eastAsia="zh-CN" w:bidi="ar"/>
              </w:rPr>
              <w:t>路用</w:t>
            </w:r>
            <w:r>
              <w:rPr>
                <w:rFonts w:hint="eastAsia" w:ascii="Times New Roman" w:hAnsi="Times New Roman" w:eastAsia="宋体" w:cs="Times New Roman"/>
                <w:b/>
                <w:snapToGrid/>
                <w:color w:val="auto"/>
                <w:kern w:val="2"/>
                <w:sz w:val="24"/>
                <w:szCs w:val="24"/>
                <w:lang w:eastAsia="zh-CN" w:bidi="ar"/>
              </w:rPr>
              <w:t>改性磷石膏浸出液检测结果一览表 单位：mg/L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8"/>
              <w:gridCol w:w="1065"/>
              <w:gridCol w:w="3131"/>
              <w:gridCol w:w="2711"/>
              <w:gridCol w:w="635"/>
            </w:tblGrid>
            <w:tr w14:paraId="2E56F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Merge w:val="restart"/>
                  <w:tcBorders>
                    <w:tl2br w:val="single" w:color="000000" w:sz="2" w:space="0"/>
                  </w:tcBorders>
                  <w:vAlign w:val="center"/>
                </w:tcPr>
                <w:p w14:paraId="5799677F">
                  <w:pPr>
                    <w:pStyle w:val="30"/>
                    <w:kinsoku/>
                    <w:overflowPunct w:val="0"/>
                    <w:autoSpaceDE/>
                    <w:autoSpaceDN/>
                    <w:adjustRightInd/>
                    <w:snapToGrid/>
                    <w:ind w:firstLine="1054" w:firstLineChars="500"/>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点位</w:t>
                  </w:r>
                </w:p>
                <w:p w14:paraId="41334049">
                  <w:pPr>
                    <w:pStyle w:val="30"/>
                    <w:kinsoku/>
                    <w:overflowPunct w:val="0"/>
                    <w:autoSpaceDE/>
                    <w:autoSpaceDN/>
                    <w:adjustRightInd/>
                    <w:snapToGrid/>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项目</w:t>
                  </w:r>
                </w:p>
              </w:tc>
              <w:tc>
                <w:tcPr>
                  <w:tcW w:w="3139" w:type="dxa"/>
                  <w:vAlign w:val="center"/>
                </w:tcPr>
                <w:p w14:paraId="4A32A569">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改性磷石膏</w:t>
                  </w:r>
                </w:p>
              </w:tc>
              <w:tc>
                <w:tcPr>
                  <w:tcW w:w="2718" w:type="dxa"/>
                  <w:vMerge w:val="restart"/>
                  <w:vAlign w:val="center"/>
                </w:tcPr>
                <w:p w14:paraId="35673BB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GB 8978-1996《污水综合排放标准》（含修改单）标准限值</w:t>
                  </w:r>
                </w:p>
              </w:tc>
              <w:tc>
                <w:tcPr>
                  <w:tcW w:w="637" w:type="dxa"/>
                  <w:vMerge w:val="restart"/>
                  <w:vAlign w:val="center"/>
                </w:tcPr>
                <w:p w14:paraId="76BF225D">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达标</w:t>
                  </w:r>
                </w:p>
                <w:p w14:paraId="608565FB">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情况</w:t>
                  </w:r>
                </w:p>
              </w:tc>
            </w:tr>
            <w:tr w14:paraId="7A517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Merge w:val="continue"/>
                  <w:tcBorders>
                    <w:tl2br w:val="single" w:color="000000" w:sz="4" w:space="0"/>
                  </w:tcBorders>
                  <w:vAlign w:val="center"/>
                </w:tcPr>
                <w:p w14:paraId="27CFF6C6">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3139" w:type="dxa"/>
                  <w:vAlign w:val="center"/>
                </w:tcPr>
                <w:p w14:paraId="7E4107C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20250923015-01</w:t>
                  </w:r>
                </w:p>
              </w:tc>
              <w:tc>
                <w:tcPr>
                  <w:tcW w:w="2718" w:type="dxa"/>
                  <w:vMerge w:val="continue"/>
                  <w:vAlign w:val="center"/>
                </w:tcPr>
                <w:p w14:paraId="352F3B6B">
                  <w:pPr>
                    <w:pStyle w:val="30"/>
                    <w:kinsoku/>
                    <w:overflowPunct w:val="0"/>
                    <w:autoSpaceDE/>
                    <w:autoSpaceDN/>
                    <w:adjustRightInd/>
                    <w:snapToGrid/>
                    <w:jc w:val="center"/>
                    <w:rPr>
                      <w:rFonts w:ascii="Times New Roman" w:hAnsi="Times New Roman" w:eastAsia="宋体" w:cs="Times New Roman"/>
                      <w:b/>
                      <w:bCs/>
                      <w:color w:val="auto"/>
                      <w:sz w:val="21"/>
                      <w:szCs w:val="21"/>
                    </w:rPr>
                  </w:pPr>
                </w:p>
              </w:tc>
              <w:tc>
                <w:tcPr>
                  <w:tcW w:w="637" w:type="dxa"/>
                  <w:vMerge w:val="continue"/>
                  <w:vAlign w:val="center"/>
                </w:tcPr>
                <w:p w14:paraId="1A528FD3">
                  <w:pPr>
                    <w:pStyle w:val="30"/>
                    <w:kinsoku/>
                    <w:overflowPunct w:val="0"/>
                    <w:autoSpaceDE/>
                    <w:autoSpaceDN/>
                    <w:adjustRightInd/>
                    <w:snapToGrid/>
                    <w:jc w:val="center"/>
                    <w:rPr>
                      <w:rFonts w:ascii="Times New Roman" w:hAnsi="Times New Roman" w:eastAsia="宋体" w:cs="Times New Roman"/>
                      <w:b/>
                      <w:bCs/>
                      <w:color w:val="auto"/>
                      <w:sz w:val="21"/>
                      <w:szCs w:val="21"/>
                    </w:rPr>
                  </w:pPr>
                </w:p>
              </w:tc>
            </w:tr>
            <w:tr w14:paraId="3D363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4F74F9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pH（无量纲）</w:t>
                  </w:r>
                </w:p>
              </w:tc>
              <w:tc>
                <w:tcPr>
                  <w:tcW w:w="3139" w:type="dxa"/>
                  <w:vAlign w:val="center"/>
                </w:tcPr>
                <w:p w14:paraId="7C63862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8.21</w:t>
                  </w:r>
                </w:p>
              </w:tc>
              <w:tc>
                <w:tcPr>
                  <w:tcW w:w="2718" w:type="dxa"/>
                  <w:vAlign w:val="center"/>
                </w:tcPr>
                <w:p w14:paraId="5B7296A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6-9</w:t>
                  </w:r>
                </w:p>
              </w:tc>
              <w:tc>
                <w:tcPr>
                  <w:tcW w:w="637" w:type="dxa"/>
                  <w:vAlign w:val="center"/>
                </w:tcPr>
                <w:p w14:paraId="4E52B38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75135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481E15A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总汞</w:t>
                  </w:r>
                </w:p>
              </w:tc>
              <w:tc>
                <w:tcPr>
                  <w:tcW w:w="3139" w:type="dxa"/>
                  <w:vAlign w:val="center"/>
                </w:tcPr>
                <w:p w14:paraId="65DA901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4.76×10</w:t>
                  </w:r>
                  <w:r>
                    <w:rPr>
                      <w:rFonts w:hint="eastAsia" w:ascii="Times New Roman" w:hAnsi="Times New Roman" w:eastAsia="宋体" w:cs="Times New Roman"/>
                      <w:color w:val="auto"/>
                      <w:vertAlign w:val="superscript"/>
                      <w:lang w:eastAsia="zh-CN"/>
                    </w:rPr>
                    <w:t>-3</w:t>
                  </w:r>
                </w:p>
              </w:tc>
              <w:tc>
                <w:tcPr>
                  <w:tcW w:w="2718" w:type="dxa"/>
                  <w:vAlign w:val="center"/>
                </w:tcPr>
                <w:p w14:paraId="3D9B4EC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≤0.05</w:t>
                  </w:r>
                </w:p>
              </w:tc>
              <w:tc>
                <w:tcPr>
                  <w:tcW w:w="637" w:type="dxa"/>
                  <w:vAlign w:val="center"/>
                </w:tcPr>
                <w:p w14:paraId="4BDF3F0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1756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206D5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总砷</w:t>
                  </w:r>
                </w:p>
              </w:tc>
              <w:tc>
                <w:tcPr>
                  <w:tcW w:w="3139" w:type="dxa"/>
                  <w:vAlign w:val="center"/>
                </w:tcPr>
                <w:p w14:paraId="0A85E94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2.10×10</w:t>
                  </w:r>
                  <w:r>
                    <w:rPr>
                      <w:rFonts w:hint="eastAsia" w:ascii="Times New Roman" w:hAnsi="Times New Roman" w:eastAsia="宋体" w:cs="Times New Roman"/>
                      <w:color w:val="auto"/>
                      <w:vertAlign w:val="superscript"/>
                      <w:lang w:eastAsia="zh-CN"/>
                    </w:rPr>
                    <w:t>-2</w:t>
                  </w:r>
                </w:p>
              </w:tc>
              <w:tc>
                <w:tcPr>
                  <w:tcW w:w="2718" w:type="dxa"/>
                  <w:vAlign w:val="center"/>
                </w:tcPr>
                <w:p w14:paraId="7537E14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7" w:type="dxa"/>
                  <w:vAlign w:val="center"/>
                </w:tcPr>
                <w:p w14:paraId="591239E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76610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EC80B2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总镉</w:t>
                  </w:r>
                </w:p>
              </w:tc>
              <w:tc>
                <w:tcPr>
                  <w:tcW w:w="3139" w:type="dxa"/>
                  <w:vAlign w:val="center"/>
                </w:tcPr>
                <w:p w14:paraId="574D788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&lt;1.2×10</w:t>
                  </w:r>
                  <w:r>
                    <w:rPr>
                      <w:rFonts w:hint="eastAsia" w:ascii="Times New Roman" w:hAnsi="Times New Roman" w:eastAsia="宋体" w:cs="Times New Roman"/>
                      <w:color w:val="auto"/>
                      <w:vertAlign w:val="superscript"/>
                      <w:lang w:eastAsia="zh-CN"/>
                    </w:rPr>
                    <w:t>-3</w:t>
                  </w:r>
                </w:p>
              </w:tc>
              <w:tc>
                <w:tcPr>
                  <w:tcW w:w="2718" w:type="dxa"/>
                  <w:vAlign w:val="center"/>
                </w:tcPr>
                <w:p w14:paraId="722096A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≤0.1</w:t>
                  </w:r>
                </w:p>
              </w:tc>
              <w:tc>
                <w:tcPr>
                  <w:tcW w:w="637" w:type="dxa"/>
                  <w:vAlign w:val="center"/>
                </w:tcPr>
                <w:p w14:paraId="1A7810F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1898A4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750034E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总铅</w:t>
                  </w:r>
                </w:p>
              </w:tc>
              <w:tc>
                <w:tcPr>
                  <w:tcW w:w="3139" w:type="dxa"/>
                  <w:vAlign w:val="center"/>
                </w:tcPr>
                <w:p w14:paraId="4362708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&lt;4.2×10</w:t>
                  </w:r>
                  <w:r>
                    <w:rPr>
                      <w:rFonts w:hint="eastAsia" w:ascii="Times New Roman" w:hAnsi="Times New Roman" w:eastAsia="宋体" w:cs="Times New Roman"/>
                      <w:color w:val="auto"/>
                      <w:vertAlign w:val="superscript"/>
                      <w:lang w:eastAsia="zh-CN"/>
                    </w:rPr>
                    <w:t>-3</w:t>
                  </w:r>
                </w:p>
              </w:tc>
              <w:tc>
                <w:tcPr>
                  <w:tcW w:w="2718" w:type="dxa"/>
                  <w:vAlign w:val="center"/>
                </w:tcPr>
                <w:p w14:paraId="0B60844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7" w:type="dxa"/>
                  <w:vAlign w:val="center"/>
                </w:tcPr>
                <w:p w14:paraId="6D7817C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401108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CA6F21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总铍</w:t>
                  </w:r>
                </w:p>
              </w:tc>
              <w:tc>
                <w:tcPr>
                  <w:tcW w:w="3139" w:type="dxa"/>
                  <w:vAlign w:val="center"/>
                </w:tcPr>
                <w:p w14:paraId="5EFDF915">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&lt;7×10</w:t>
                  </w:r>
                  <w:r>
                    <w:rPr>
                      <w:rFonts w:hint="eastAsia" w:ascii="Times New Roman" w:hAnsi="Times New Roman" w:eastAsia="宋体" w:cs="Times New Roman"/>
                      <w:color w:val="auto"/>
                      <w:vertAlign w:val="superscript"/>
                      <w:lang w:eastAsia="zh-CN"/>
                    </w:rPr>
                    <w:t>-4</w:t>
                  </w:r>
                </w:p>
              </w:tc>
              <w:tc>
                <w:tcPr>
                  <w:tcW w:w="2711" w:type="dxa"/>
                  <w:vAlign w:val="center"/>
                </w:tcPr>
                <w:p w14:paraId="2FEE201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≤0.005</w:t>
                  </w:r>
                </w:p>
              </w:tc>
              <w:tc>
                <w:tcPr>
                  <w:tcW w:w="636" w:type="dxa"/>
                  <w:vAlign w:val="center"/>
                </w:tcPr>
                <w:p w14:paraId="03DDF17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88FF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00770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总银</w:t>
                  </w:r>
                </w:p>
              </w:tc>
              <w:tc>
                <w:tcPr>
                  <w:tcW w:w="3139" w:type="dxa"/>
                  <w:vAlign w:val="center"/>
                </w:tcPr>
                <w:p w14:paraId="7F8357F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7.8×10</w:t>
                  </w:r>
                  <w:r>
                    <w:rPr>
                      <w:rFonts w:hint="eastAsia" w:ascii="Times New Roman" w:hAnsi="Times New Roman" w:eastAsia="宋体" w:cs="Times New Roman"/>
                      <w:color w:val="auto"/>
                      <w:vertAlign w:val="superscript"/>
                      <w:lang w:eastAsia="zh-CN"/>
                    </w:rPr>
                    <w:t>-3</w:t>
                  </w:r>
                </w:p>
              </w:tc>
              <w:tc>
                <w:tcPr>
                  <w:tcW w:w="2711" w:type="dxa"/>
                  <w:vAlign w:val="center"/>
                </w:tcPr>
                <w:p w14:paraId="2771DB4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7B862B8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1E828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1B1DE9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六价铬</w:t>
                  </w:r>
                </w:p>
              </w:tc>
              <w:tc>
                <w:tcPr>
                  <w:tcW w:w="3139" w:type="dxa"/>
                  <w:vAlign w:val="center"/>
                </w:tcPr>
                <w:p w14:paraId="5BED0D0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&lt;0.004</w:t>
                  </w:r>
                </w:p>
              </w:tc>
              <w:tc>
                <w:tcPr>
                  <w:tcW w:w="2711" w:type="dxa"/>
                  <w:vAlign w:val="center"/>
                </w:tcPr>
                <w:p w14:paraId="09A0E59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4679524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2F739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284CD5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氟化物</w:t>
                  </w:r>
                </w:p>
              </w:tc>
              <w:tc>
                <w:tcPr>
                  <w:tcW w:w="3139" w:type="dxa"/>
                  <w:vAlign w:val="center"/>
                </w:tcPr>
                <w:p w14:paraId="2EAC15A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3.47</w:t>
                  </w:r>
                </w:p>
              </w:tc>
              <w:tc>
                <w:tcPr>
                  <w:tcW w:w="2711" w:type="dxa"/>
                  <w:vAlign w:val="center"/>
                </w:tcPr>
                <w:p w14:paraId="02EF850F">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6" w:type="dxa"/>
                  <w:vAlign w:val="center"/>
                </w:tcPr>
                <w:p w14:paraId="4EBF424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0B594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508AD41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总铬</w:t>
                  </w:r>
                </w:p>
              </w:tc>
              <w:tc>
                <w:tcPr>
                  <w:tcW w:w="3139" w:type="dxa"/>
                  <w:vAlign w:val="center"/>
                </w:tcPr>
                <w:p w14:paraId="60264A7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&lt;0.02</w:t>
                  </w:r>
                </w:p>
              </w:tc>
              <w:tc>
                <w:tcPr>
                  <w:tcW w:w="2711" w:type="dxa"/>
                  <w:vAlign w:val="center"/>
                </w:tcPr>
                <w:p w14:paraId="0CF6C8A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636" w:type="dxa"/>
                  <w:vAlign w:val="center"/>
                </w:tcPr>
                <w:p w14:paraId="5D30A59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A43B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A96207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总镍</w:t>
                  </w:r>
                </w:p>
              </w:tc>
              <w:tc>
                <w:tcPr>
                  <w:tcW w:w="3139" w:type="dxa"/>
                  <w:vAlign w:val="center"/>
                </w:tcPr>
                <w:p w14:paraId="1C9E641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&lt;0.02</w:t>
                  </w:r>
                </w:p>
              </w:tc>
              <w:tc>
                <w:tcPr>
                  <w:tcW w:w="2711" w:type="dxa"/>
                  <w:vAlign w:val="center"/>
                </w:tcPr>
                <w:p w14:paraId="4245B0F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w:t>
                  </w:r>
                </w:p>
              </w:tc>
              <w:tc>
                <w:tcPr>
                  <w:tcW w:w="636" w:type="dxa"/>
                  <w:vAlign w:val="center"/>
                </w:tcPr>
                <w:p w14:paraId="21AFBA2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6B528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6AE6E1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总铜</w:t>
                  </w:r>
                </w:p>
              </w:tc>
              <w:tc>
                <w:tcPr>
                  <w:tcW w:w="3139" w:type="dxa"/>
                  <w:vAlign w:val="center"/>
                </w:tcPr>
                <w:p w14:paraId="3576CEE9">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&lt;0.01</w:t>
                  </w:r>
                </w:p>
              </w:tc>
              <w:tc>
                <w:tcPr>
                  <w:tcW w:w="2711" w:type="dxa"/>
                  <w:vAlign w:val="center"/>
                </w:tcPr>
                <w:p w14:paraId="6A77BAB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57806F8E">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5442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D7262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总锌</w:t>
                  </w:r>
                </w:p>
              </w:tc>
              <w:tc>
                <w:tcPr>
                  <w:tcW w:w="3139" w:type="dxa"/>
                  <w:vAlign w:val="center"/>
                </w:tcPr>
                <w:p w14:paraId="4069F97B">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&lt;0.01</w:t>
                  </w:r>
                </w:p>
              </w:tc>
              <w:tc>
                <w:tcPr>
                  <w:tcW w:w="2711" w:type="dxa"/>
                  <w:vAlign w:val="center"/>
                </w:tcPr>
                <w:p w14:paraId="248526A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≤2.0</w:t>
                  </w:r>
                </w:p>
              </w:tc>
              <w:tc>
                <w:tcPr>
                  <w:tcW w:w="636" w:type="dxa"/>
                  <w:vAlign w:val="center"/>
                </w:tcPr>
                <w:p w14:paraId="71A977F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39CEC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F0C1A3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磷酸盐</w:t>
                  </w:r>
                </w:p>
              </w:tc>
              <w:tc>
                <w:tcPr>
                  <w:tcW w:w="3139" w:type="dxa"/>
                  <w:vAlign w:val="center"/>
                </w:tcPr>
                <w:p w14:paraId="0498B12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0.03</w:t>
                  </w:r>
                </w:p>
              </w:tc>
              <w:tc>
                <w:tcPr>
                  <w:tcW w:w="2711" w:type="dxa"/>
                  <w:vAlign w:val="center"/>
                </w:tcPr>
                <w:p w14:paraId="67FFCFA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≤0.5</w:t>
                  </w:r>
                </w:p>
              </w:tc>
              <w:tc>
                <w:tcPr>
                  <w:tcW w:w="636" w:type="dxa"/>
                  <w:vAlign w:val="center"/>
                </w:tcPr>
                <w:p w14:paraId="3312A6D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2AD0B9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6993E2E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化学需氧量</w:t>
                  </w:r>
                </w:p>
              </w:tc>
              <w:tc>
                <w:tcPr>
                  <w:tcW w:w="3139" w:type="dxa"/>
                  <w:vAlign w:val="center"/>
                </w:tcPr>
                <w:p w14:paraId="07CB9CC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2711" w:type="dxa"/>
                  <w:vAlign w:val="center"/>
                </w:tcPr>
                <w:p w14:paraId="6B9184F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≤100</w:t>
                  </w:r>
                </w:p>
              </w:tc>
              <w:tc>
                <w:tcPr>
                  <w:tcW w:w="636" w:type="dxa"/>
                  <w:vAlign w:val="center"/>
                </w:tcPr>
                <w:p w14:paraId="18F198C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057BD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2F04068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氨氮</w:t>
                  </w:r>
                </w:p>
              </w:tc>
              <w:tc>
                <w:tcPr>
                  <w:tcW w:w="3139" w:type="dxa"/>
                  <w:vAlign w:val="center"/>
                </w:tcPr>
                <w:p w14:paraId="330BF71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0.930</w:t>
                  </w:r>
                </w:p>
              </w:tc>
              <w:tc>
                <w:tcPr>
                  <w:tcW w:w="2711" w:type="dxa"/>
                  <w:vAlign w:val="center"/>
                </w:tcPr>
                <w:p w14:paraId="38FAFB2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≤15</w:t>
                  </w:r>
                </w:p>
              </w:tc>
              <w:tc>
                <w:tcPr>
                  <w:tcW w:w="636" w:type="dxa"/>
                  <w:vAlign w:val="center"/>
                </w:tcPr>
                <w:p w14:paraId="23CB1CC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A89F2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18633D7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苯并[a]芘</w:t>
                  </w:r>
                </w:p>
              </w:tc>
              <w:tc>
                <w:tcPr>
                  <w:tcW w:w="3139" w:type="dxa"/>
                  <w:vAlign w:val="center"/>
                </w:tcPr>
                <w:p w14:paraId="1AA6C5C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&lt;4×10</w:t>
                  </w:r>
                  <w:r>
                    <w:rPr>
                      <w:rFonts w:hint="eastAsia" w:ascii="Times New Roman" w:hAnsi="Times New Roman" w:eastAsia="宋体" w:cs="Times New Roman"/>
                      <w:color w:val="auto"/>
                      <w:vertAlign w:val="superscript"/>
                      <w:lang w:eastAsia="zh-CN"/>
                    </w:rPr>
                    <w:t>-6</w:t>
                  </w:r>
                </w:p>
              </w:tc>
              <w:tc>
                <w:tcPr>
                  <w:tcW w:w="2711" w:type="dxa"/>
                  <w:vAlign w:val="center"/>
                </w:tcPr>
                <w:p w14:paraId="4766DC03">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≤0.00003</w:t>
                  </w:r>
                </w:p>
              </w:tc>
              <w:tc>
                <w:tcPr>
                  <w:tcW w:w="636" w:type="dxa"/>
                  <w:vAlign w:val="center"/>
                </w:tcPr>
                <w:p w14:paraId="3308DF2B">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达标</w:t>
                  </w:r>
                </w:p>
              </w:tc>
            </w:tr>
            <w:tr w14:paraId="5D343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49" w:type="dxa"/>
                  <w:vMerge w:val="restart"/>
                  <w:vAlign w:val="center"/>
                </w:tcPr>
                <w:p w14:paraId="77D5CD5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烷基汞</w:t>
                  </w:r>
                </w:p>
                <w:p w14:paraId="097094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（ng/L）</w:t>
                  </w:r>
                </w:p>
              </w:tc>
              <w:tc>
                <w:tcPr>
                  <w:tcW w:w="1068" w:type="dxa"/>
                  <w:vAlign w:val="center"/>
                </w:tcPr>
                <w:p w14:paraId="61DCD58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甲基汞</w:t>
                  </w:r>
                </w:p>
              </w:tc>
              <w:tc>
                <w:tcPr>
                  <w:tcW w:w="3139" w:type="dxa"/>
                  <w:vAlign w:val="center"/>
                </w:tcPr>
                <w:p w14:paraId="72A24D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10L</w:t>
                  </w:r>
                </w:p>
              </w:tc>
              <w:tc>
                <w:tcPr>
                  <w:tcW w:w="2718" w:type="dxa"/>
                  <w:vMerge w:val="restart"/>
                  <w:vAlign w:val="center"/>
                </w:tcPr>
                <w:p w14:paraId="66124B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不得检出</w:t>
                  </w:r>
                </w:p>
              </w:tc>
              <w:tc>
                <w:tcPr>
                  <w:tcW w:w="636" w:type="dxa"/>
                  <w:vAlign w:val="center"/>
                </w:tcPr>
                <w:p w14:paraId="0398617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2B7A0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49" w:type="dxa"/>
                  <w:vMerge w:val="continue"/>
                  <w:vAlign w:val="center"/>
                </w:tcPr>
                <w:p w14:paraId="558A36A3">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068" w:type="dxa"/>
                  <w:vAlign w:val="center"/>
                </w:tcPr>
                <w:p w14:paraId="7D5AC98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乙基汞</w:t>
                  </w:r>
                </w:p>
              </w:tc>
              <w:tc>
                <w:tcPr>
                  <w:tcW w:w="3139" w:type="dxa"/>
                  <w:vAlign w:val="center"/>
                </w:tcPr>
                <w:p w14:paraId="24957BC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20L</w:t>
                  </w:r>
                </w:p>
              </w:tc>
              <w:tc>
                <w:tcPr>
                  <w:tcW w:w="2718" w:type="dxa"/>
                  <w:vMerge w:val="continue"/>
                  <w:vAlign w:val="center"/>
                </w:tcPr>
                <w:p w14:paraId="67379065">
                  <w:pPr>
                    <w:kinsoku/>
                    <w:overflowPunct w:val="0"/>
                    <w:autoSpaceDE/>
                    <w:autoSpaceDN/>
                    <w:adjustRightInd/>
                    <w:snapToGrid/>
                    <w:jc w:val="center"/>
                    <w:rPr>
                      <w:rFonts w:ascii="Times New Roman" w:hAnsi="Times New Roman" w:eastAsia="宋体" w:cs="Times New Roman"/>
                      <w:color w:val="auto"/>
                    </w:rPr>
                  </w:pPr>
                </w:p>
              </w:tc>
              <w:tc>
                <w:tcPr>
                  <w:tcW w:w="636" w:type="dxa"/>
                  <w:vAlign w:val="center"/>
                </w:tcPr>
                <w:p w14:paraId="73A088B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100DB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022BE82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总α放射性（Bq/L）</w:t>
                  </w:r>
                </w:p>
              </w:tc>
              <w:tc>
                <w:tcPr>
                  <w:tcW w:w="3139" w:type="dxa"/>
                  <w:vAlign w:val="center"/>
                </w:tcPr>
                <w:p w14:paraId="494CF780">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0.043L</w:t>
                  </w:r>
                </w:p>
              </w:tc>
              <w:tc>
                <w:tcPr>
                  <w:tcW w:w="2711" w:type="dxa"/>
                  <w:vAlign w:val="center"/>
                </w:tcPr>
                <w:p w14:paraId="5CF773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636" w:type="dxa"/>
                  <w:vAlign w:val="center"/>
                </w:tcPr>
                <w:p w14:paraId="71B57EA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达标</w:t>
                  </w:r>
                </w:p>
              </w:tc>
            </w:tr>
            <w:tr w14:paraId="69F46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17" w:type="dxa"/>
                  <w:gridSpan w:val="2"/>
                  <w:vAlign w:val="center"/>
                </w:tcPr>
                <w:p w14:paraId="390BC9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总β放射性（Bq/L）</w:t>
                  </w:r>
                </w:p>
              </w:tc>
              <w:tc>
                <w:tcPr>
                  <w:tcW w:w="3139" w:type="dxa"/>
                  <w:vAlign w:val="center"/>
                </w:tcPr>
                <w:p w14:paraId="7B61E6B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0.021</w:t>
                  </w:r>
                </w:p>
              </w:tc>
              <w:tc>
                <w:tcPr>
                  <w:tcW w:w="2711" w:type="dxa"/>
                  <w:vAlign w:val="center"/>
                </w:tcPr>
                <w:p w14:paraId="2F05AE0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636" w:type="dxa"/>
                  <w:vAlign w:val="center"/>
                </w:tcPr>
                <w:p w14:paraId="316FB90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bl>
          <w:p w14:paraId="1F394BAB">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上表</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项目利用的路用</w:t>
            </w:r>
            <w:r>
              <w:rPr>
                <w:rFonts w:ascii="Times New Roman" w:hAnsi="Times New Roman" w:eastAsia="宋体" w:cs="Times New Roman"/>
                <w:color w:val="auto"/>
                <w:sz w:val="24"/>
                <w:szCs w:val="24"/>
                <w:lang w:eastAsia="zh-CN"/>
              </w:rPr>
              <w:t>改性磷石膏按照</w:t>
            </w:r>
            <w:r>
              <w:rPr>
                <w:rFonts w:hint="eastAsia" w:ascii="Times New Roman" w:hAnsi="Times New Roman" w:eastAsia="宋体" w:cs="Times New Roman"/>
                <w:color w:val="auto"/>
                <w:sz w:val="24"/>
                <w:szCs w:val="24"/>
                <w:lang w:eastAsia="zh-CN"/>
              </w:rPr>
              <w:t>《固体废物 浸出毒性浸出方法 水平振荡法》（HJ557-2010）</w:t>
            </w:r>
            <w:r>
              <w:rPr>
                <w:rFonts w:ascii="Times New Roman" w:hAnsi="Times New Roman" w:eastAsia="宋体" w:cs="Times New Roman"/>
                <w:color w:val="auto"/>
                <w:sz w:val="24"/>
                <w:szCs w:val="24"/>
                <w:lang w:eastAsia="zh-CN"/>
              </w:rPr>
              <w:t>制备的浸出液中，污染物的浓度均未超过《污水综合排放标准》</w:t>
            </w:r>
            <w:r>
              <w:rPr>
                <w:rFonts w:hint="eastAsia" w:ascii="Times New Roman" w:hAnsi="Times New Roman" w:eastAsia="宋体" w:cs="Times New Roman"/>
                <w:color w:val="auto"/>
                <w:sz w:val="24"/>
                <w:szCs w:val="24"/>
                <w:lang w:eastAsia="zh-CN"/>
              </w:rPr>
              <w:t>（含修改单）</w:t>
            </w:r>
            <w:r>
              <w:rPr>
                <w:rFonts w:ascii="Times New Roman" w:hAnsi="Times New Roman" w:eastAsia="宋体" w:cs="Times New Roman"/>
                <w:color w:val="auto"/>
                <w:sz w:val="24"/>
                <w:szCs w:val="24"/>
                <w:lang w:eastAsia="zh-CN"/>
              </w:rPr>
              <w:t>（GB</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8978-1996）</w:t>
            </w:r>
            <w:r>
              <w:rPr>
                <w:rFonts w:hint="eastAsia" w:ascii="Times New Roman" w:hAnsi="Times New Roman" w:eastAsia="宋体" w:cs="Times New Roman"/>
                <w:color w:val="auto"/>
                <w:sz w:val="24"/>
                <w:szCs w:val="24"/>
                <w:lang w:eastAsia="zh-CN"/>
              </w:rPr>
              <w:t>表1第一类污染物</w:t>
            </w:r>
            <w:r>
              <w:rPr>
                <w:rFonts w:ascii="Times New Roman" w:hAnsi="Times New Roman" w:eastAsia="宋体" w:cs="Times New Roman"/>
                <w:color w:val="auto"/>
                <w:sz w:val="24"/>
                <w:szCs w:val="24"/>
                <w:lang w:eastAsia="zh-CN"/>
              </w:rPr>
              <w:t>最高允许排放浓度</w:t>
            </w:r>
            <w:r>
              <w:rPr>
                <w:rFonts w:hint="eastAsia" w:ascii="Times New Roman" w:hAnsi="Times New Roman" w:eastAsia="宋体" w:cs="Times New Roman"/>
                <w:color w:val="auto"/>
                <w:sz w:val="24"/>
                <w:szCs w:val="24"/>
                <w:lang w:eastAsia="zh-CN"/>
              </w:rPr>
              <w:t>及表4一级标准限值</w:t>
            </w:r>
            <w:r>
              <w:rPr>
                <w:rFonts w:ascii="Times New Roman" w:hAnsi="Times New Roman" w:eastAsia="宋体" w:cs="Times New Roman"/>
                <w:color w:val="auto"/>
                <w:sz w:val="24"/>
                <w:szCs w:val="24"/>
                <w:lang w:eastAsia="zh-CN"/>
              </w:rPr>
              <w:t>。因此，本项目使用的改性磷石膏</w:t>
            </w:r>
            <w:r>
              <w:rPr>
                <w:rFonts w:hint="eastAsia" w:ascii="Times New Roman" w:hAnsi="Times New Roman" w:eastAsia="宋体" w:cs="Times New Roman"/>
                <w:color w:val="auto"/>
                <w:sz w:val="24"/>
                <w:szCs w:val="24"/>
                <w:lang w:eastAsia="zh-CN"/>
              </w:rPr>
              <w:t>满足《一般工业固体废物贮存和填埋污染控制标准》（GB 18599-2020）中</w:t>
            </w:r>
            <w:r>
              <w:rPr>
                <w:rFonts w:hint="eastAsia" w:ascii="Times New Roman" w:hAnsi="Times New Roman" w:eastAsia="宋体" w:cs="Times New Roman"/>
                <w:snapToGrid/>
                <w:color w:val="auto"/>
                <w:kern w:val="2"/>
                <w:sz w:val="24"/>
                <w:szCs w:val="24"/>
                <w:lang w:eastAsia="zh-CN" w:bidi="ar"/>
              </w:rPr>
              <w:t>界定的第Ⅰ类一般工业固体废物的要求，满足</w:t>
            </w:r>
            <w:r>
              <w:rPr>
                <w:rFonts w:ascii="Times New Roman" w:hAnsi="Times New Roman" w:eastAsia="宋体" w:cs="Times New Roman"/>
                <w:snapToGrid/>
                <w:color w:val="auto"/>
                <w:kern w:val="2"/>
                <w:sz w:val="24"/>
                <w:szCs w:val="24"/>
                <w:lang w:eastAsia="zh-CN" w:bidi="ar"/>
              </w:rPr>
              <w:t>《磷石膏利用和无害化贮存污染控制技术规范》（HJ</w:t>
            </w:r>
            <w:r>
              <w:rPr>
                <w:rFonts w:hint="eastAsia" w:cs="Times New Roman"/>
                <w:snapToGrid/>
                <w:color w:val="auto"/>
                <w:kern w:val="2"/>
                <w:sz w:val="24"/>
                <w:szCs w:val="24"/>
                <w:lang w:val="en-US" w:eastAsia="zh-CN" w:bidi="ar"/>
              </w:rPr>
              <w:t xml:space="preserve"> </w:t>
            </w:r>
            <w:r>
              <w:rPr>
                <w:rFonts w:ascii="Times New Roman" w:hAnsi="Times New Roman" w:eastAsia="宋体" w:cs="Times New Roman"/>
                <w:snapToGrid/>
                <w:color w:val="auto"/>
                <w:kern w:val="2"/>
                <w:sz w:val="24"/>
                <w:szCs w:val="24"/>
                <w:lang w:eastAsia="zh-CN" w:bidi="ar"/>
              </w:rPr>
              <w:t>1415-2025）</w:t>
            </w:r>
            <w:r>
              <w:rPr>
                <w:rFonts w:hint="eastAsia" w:ascii="Times New Roman" w:hAnsi="Times New Roman" w:eastAsia="宋体" w:cs="Times New Roman"/>
                <w:snapToGrid/>
                <w:color w:val="auto"/>
                <w:kern w:val="2"/>
                <w:sz w:val="24"/>
                <w:szCs w:val="24"/>
                <w:lang w:eastAsia="zh-CN" w:bidi="ar"/>
              </w:rPr>
              <w:t>，对筑路利用的要求</w:t>
            </w:r>
            <w:r>
              <w:rPr>
                <w:rFonts w:hint="eastAsia" w:cs="Times New Roman"/>
                <w:snapToGrid/>
                <w:color w:val="auto"/>
                <w:kern w:val="2"/>
                <w:sz w:val="24"/>
                <w:szCs w:val="24"/>
                <w:lang w:val="en-US" w:eastAsia="zh-CN" w:bidi="ar"/>
              </w:rPr>
              <w:t>和</w:t>
            </w:r>
            <w:r>
              <w:rPr>
                <w:rFonts w:hint="eastAsia" w:ascii="Times New Roman" w:hAnsi="Times New Roman" w:eastAsia="宋体" w:cs="Times New Roman"/>
                <w:snapToGrid/>
                <w:color w:val="auto"/>
                <w:kern w:val="2"/>
                <w:sz w:val="24"/>
                <w:szCs w:val="24"/>
                <w:lang w:eastAsia="zh-CN" w:bidi="ar"/>
              </w:rPr>
              <w:t>《路用改性磷石膏》（JT/T 1551-2025）中4.1原材料 4.1.1磷石膏</w:t>
            </w:r>
            <w:r>
              <w:rPr>
                <w:rFonts w:hint="eastAsia" w:cs="Times New Roman"/>
                <w:snapToGrid/>
                <w:color w:val="auto"/>
                <w:kern w:val="2"/>
                <w:sz w:val="24"/>
                <w:szCs w:val="24"/>
                <w:lang w:val="en-US" w:eastAsia="zh-CN" w:bidi="ar"/>
              </w:rPr>
              <w:t>要求</w:t>
            </w:r>
            <w:r>
              <w:rPr>
                <w:rFonts w:hint="eastAsia" w:ascii="Times New Roman" w:hAnsi="Times New Roman" w:eastAsia="宋体" w:cs="Times New Roman"/>
                <w:color w:val="auto"/>
                <w:sz w:val="24"/>
                <w:szCs w:val="24"/>
                <w:lang w:eastAsia="zh-CN"/>
              </w:rPr>
              <w:t>。</w:t>
            </w:r>
          </w:p>
          <w:p w14:paraId="3E959977">
            <w:pPr>
              <w:pStyle w:val="30"/>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baseline"/>
              <w:rPr>
                <w:rFonts w:ascii="Times New Roman" w:hAnsi="Times New Roman" w:eastAsia="宋体" w:cs="Times New Roman"/>
                <w:snapToGrid/>
                <w:color w:val="auto"/>
                <w:kern w:val="2"/>
                <w:sz w:val="24"/>
                <w:szCs w:val="24"/>
                <w:lang w:eastAsia="zh-CN" w:bidi="ar"/>
              </w:rPr>
            </w:pPr>
            <w:r>
              <w:rPr>
                <w:rFonts w:ascii="Times New Roman" w:hAnsi="Times New Roman" w:eastAsia="宋体" w:cs="Times New Roman"/>
                <w:snapToGrid/>
                <w:color w:val="auto"/>
                <w:kern w:val="2"/>
                <w:sz w:val="24"/>
                <w:szCs w:val="24"/>
                <w:lang w:eastAsia="zh-CN" w:bidi="ar"/>
              </w:rPr>
              <w:t>根据中化云龙有限公司提供的</w:t>
            </w:r>
            <w:r>
              <w:rPr>
                <w:rFonts w:hint="eastAsia" w:ascii="Times New Roman" w:hAnsi="Times New Roman" w:eastAsia="宋体" w:cs="Times New Roman"/>
                <w:snapToGrid/>
                <w:color w:val="auto"/>
                <w:kern w:val="2"/>
                <w:sz w:val="24"/>
                <w:szCs w:val="24"/>
                <w:lang w:eastAsia="zh-CN" w:bidi="ar"/>
              </w:rPr>
              <w:t>改性磷石膏产品合格证（附件</w:t>
            </w:r>
            <w:r>
              <w:rPr>
                <w:rFonts w:hint="eastAsia" w:cs="Times New Roman"/>
                <w:snapToGrid/>
                <w:color w:val="auto"/>
                <w:kern w:val="2"/>
                <w:sz w:val="24"/>
                <w:szCs w:val="24"/>
                <w:lang w:val="en-US" w:eastAsia="zh-CN" w:bidi="ar"/>
              </w:rPr>
              <w:t>9</w:t>
            </w:r>
            <w:r>
              <w:rPr>
                <w:rFonts w:hint="eastAsia" w:ascii="Times New Roman" w:hAnsi="Times New Roman" w:eastAsia="宋体" w:cs="Times New Roman"/>
                <w:snapToGrid/>
                <w:color w:val="auto"/>
                <w:kern w:val="2"/>
                <w:sz w:val="24"/>
                <w:szCs w:val="24"/>
                <w:lang w:eastAsia="zh-CN" w:bidi="ar"/>
              </w:rPr>
              <w:t>），其中三氧化硫质量分数为41.76%，根据分子质量换算可得二水硫酸钙质量分数为89.8%，具体数据见下表。</w:t>
            </w:r>
          </w:p>
          <w:p w14:paraId="1CD6C12B">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w:t>
            </w:r>
            <w:r>
              <w:rPr>
                <w:rFonts w:hint="eastAsia" w:cs="Times New Roman"/>
                <w:b/>
                <w:snapToGrid/>
                <w:color w:val="auto"/>
                <w:kern w:val="2"/>
                <w:sz w:val="24"/>
                <w:szCs w:val="24"/>
                <w:lang w:val="en-US" w:eastAsia="zh-CN" w:bidi="ar"/>
              </w:rPr>
              <w:t>0</w:t>
            </w:r>
            <w:r>
              <w:rPr>
                <w:rFonts w:hint="eastAsia" w:ascii="Times New Roman" w:hAnsi="Times New Roman" w:eastAsia="宋体" w:cs="Times New Roman"/>
                <w:b/>
                <w:snapToGrid/>
                <w:color w:val="auto"/>
                <w:kern w:val="2"/>
                <w:sz w:val="24"/>
                <w:szCs w:val="24"/>
                <w:lang w:eastAsia="zh-CN" w:bidi="ar"/>
              </w:rPr>
              <w:t xml:space="preserve"> 改性磷石膏产品合格证数据一览表  单位：%</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1289"/>
              <w:gridCol w:w="1810"/>
              <w:gridCol w:w="1549"/>
              <w:gridCol w:w="1545"/>
              <w:gridCol w:w="645"/>
            </w:tblGrid>
            <w:tr w14:paraId="7BD3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6B6DDE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项目</w:t>
                  </w:r>
                </w:p>
              </w:tc>
              <w:tc>
                <w:tcPr>
                  <w:tcW w:w="1289" w:type="dxa"/>
                  <w:vAlign w:val="center"/>
                </w:tcPr>
                <w:p w14:paraId="29042B6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改性磷石膏</w:t>
                  </w:r>
                </w:p>
              </w:tc>
              <w:tc>
                <w:tcPr>
                  <w:tcW w:w="1810" w:type="dxa"/>
                  <w:vAlign w:val="center"/>
                </w:tcPr>
                <w:p w14:paraId="6E3183D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《磷石膏的处理处置规范》（GB/T 32124-2024）筑路材料</w:t>
                  </w:r>
                </w:p>
              </w:tc>
              <w:tc>
                <w:tcPr>
                  <w:tcW w:w="1549" w:type="dxa"/>
                  <w:vAlign w:val="center"/>
                </w:tcPr>
                <w:p w14:paraId="49F0102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《路用改性磷石膏》（JT/T 1551-2025）4.2 路用改性磷石膏C类</w:t>
                  </w:r>
                </w:p>
              </w:tc>
              <w:tc>
                <w:tcPr>
                  <w:tcW w:w="1545" w:type="dxa"/>
                  <w:vAlign w:val="center"/>
                </w:tcPr>
                <w:p w14:paraId="77D3B2A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《高速公路基层磷石膏应用技术规范》（DB53/T 1359-2025）</w:t>
                  </w:r>
                </w:p>
              </w:tc>
              <w:tc>
                <w:tcPr>
                  <w:tcW w:w="645" w:type="dxa"/>
                  <w:vAlign w:val="center"/>
                </w:tcPr>
                <w:p w14:paraId="4FC43C2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snapToGrid/>
                      <w:color w:val="auto"/>
                      <w:kern w:val="2"/>
                      <w:sz w:val="21"/>
                      <w:szCs w:val="21"/>
                      <w:lang w:eastAsia="zh-CN" w:bidi="ar"/>
                    </w:rPr>
                  </w:pPr>
                  <w:r>
                    <w:rPr>
                      <w:rFonts w:hint="eastAsia" w:ascii="Times New Roman" w:hAnsi="Times New Roman" w:eastAsia="宋体" w:cs="Times New Roman"/>
                      <w:b/>
                      <w:bCs/>
                      <w:snapToGrid/>
                      <w:color w:val="auto"/>
                      <w:kern w:val="2"/>
                      <w:sz w:val="21"/>
                      <w:szCs w:val="21"/>
                      <w:lang w:eastAsia="zh-CN" w:bidi="ar"/>
                    </w:rPr>
                    <w:t>达标情况</w:t>
                  </w:r>
                </w:p>
              </w:tc>
            </w:tr>
            <w:tr w14:paraId="1C85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2D32C86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外观</w:t>
                  </w:r>
                </w:p>
              </w:tc>
              <w:tc>
                <w:tcPr>
                  <w:tcW w:w="1289" w:type="dxa"/>
                  <w:vAlign w:val="center"/>
                </w:tcPr>
                <w:p w14:paraId="75BB69C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val="0"/>
                      <w:bCs w:val="0"/>
                      <w:snapToGrid/>
                      <w:color w:val="auto"/>
                      <w:kern w:val="2"/>
                      <w:sz w:val="21"/>
                      <w:szCs w:val="21"/>
                      <w:lang w:eastAsia="zh-CN" w:bidi="ar"/>
                    </w:rPr>
                  </w:pPr>
                  <w:r>
                    <w:rPr>
                      <w:rFonts w:hint="eastAsia" w:ascii="Times New Roman" w:hAnsi="Times New Roman" w:eastAsia="宋体" w:cs="Times New Roman"/>
                      <w:b w:val="0"/>
                      <w:bCs w:val="0"/>
                      <w:snapToGrid/>
                      <w:color w:val="auto"/>
                      <w:kern w:val="2"/>
                      <w:sz w:val="21"/>
                      <w:szCs w:val="21"/>
                      <w:lang w:eastAsia="zh-CN" w:bidi="ar"/>
                    </w:rPr>
                    <w:t>粉状疏松物，均匀，无杂质</w:t>
                  </w:r>
                </w:p>
              </w:tc>
              <w:tc>
                <w:tcPr>
                  <w:tcW w:w="1810" w:type="dxa"/>
                  <w:vAlign w:val="center"/>
                </w:tcPr>
                <w:p w14:paraId="4FC3187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w:t>
                  </w:r>
                </w:p>
              </w:tc>
              <w:tc>
                <w:tcPr>
                  <w:tcW w:w="1549" w:type="dxa"/>
                  <w:vAlign w:val="center"/>
                </w:tcPr>
                <w:p w14:paraId="6BC0C01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粉状疏松物，均匀，无杂质</w:t>
                  </w:r>
                </w:p>
              </w:tc>
              <w:tc>
                <w:tcPr>
                  <w:tcW w:w="1545" w:type="dxa"/>
                  <w:vAlign w:val="center"/>
                </w:tcPr>
                <w:p w14:paraId="31B20D9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w:t>
                  </w:r>
                </w:p>
              </w:tc>
              <w:tc>
                <w:tcPr>
                  <w:tcW w:w="645" w:type="dxa"/>
                  <w:vAlign w:val="center"/>
                </w:tcPr>
                <w:p w14:paraId="072631E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达标</w:t>
                  </w:r>
                </w:p>
              </w:tc>
            </w:tr>
            <w:tr w14:paraId="17B2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007B777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pH</w:t>
                  </w:r>
                </w:p>
              </w:tc>
              <w:tc>
                <w:tcPr>
                  <w:tcW w:w="1289" w:type="dxa"/>
                  <w:vAlign w:val="center"/>
                </w:tcPr>
                <w:p w14:paraId="4DA228BA">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7.69</w:t>
                  </w:r>
                </w:p>
              </w:tc>
              <w:tc>
                <w:tcPr>
                  <w:tcW w:w="1810" w:type="dxa"/>
                  <w:vAlign w:val="center"/>
                </w:tcPr>
                <w:p w14:paraId="3A6279D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w:t>
                  </w:r>
                </w:p>
              </w:tc>
              <w:tc>
                <w:tcPr>
                  <w:tcW w:w="1549" w:type="dxa"/>
                  <w:vAlign w:val="center"/>
                </w:tcPr>
                <w:p w14:paraId="3D9F2B4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b w:val="0"/>
                      <w:bCs w:val="0"/>
                      <w:color w:val="auto"/>
                      <w:sz w:val="21"/>
                      <w:szCs w:val="21"/>
                      <w:lang w:eastAsia="zh-CN"/>
                    </w:rPr>
                  </w:pPr>
                  <w:r>
                    <w:rPr>
                      <w:rFonts w:hint="eastAsia" w:ascii="Times New Roman" w:hAnsi="Times New Roman" w:eastAsia="宋体" w:cs="Times New Roman"/>
                      <w:b w:val="0"/>
                      <w:bCs w:val="0"/>
                      <w:color w:val="auto"/>
                      <w:sz w:val="21"/>
                      <w:szCs w:val="21"/>
                      <w:lang w:eastAsia="zh-CN"/>
                    </w:rPr>
                    <w:t>≥7.0</w:t>
                  </w:r>
                </w:p>
              </w:tc>
              <w:tc>
                <w:tcPr>
                  <w:tcW w:w="1545" w:type="dxa"/>
                  <w:vAlign w:val="center"/>
                </w:tcPr>
                <w:p w14:paraId="2AAF123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w:t>
                  </w:r>
                </w:p>
              </w:tc>
              <w:tc>
                <w:tcPr>
                  <w:tcW w:w="645" w:type="dxa"/>
                  <w:vAlign w:val="center"/>
                </w:tcPr>
                <w:p w14:paraId="0749121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cs="Times New Roman"/>
                      <w:b w:val="0"/>
                      <w:bCs w:val="0"/>
                      <w:snapToGrid/>
                      <w:color w:val="auto"/>
                      <w:kern w:val="2"/>
                      <w:sz w:val="21"/>
                      <w:szCs w:val="21"/>
                      <w:lang w:val="en-US" w:eastAsia="zh-CN" w:bidi="ar"/>
                    </w:rPr>
                  </w:pPr>
                  <w:r>
                    <w:rPr>
                      <w:rFonts w:hint="eastAsia" w:cs="Times New Roman"/>
                      <w:b w:val="0"/>
                      <w:bCs w:val="0"/>
                      <w:snapToGrid/>
                      <w:color w:val="auto"/>
                      <w:kern w:val="2"/>
                      <w:sz w:val="21"/>
                      <w:szCs w:val="21"/>
                      <w:lang w:val="en-US" w:eastAsia="zh-CN" w:bidi="ar"/>
                    </w:rPr>
                    <w:t>达标</w:t>
                  </w:r>
                </w:p>
              </w:tc>
            </w:tr>
            <w:tr w14:paraId="33579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1A2590E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二水硫酸钙</w:t>
                  </w:r>
                </w:p>
              </w:tc>
              <w:tc>
                <w:tcPr>
                  <w:tcW w:w="1289" w:type="dxa"/>
                  <w:vAlign w:val="center"/>
                </w:tcPr>
                <w:p w14:paraId="5A7EAC7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ascii="Times New Roman" w:hAnsi="Times New Roman" w:eastAsia="宋体" w:cs="Times New Roman"/>
                      <w:snapToGrid/>
                      <w:color w:val="auto"/>
                      <w:kern w:val="2"/>
                      <w:sz w:val="21"/>
                      <w:szCs w:val="21"/>
                      <w:lang w:eastAsia="zh-CN" w:bidi="ar"/>
                    </w:rPr>
                    <w:t>89.8</w:t>
                  </w:r>
                </w:p>
              </w:tc>
              <w:tc>
                <w:tcPr>
                  <w:tcW w:w="1810" w:type="dxa"/>
                  <w:vAlign w:val="center"/>
                </w:tcPr>
                <w:p w14:paraId="52A4F00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≥65</w:t>
                  </w:r>
                </w:p>
              </w:tc>
              <w:tc>
                <w:tcPr>
                  <w:tcW w:w="1549" w:type="dxa"/>
                  <w:vAlign w:val="center"/>
                </w:tcPr>
                <w:p w14:paraId="1B942CF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≥70</w:t>
                  </w:r>
                </w:p>
              </w:tc>
              <w:tc>
                <w:tcPr>
                  <w:tcW w:w="1545" w:type="dxa"/>
                  <w:vAlign w:val="center"/>
                </w:tcPr>
                <w:p w14:paraId="350DAD88">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≥65</w:t>
                  </w:r>
                </w:p>
              </w:tc>
              <w:tc>
                <w:tcPr>
                  <w:tcW w:w="645" w:type="dxa"/>
                  <w:vAlign w:val="center"/>
                </w:tcPr>
                <w:p w14:paraId="4B83D8C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2AC28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6C693799">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附着水</w:t>
                  </w:r>
                </w:p>
              </w:tc>
              <w:tc>
                <w:tcPr>
                  <w:tcW w:w="1289" w:type="dxa"/>
                  <w:vAlign w:val="center"/>
                </w:tcPr>
                <w:p w14:paraId="26C3751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10.58</w:t>
                  </w:r>
                </w:p>
              </w:tc>
              <w:tc>
                <w:tcPr>
                  <w:tcW w:w="1810" w:type="dxa"/>
                  <w:vAlign w:val="center"/>
                </w:tcPr>
                <w:p w14:paraId="3406222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sz w:val="21"/>
                      <w:szCs w:val="21"/>
                      <w:lang w:eastAsia="zh-CN"/>
                    </w:rPr>
                    <w:t>≤25</w:t>
                  </w:r>
                </w:p>
              </w:tc>
              <w:tc>
                <w:tcPr>
                  <w:tcW w:w="1549" w:type="dxa"/>
                  <w:vAlign w:val="center"/>
                </w:tcPr>
                <w:p w14:paraId="0E7DFB2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default" w:ascii="Times New Roman" w:hAnsi="Times New Roman" w:eastAsia="宋体" w:cs="Times New Roman"/>
                      <w:snapToGrid/>
                      <w:color w:val="auto"/>
                      <w:kern w:val="2"/>
                      <w:sz w:val="21"/>
                      <w:szCs w:val="21"/>
                      <w:lang w:val="en-US" w:eastAsia="zh-CN" w:bidi="ar"/>
                    </w:rPr>
                    <w:t>≤20</w:t>
                  </w:r>
                </w:p>
              </w:tc>
              <w:tc>
                <w:tcPr>
                  <w:tcW w:w="1545" w:type="dxa"/>
                  <w:vAlign w:val="center"/>
                </w:tcPr>
                <w:p w14:paraId="65F72C8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sz w:val="21"/>
                      <w:szCs w:val="21"/>
                      <w:lang w:eastAsia="zh-CN"/>
                    </w:rPr>
                    <w:t>≤25</w:t>
                  </w:r>
                </w:p>
              </w:tc>
              <w:tc>
                <w:tcPr>
                  <w:tcW w:w="645" w:type="dxa"/>
                  <w:vAlign w:val="center"/>
                </w:tcPr>
                <w:p w14:paraId="65B73BC6">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1EBCD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4793FEE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可溶性磷（P</w:t>
                  </w:r>
                  <w:r>
                    <w:rPr>
                      <w:rFonts w:hint="eastAsia" w:ascii="Times New Roman" w:hAnsi="Times New Roman" w:eastAsia="宋体" w:cs="Times New Roman"/>
                      <w:snapToGrid/>
                      <w:color w:val="auto"/>
                      <w:kern w:val="2"/>
                      <w:sz w:val="21"/>
                      <w:szCs w:val="21"/>
                      <w:vertAlign w:val="subscript"/>
                      <w:lang w:eastAsia="zh-CN" w:bidi="ar"/>
                    </w:rPr>
                    <w:t>2</w:t>
                  </w:r>
                  <w:r>
                    <w:rPr>
                      <w:rFonts w:hint="eastAsia" w:ascii="Times New Roman" w:hAnsi="Times New Roman" w:eastAsia="宋体" w:cs="Times New Roman"/>
                      <w:snapToGrid/>
                      <w:color w:val="auto"/>
                      <w:kern w:val="2"/>
                      <w:sz w:val="21"/>
                      <w:szCs w:val="21"/>
                      <w:lang w:eastAsia="zh-CN" w:bidi="ar"/>
                    </w:rPr>
                    <w:t>O</w:t>
                  </w:r>
                  <w:r>
                    <w:rPr>
                      <w:rFonts w:hint="eastAsia" w:ascii="Times New Roman" w:hAnsi="Times New Roman" w:eastAsia="宋体" w:cs="Times New Roman"/>
                      <w:snapToGrid/>
                      <w:color w:val="auto"/>
                      <w:kern w:val="2"/>
                      <w:sz w:val="21"/>
                      <w:szCs w:val="21"/>
                      <w:vertAlign w:val="subscript"/>
                      <w:lang w:eastAsia="zh-CN" w:bidi="ar"/>
                    </w:rPr>
                    <w:t>5</w:t>
                  </w:r>
                  <w:r>
                    <w:rPr>
                      <w:rFonts w:hint="eastAsia" w:ascii="Times New Roman" w:hAnsi="Times New Roman" w:eastAsia="宋体" w:cs="Times New Roman"/>
                      <w:snapToGrid/>
                      <w:color w:val="auto"/>
                      <w:kern w:val="2"/>
                      <w:sz w:val="21"/>
                      <w:szCs w:val="21"/>
                      <w:lang w:eastAsia="zh-CN" w:bidi="ar"/>
                    </w:rPr>
                    <w:t>）</w:t>
                  </w:r>
                </w:p>
              </w:tc>
              <w:tc>
                <w:tcPr>
                  <w:tcW w:w="1289" w:type="dxa"/>
                  <w:vAlign w:val="center"/>
                </w:tcPr>
                <w:p w14:paraId="7DD4DC4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0.012</w:t>
                  </w:r>
                </w:p>
              </w:tc>
              <w:tc>
                <w:tcPr>
                  <w:tcW w:w="1810" w:type="dxa"/>
                  <w:vAlign w:val="center"/>
                </w:tcPr>
                <w:p w14:paraId="5B46E97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≤0.20</w:t>
                  </w:r>
                </w:p>
              </w:tc>
              <w:tc>
                <w:tcPr>
                  <w:tcW w:w="1549" w:type="dxa"/>
                  <w:vAlign w:val="center"/>
                </w:tcPr>
                <w:p w14:paraId="0F0B0A4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≤0.1</w:t>
                  </w:r>
                </w:p>
              </w:tc>
              <w:tc>
                <w:tcPr>
                  <w:tcW w:w="1545" w:type="dxa"/>
                  <w:vAlign w:val="center"/>
                </w:tcPr>
                <w:p w14:paraId="39203A1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lang w:eastAsia="zh-CN"/>
                    </w:rPr>
                    <w:t>≤0.20</w:t>
                  </w:r>
                </w:p>
              </w:tc>
              <w:tc>
                <w:tcPr>
                  <w:tcW w:w="645" w:type="dxa"/>
                  <w:vAlign w:val="center"/>
                </w:tcPr>
                <w:p w14:paraId="0868FC4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3A2C1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4744CAF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水溶性氟离子</w:t>
                  </w:r>
                </w:p>
              </w:tc>
              <w:tc>
                <w:tcPr>
                  <w:tcW w:w="1289" w:type="dxa"/>
                  <w:vAlign w:val="center"/>
                </w:tcPr>
                <w:p w14:paraId="3B54D95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0.017</w:t>
                  </w:r>
                </w:p>
              </w:tc>
              <w:tc>
                <w:tcPr>
                  <w:tcW w:w="1810" w:type="dxa"/>
                  <w:vAlign w:val="center"/>
                </w:tcPr>
                <w:p w14:paraId="056111E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≤0.10</w:t>
                  </w:r>
                </w:p>
              </w:tc>
              <w:tc>
                <w:tcPr>
                  <w:tcW w:w="1549" w:type="dxa"/>
                  <w:vAlign w:val="center"/>
                </w:tcPr>
                <w:p w14:paraId="60E49B0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≤0.1</w:t>
                  </w:r>
                </w:p>
              </w:tc>
              <w:tc>
                <w:tcPr>
                  <w:tcW w:w="1545" w:type="dxa"/>
                  <w:vAlign w:val="center"/>
                </w:tcPr>
                <w:p w14:paraId="2C0A89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lang w:eastAsia="zh-CN"/>
                    </w:rPr>
                    <w:t>≤0.10</w:t>
                  </w:r>
                </w:p>
              </w:tc>
              <w:tc>
                <w:tcPr>
                  <w:tcW w:w="645" w:type="dxa"/>
                  <w:vAlign w:val="center"/>
                </w:tcPr>
                <w:p w14:paraId="5E10801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7C56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78F069F5">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水溶性氯离子</w:t>
                  </w:r>
                </w:p>
              </w:tc>
              <w:tc>
                <w:tcPr>
                  <w:tcW w:w="1289" w:type="dxa"/>
                  <w:vAlign w:val="center"/>
                </w:tcPr>
                <w:p w14:paraId="17FCF84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0.007</w:t>
                  </w:r>
                </w:p>
              </w:tc>
              <w:tc>
                <w:tcPr>
                  <w:tcW w:w="1810" w:type="dxa"/>
                  <w:vAlign w:val="center"/>
                </w:tcPr>
                <w:p w14:paraId="61EE68F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≤0.02</w:t>
                  </w:r>
                </w:p>
              </w:tc>
              <w:tc>
                <w:tcPr>
                  <w:tcW w:w="1549" w:type="dxa"/>
                  <w:vAlign w:val="center"/>
                </w:tcPr>
                <w:p w14:paraId="301AA9DA">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cs="Times New Roman"/>
                      <w:snapToGrid/>
                      <w:color w:val="auto"/>
                      <w:kern w:val="2"/>
                      <w:sz w:val="21"/>
                      <w:szCs w:val="21"/>
                      <w:lang w:val="en-US" w:eastAsia="zh-CN" w:bidi="ar"/>
                    </w:rPr>
                    <w:t>/</w:t>
                  </w:r>
                </w:p>
              </w:tc>
              <w:tc>
                <w:tcPr>
                  <w:tcW w:w="1545" w:type="dxa"/>
                  <w:vAlign w:val="center"/>
                </w:tcPr>
                <w:p w14:paraId="0A30B96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lang w:eastAsia="zh-CN"/>
                    </w:rPr>
                    <w:t>≤0.02</w:t>
                  </w:r>
                </w:p>
              </w:tc>
              <w:tc>
                <w:tcPr>
                  <w:tcW w:w="645" w:type="dxa"/>
                  <w:vAlign w:val="center"/>
                </w:tcPr>
                <w:p w14:paraId="19EB27EB">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5FE04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71F0B23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水溶性氧化镁</w:t>
                  </w:r>
                </w:p>
              </w:tc>
              <w:tc>
                <w:tcPr>
                  <w:tcW w:w="1289" w:type="dxa"/>
                  <w:vAlign w:val="center"/>
                </w:tcPr>
                <w:p w14:paraId="76CB5D40">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0.006</w:t>
                  </w:r>
                </w:p>
              </w:tc>
              <w:tc>
                <w:tcPr>
                  <w:tcW w:w="1810" w:type="dxa"/>
                  <w:vAlign w:val="center"/>
                </w:tcPr>
                <w:p w14:paraId="77DE6F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≤0.30</w:t>
                  </w:r>
                </w:p>
              </w:tc>
              <w:tc>
                <w:tcPr>
                  <w:tcW w:w="1549" w:type="dxa"/>
                  <w:vAlign w:val="center"/>
                </w:tcPr>
                <w:p w14:paraId="583E8AE7">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cs="Times New Roman"/>
                      <w:snapToGrid/>
                      <w:color w:val="auto"/>
                      <w:kern w:val="2"/>
                      <w:sz w:val="21"/>
                      <w:szCs w:val="21"/>
                      <w:lang w:val="en-US" w:eastAsia="zh-CN" w:bidi="ar"/>
                    </w:rPr>
                    <w:t>/</w:t>
                  </w:r>
                </w:p>
              </w:tc>
              <w:tc>
                <w:tcPr>
                  <w:tcW w:w="1545" w:type="dxa"/>
                  <w:vAlign w:val="center"/>
                </w:tcPr>
                <w:p w14:paraId="6FE8D01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lang w:eastAsia="zh-CN"/>
                    </w:rPr>
                    <w:t>≤0.30</w:t>
                  </w:r>
                </w:p>
              </w:tc>
              <w:tc>
                <w:tcPr>
                  <w:tcW w:w="645" w:type="dxa"/>
                  <w:vAlign w:val="center"/>
                </w:tcPr>
                <w:p w14:paraId="787DE9ED">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r w14:paraId="2E75E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2" w:type="dxa"/>
                  <w:vAlign w:val="center"/>
                </w:tcPr>
                <w:p w14:paraId="47515672">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水溶性氧化钠</w:t>
                  </w:r>
                </w:p>
              </w:tc>
              <w:tc>
                <w:tcPr>
                  <w:tcW w:w="1289" w:type="dxa"/>
                  <w:vAlign w:val="center"/>
                </w:tcPr>
                <w:p w14:paraId="7225CE1F">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&lt;0.001</w:t>
                  </w:r>
                </w:p>
              </w:tc>
              <w:tc>
                <w:tcPr>
                  <w:tcW w:w="1810" w:type="dxa"/>
                  <w:vAlign w:val="center"/>
                </w:tcPr>
                <w:p w14:paraId="13363B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lang w:eastAsia="zh-CN" w:bidi="ar"/>
                    </w:rPr>
                  </w:pPr>
                  <w:r>
                    <w:rPr>
                      <w:rFonts w:hint="eastAsia" w:ascii="Times New Roman" w:hAnsi="Times New Roman" w:eastAsia="宋体" w:cs="Times New Roman"/>
                      <w:color w:val="auto"/>
                      <w:lang w:eastAsia="zh-CN"/>
                    </w:rPr>
                    <w:t>≤0.10</w:t>
                  </w:r>
                </w:p>
              </w:tc>
              <w:tc>
                <w:tcPr>
                  <w:tcW w:w="1549" w:type="dxa"/>
                  <w:vAlign w:val="center"/>
                </w:tcPr>
                <w:p w14:paraId="11A7B4C4">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snapToGrid/>
                      <w:color w:val="auto"/>
                      <w:kern w:val="2"/>
                      <w:sz w:val="21"/>
                      <w:szCs w:val="21"/>
                      <w:lang w:val="en-US" w:eastAsia="zh-CN" w:bidi="ar"/>
                    </w:rPr>
                  </w:pPr>
                  <w:r>
                    <w:rPr>
                      <w:rFonts w:hint="eastAsia" w:cs="Times New Roman"/>
                      <w:snapToGrid/>
                      <w:color w:val="auto"/>
                      <w:kern w:val="2"/>
                      <w:sz w:val="21"/>
                      <w:szCs w:val="21"/>
                      <w:lang w:val="en-US" w:eastAsia="zh-CN" w:bidi="ar"/>
                    </w:rPr>
                    <w:t>/</w:t>
                  </w:r>
                </w:p>
              </w:tc>
              <w:tc>
                <w:tcPr>
                  <w:tcW w:w="1545" w:type="dxa"/>
                  <w:vAlign w:val="center"/>
                </w:tcPr>
                <w:p w14:paraId="3CDA045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color w:val="auto"/>
                      <w:lang w:eastAsia="zh-CN"/>
                    </w:rPr>
                    <w:t>≤0.10</w:t>
                  </w:r>
                </w:p>
              </w:tc>
              <w:tc>
                <w:tcPr>
                  <w:tcW w:w="645" w:type="dxa"/>
                  <w:vAlign w:val="center"/>
                </w:tcPr>
                <w:p w14:paraId="33ECD973">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snapToGrid/>
                      <w:color w:val="auto"/>
                      <w:kern w:val="2"/>
                      <w:sz w:val="21"/>
                      <w:szCs w:val="21"/>
                      <w:lang w:eastAsia="zh-CN" w:bidi="ar"/>
                    </w:rPr>
                  </w:pPr>
                  <w:r>
                    <w:rPr>
                      <w:rFonts w:hint="eastAsia" w:ascii="Times New Roman" w:hAnsi="Times New Roman" w:eastAsia="宋体" w:cs="Times New Roman"/>
                      <w:snapToGrid/>
                      <w:color w:val="auto"/>
                      <w:kern w:val="2"/>
                      <w:sz w:val="21"/>
                      <w:szCs w:val="21"/>
                      <w:lang w:eastAsia="zh-CN" w:bidi="ar"/>
                    </w:rPr>
                    <w:t>达标</w:t>
                  </w:r>
                </w:p>
              </w:tc>
            </w:tr>
          </w:tbl>
          <w:p w14:paraId="46AD4E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根据上表，项目</w:t>
            </w:r>
            <w:r>
              <w:rPr>
                <w:rFonts w:hint="eastAsia" w:ascii="Times New Roman" w:hAnsi="Times New Roman" w:eastAsia="宋体" w:cs="Times New Roman"/>
                <w:color w:val="auto"/>
                <w:sz w:val="24"/>
                <w:szCs w:val="24"/>
                <w:lang w:val="en-US" w:eastAsia="zh-CN"/>
              </w:rPr>
              <w:t>利用的路用</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snapToGrid/>
                <w:color w:val="auto"/>
                <w:kern w:val="2"/>
                <w:sz w:val="24"/>
                <w:szCs w:val="24"/>
                <w:lang w:eastAsia="zh-CN" w:bidi="ar"/>
              </w:rPr>
              <w:t>满足《磷石膏的处理处置规范》（GB/T 32124-2024）中筑路材料的要求</w:t>
            </w:r>
            <w:r>
              <w:rPr>
                <w:rFonts w:hint="eastAsia" w:cs="Times New Roman"/>
                <w:snapToGrid/>
                <w:color w:val="auto"/>
                <w:kern w:val="2"/>
                <w:sz w:val="24"/>
                <w:szCs w:val="24"/>
                <w:lang w:eastAsia="zh-CN" w:bidi="ar"/>
              </w:rPr>
              <w:t>、</w:t>
            </w:r>
            <w:r>
              <w:rPr>
                <w:rFonts w:hint="eastAsia" w:cs="Times New Roman"/>
                <w:snapToGrid/>
                <w:color w:val="auto"/>
                <w:kern w:val="2"/>
                <w:sz w:val="24"/>
                <w:szCs w:val="24"/>
                <w:lang w:val="en-US" w:eastAsia="zh-CN" w:bidi="ar"/>
              </w:rPr>
              <w:t>《路用改性磷石膏》（JT/T 1551-2025）4.2 路用改性磷石膏C类标准及《高速公路基层磷石膏应用技术规范》（DB53/T 1359-2025）拟用于高速公路路面基层的磷石膏原材料的质量要求</w:t>
            </w:r>
            <w:r>
              <w:rPr>
                <w:rFonts w:hint="eastAsia" w:ascii="Times New Roman" w:hAnsi="Times New Roman" w:eastAsia="宋体" w:cs="Times New Roman"/>
                <w:snapToGrid/>
                <w:color w:val="auto"/>
                <w:kern w:val="2"/>
                <w:sz w:val="24"/>
                <w:szCs w:val="24"/>
                <w:lang w:eastAsia="zh-CN" w:bidi="ar"/>
              </w:rPr>
              <w:t>。</w:t>
            </w:r>
          </w:p>
          <w:p w14:paraId="719F1EE8">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w:t>
            </w:r>
            <w:r>
              <w:rPr>
                <w:rFonts w:hint="eastAsia" w:ascii="Times New Roman" w:hAnsi="Times New Roman" w:eastAsia="宋体" w:cs="Times New Roman"/>
                <w:b/>
                <w:snapToGrid/>
                <w:color w:val="auto"/>
                <w:kern w:val="2"/>
                <w:sz w:val="24"/>
                <w:szCs w:val="24"/>
                <w:lang w:val="en-US" w:eastAsia="zh-CN" w:bidi="ar"/>
              </w:rPr>
              <w:t>1</w:t>
            </w:r>
            <w:r>
              <w:rPr>
                <w:rFonts w:hint="eastAsia" w:cs="Times New Roman"/>
                <w:b/>
                <w:snapToGrid/>
                <w:color w:val="auto"/>
                <w:kern w:val="2"/>
                <w:sz w:val="24"/>
                <w:szCs w:val="24"/>
                <w:lang w:val="en-US" w:eastAsia="zh-CN" w:bidi="ar"/>
              </w:rPr>
              <w:t>1</w:t>
            </w:r>
            <w:r>
              <w:rPr>
                <w:rFonts w:hint="eastAsia" w:ascii="Times New Roman" w:hAnsi="Times New Roman" w:eastAsia="宋体" w:cs="Times New Roman"/>
                <w:b/>
                <w:snapToGrid/>
                <w:color w:val="auto"/>
                <w:kern w:val="2"/>
                <w:sz w:val="24"/>
                <w:szCs w:val="24"/>
                <w:lang w:eastAsia="zh-CN" w:bidi="ar"/>
              </w:rPr>
              <w:t xml:space="preserve"> 项目</w:t>
            </w:r>
            <w:r>
              <w:rPr>
                <w:rFonts w:hint="eastAsia" w:cs="Times New Roman"/>
                <w:b/>
                <w:snapToGrid/>
                <w:color w:val="auto"/>
                <w:kern w:val="2"/>
                <w:sz w:val="24"/>
                <w:szCs w:val="24"/>
                <w:lang w:val="en-US" w:eastAsia="zh-CN" w:bidi="ar"/>
              </w:rPr>
              <w:t>路基材料达标情况一览表</w:t>
            </w:r>
            <w:r>
              <w:rPr>
                <w:rFonts w:hint="eastAsia" w:ascii="Times New Roman" w:hAnsi="Times New Roman" w:eastAsia="宋体" w:cs="Times New Roman"/>
                <w:b/>
                <w:snapToGrid/>
                <w:color w:val="auto"/>
                <w:kern w:val="2"/>
                <w:sz w:val="24"/>
                <w:szCs w:val="24"/>
                <w:lang w:eastAsia="zh-CN" w:bidi="ar"/>
              </w:rPr>
              <w:t xml:space="preserve">  单位：%</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62"/>
              <w:gridCol w:w="2409"/>
              <w:gridCol w:w="941"/>
              <w:gridCol w:w="955"/>
              <w:gridCol w:w="925"/>
              <w:gridCol w:w="898"/>
            </w:tblGrid>
            <w:tr w14:paraId="29EE0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1430" w:type="dxa"/>
                  <w:vMerge w:val="restart"/>
                  <w:tcBorders>
                    <w:tl2br w:val="nil"/>
                    <w:tr2bl w:val="nil"/>
                  </w:tcBorders>
                  <w:vAlign w:val="center"/>
                </w:tcPr>
                <w:p w14:paraId="2E66EE58">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项目</w:t>
                  </w:r>
                </w:p>
              </w:tc>
              <w:tc>
                <w:tcPr>
                  <w:tcW w:w="1523" w:type="dxa"/>
                  <w:vMerge w:val="restart"/>
                  <w:tcBorders>
                    <w:tl2br w:val="nil"/>
                    <w:tr2bl w:val="nil"/>
                  </w:tcBorders>
                  <w:vAlign w:val="center"/>
                </w:tcPr>
                <w:p w14:paraId="51AA5859">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ascii="Times New Roman" w:hAnsi="Times New Roman" w:eastAsia="宋体" w:cs="Times New Roman"/>
                      <w:b/>
                      <w:bCs/>
                      <w:color w:val="auto"/>
                      <w:sz w:val="21"/>
                      <w:szCs w:val="21"/>
                    </w:rPr>
                    <w:t>改性磷石膏</w:t>
                  </w:r>
                </w:p>
              </w:tc>
              <w:tc>
                <w:tcPr>
                  <w:tcW w:w="1784" w:type="dxa"/>
                  <w:gridSpan w:val="3"/>
                  <w:tcBorders>
                    <w:tl2br w:val="nil"/>
                    <w:tr2bl w:val="nil"/>
                  </w:tcBorders>
                  <w:vAlign w:val="center"/>
                </w:tcPr>
                <w:p w14:paraId="5C2CE79C">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《磷石膏》（GB/T 23456-2018）</w:t>
                  </w:r>
                </w:p>
              </w:tc>
              <w:tc>
                <w:tcPr>
                  <w:tcW w:w="567" w:type="dxa"/>
                  <w:vMerge w:val="restart"/>
                  <w:tcBorders>
                    <w:tl2br w:val="nil"/>
                    <w:tr2bl w:val="nil"/>
                  </w:tcBorders>
                  <w:vAlign w:val="center"/>
                </w:tcPr>
                <w:p w14:paraId="6363720F">
                  <w:pPr>
                    <w:pStyle w:val="30"/>
                    <w:kinsoku/>
                    <w:overflowPunct w:val="0"/>
                    <w:autoSpaceDE/>
                    <w:autoSpaceDN/>
                    <w:adjustRightInd/>
                    <w:snapToGrid/>
                    <w:jc w:val="center"/>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达标情况</w:t>
                  </w:r>
                </w:p>
              </w:tc>
            </w:tr>
            <w:tr w14:paraId="14189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vMerge w:val="continue"/>
                  <w:tcBorders>
                    <w:tl2br w:val="nil"/>
                    <w:tr2bl w:val="nil"/>
                  </w:tcBorders>
                  <w:vAlign w:val="center"/>
                </w:tcPr>
                <w:p w14:paraId="040A43A7">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523" w:type="dxa"/>
                  <w:vMerge w:val="continue"/>
                  <w:tcBorders>
                    <w:tl2br w:val="nil"/>
                    <w:tr2bl w:val="nil"/>
                  </w:tcBorders>
                  <w:vAlign w:val="center"/>
                </w:tcPr>
                <w:p w14:paraId="3A36A286">
                  <w:pPr>
                    <w:kinsoku/>
                    <w:overflowPunct w:val="0"/>
                    <w:autoSpaceDE/>
                    <w:autoSpaceDN/>
                    <w:adjustRightInd/>
                    <w:snapToGrid/>
                    <w:jc w:val="center"/>
                    <w:rPr>
                      <w:rFonts w:ascii="Times New Roman" w:hAnsi="Times New Roman" w:eastAsia="宋体" w:cs="Times New Roman"/>
                      <w:color w:val="auto"/>
                      <w:lang w:eastAsia="zh-CN"/>
                    </w:rPr>
                  </w:pPr>
                </w:p>
              </w:tc>
              <w:tc>
                <w:tcPr>
                  <w:tcW w:w="595" w:type="dxa"/>
                  <w:tcBorders>
                    <w:tl2br w:val="nil"/>
                    <w:tr2bl w:val="nil"/>
                  </w:tcBorders>
                  <w:vAlign w:val="center"/>
                </w:tcPr>
                <w:p w14:paraId="7B31EE5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一级</w:t>
                  </w:r>
                </w:p>
              </w:tc>
              <w:tc>
                <w:tcPr>
                  <w:tcW w:w="604" w:type="dxa"/>
                  <w:tcBorders>
                    <w:tl2br w:val="nil"/>
                    <w:tr2bl w:val="nil"/>
                  </w:tcBorders>
                  <w:vAlign w:val="center"/>
                </w:tcPr>
                <w:p w14:paraId="49DEB89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二级</w:t>
                  </w:r>
                </w:p>
              </w:tc>
              <w:tc>
                <w:tcPr>
                  <w:tcW w:w="585" w:type="dxa"/>
                  <w:tcBorders>
                    <w:tl2br w:val="nil"/>
                    <w:tr2bl w:val="nil"/>
                  </w:tcBorders>
                  <w:vAlign w:val="center"/>
                </w:tcPr>
                <w:p w14:paraId="7AEAC11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三级</w:t>
                  </w:r>
                </w:p>
              </w:tc>
              <w:tc>
                <w:tcPr>
                  <w:tcW w:w="567" w:type="dxa"/>
                  <w:vMerge w:val="continue"/>
                  <w:tcBorders>
                    <w:tl2br w:val="nil"/>
                    <w:tr2bl w:val="nil"/>
                  </w:tcBorders>
                  <w:vAlign w:val="center"/>
                </w:tcPr>
                <w:p w14:paraId="73174530">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p>
              </w:tc>
            </w:tr>
            <w:tr w14:paraId="46E91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63847E6F">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外观</w:t>
                  </w:r>
                </w:p>
              </w:tc>
              <w:tc>
                <w:tcPr>
                  <w:tcW w:w="1523" w:type="dxa"/>
                  <w:tcBorders>
                    <w:tl2br w:val="nil"/>
                    <w:tr2bl w:val="nil"/>
                  </w:tcBorders>
                  <w:vAlign w:val="center"/>
                </w:tcPr>
                <w:p w14:paraId="1F3DD38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粉状疏松物，均匀，无杂质</w:t>
                  </w:r>
                </w:p>
              </w:tc>
              <w:tc>
                <w:tcPr>
                  <w:tcW w:w="595" w:type="dxa"/>
                  <w:tcBorders>
                    <w:tl2br w:val="nil"/>
                    <w:tr2bl w:val="nil"/>
                  </w:tcBorders>
                  <w:vAlign w:val="center"/>
                </w:tcPr>
                <w:p w14:paraId="032210F8">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604" w:type="dxa"/>
                  <w:tcBorders>
                    <w:tl2br w:val="nil"/>
                    <w:tr2bl w:val="nil"/>
                  </w:tcBorders>
                  <w:vAlign w:val="center"/>
                </w:tcPr>
                <w:p w14:paraId="1A4FA265">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585" w:type="dxa"/>
                  <w:tcBorders>
                    <w:tl2br w:val="nil"/>
                    <w:tr2bl w:val="nil"/>
                  </w:tcBorders>
                  <w:vAlign w:val="center"/>
                </w:tcPr>
                <w:p w14:paraId="1BE46F85">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567" w:type="dxa"/>
                  <w:tcBorders>
                    <w:tl2br w:val="nil"/>
                    <w:tr2bl w:val="nil"/>
                  </w:tcBorders>
                  <w:vAlign w:val="center"/>
                </w:tcPr>
                <w:p w14:paraId="42254227">
                  <w:pPr>
                    <w:kinsoku/>
                    <w:overflowPunct w:val="0"/>
                    <w:autoSpaceDE/>
                    <w:autoSpaceDN/>
                    <w:adjustRightInd/>
                    <w:snapToGrid/>
                    <w:jc w:val="center"/>
                    <w:rPr>
                      <w:rFonts w:hint="default" w:cs="Times New Roman"/>
                      <w:color w:val="auto"/>
                      <w:lang w:val="en-US" w:eastAsia="zh-CN"/>
                    </w:rPr>
                  </w:pPr>
                  <w:r>
                    <w:rPr>
                      <w:rFonts w:hint="eastAsia" w:cs="Times New Roman"/>
                      <w:color w:val="auto"/>
                      <w:lang w:val="en-US" w:eastAsia="zh-CN"/>
                    </w:rPr>
                    <w:t>/</w:t>
                  </w:r>
                </w:p>
              </w:tc>
            </w:tr>
            <w:tr w14:paraId="62BF4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0952D1A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附着水</w:t>
                  </w:r>
                </w:p>
              </w:tc>
              <w:tc>
                <w:tcPr>
                  <w:tcW w:w="1523" w:type="dxa"/>
                  <w:tcBorders>
                    <w:tl2br w:val="nil"/>
                    <w:tr2bl w:val="nil"/>
                  </w:tcBorders>
                  <w:vAlign w:val="center"/>
                </w:tcPr>
                <w:p w14:paraId="39DE51A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10.58</w:t>
                  </w:r>
                </w:p>
              </w:tc>
              <w:tc>
                <w:tcPr>
                  <w:tcW w:w="595" w:type="dxa"/>
                  <w:tcBorders>
                    <w:tl2br w:val="nil"/>
                    <w:tr2bl w:val="nil"/>
                  </w:tcBorders>
                  <w:vAlign w:val="center"/>
                </w:tcPr>
                <w:p w14:paraId="3C3375A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604" w:type="dxa"/>
                  <w:tcBorders>
                    <w:tl2br w:val="nil"/>
                    <w:tr2bl w:val="nil"/>
                  </w:tcBorders>
                  <w:vAlign w:val="center"/>
                </w:tcPr>
                <w:p w14:paraId="3E797A4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585" w:type="dxa"/>
                  <w:tcBorders>
                    <w:tl2br w:val="nil"/>
                    <w:tr2bl w:val="nil"/>
                  </w:tcBorders>
                  <w:vAlign w:val="center"/>
                </w:tcPr>
                <w:p w14:paraId="2197FEA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c>
                <w:tcPr>
                  <w:tcW w:w="567" w:type="dxa"/>
                  <w:tcBorders>
                    <w:tl2br w:val="nil"/>
                    <w:tr2bl w:val="nil"/>
                  </w:tcBorders>
                  <w:vAlign w:val="center"/>
                </w:tcPr>
                <w:p w14:paraId="466C1BF2">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一级</w:t>
                  </w:r>
                </w:p>
              </w:tc>
            </w:tr>
            <w:tr w14:paraId="36C7B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36A3DAC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二水硫酸钙</w:t>
                  </w:r>
                </w:p>
              </w:tc>
              <w:tc>
                <w:tcPr>
                  <w:tcW w:w="1523" w:type="dxa"/>
                  <w:tcBorders>
                    <w:tl2br w:val="nil"/>
                    <w:tr2bl w:val="nil"/>
                  </w:tcBorders>
                  <w:vAlign w:val="center"/>
                </w:tcPr>
                <w:p w14:paraId="68DFD8C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89.8</w:t>
                  </w:r>
                </w:p>
              </w:tc>
              <w:tc>
                <w:tcPr>
                  <w:tcW w:w="595" w:type="dxa"/>
                  <w:tcBorders>
                    <w:tl2br w:val="nil"/>
                    <w:tr2bl w:val="nil"/>
                  </w:tcBorders>
                  <w:vAlign w:val="center"/>
                </w:tcPr>
                <w:p w14:paraId="550AB66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604" w:type="dxa"/>
                  <w:tcBorders>
                    <w:tl2br w:val="nil"/>
                    <w:tr2bl w:val="nil"/>
                  </w:tcBorders>
                  <w:vAlign w:val="center"/>
                </w:tcPr>
                <w:p w14:paraId="0F7B7B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w:t>
                  </w:r>
                </w:p>
              </w:tc>
              <w:tc>
                <w:tcPr>
                  <w:tcW w:w="585" w:type="dxa"/>
                  <w:tcBorders>
                    <w:tl2br w:val="nil"/>
                    <w:tr2bl w:val="nil"/>
                  </w:tcBorders>
                  <w:vAlign w:val="center"/>
                </w:tcPr>
                <w:p w14:paraId="1C9A246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≥65</w:t>
                  </w:r>
                </w:p>
              </w:tc>
              <w:tc>
                <w:tcPr>
                  <w:tcW w:w="567" w:type="dxa"/>
                  <w:tcBorders>
                    <w:tl2br w:val="nil"/>
                    <w:tr2bl w:val="nil"/>
                  </w:tcBorders>
                  <w:vAlign w:val="center"/>
                </w:tcPr>
                <w:p w14:paraId="1F9B1F2B">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二级</w:t>
                  </w:r>
                </w:p>
              </w:tc>
            </w:tr>
            <w:tr w14:paraId="4C80E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5FF5539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pH</w:t>
                  </w:r>
                </w:p>
              </w:tc>
              <w:tc>
                <w:tcPr>
                  <w:tcW w:w="1523" w:type="dxa"/>
                  <w:tcBorders>
                    <w:tl2br w:val="nil"/>
                    <w:tr2bl w:val="nil"/>
                  </w:tcBorders>
                  <w:vAlign w:val="center"/>
                </w:tcPr>
                <w:p w14:paraId="7F1F720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7.69</w:t>
                  </w:r>
                </w:p>
              </w:tc>
              <w:tc>
                <w:tcPr>
                  <w:tcW w:w="595" w:type="dxa"/>
                  <w:tcBorders>
                    <w:tl2br w:val="nil"/>
                    <w:tr2bl w:val="nil"/>
                  </w:tcBorders>
                  <w:vAlign w:val="center"/>
                </w:tcPr>
                <w:p w14:paraId="350A2997">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604" w:type="dxa"/>
                  <w:tcBorders>
                    <w:tl2br w:val="nil"/>
                    <w:tr2bl w:val="nil"/>
                  </w:tcBorders>
                  <w:vAlign w:val="center"/>
                </w:tcPr>
                <w:p w14:paraId="2394EBB7">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585" w:type="dxa"/>
                  <w:tcBorders>
                    <w:tl2br w:val="nil"/>
                    <w:tr2bl w:val="nil"/>
                  </w:tcBorders>
                  <w:vAlign w:val="center"/>
                </w:tcPr>
                <w:p w14:paraId="7B457E75">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c>
                <w:tcPr>
                  <w:tcW w:w="567" w:type="dxa"/>
                  <w:tcBorders>
                    <w:tl2br w:val="nil"/>
                    <w:tr2bl w:val="nil"/>
                  </w:tcBorders>
                  <w:vAlign w:val="center"/>
                </w:tcPr>
                <w:p w14:paraId="550558C0">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w:t>
                  </w:r>
                </w:p>
              </w:tc>
            </w:tr>
            <w:tr w14:paraId="17631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1F8B59B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水溶性五氧化二磷</w:t>
                  </w:r>
                </w:p>
              </w:tc>
              <w:tc>
                <w:tcPr>
                  <w:tcW w:w="1523" w:type="dxa"/>
                  <w:tcBorders>
                    <w:tl2br w:val="nil"/>
                    <w:tr2bl w:val="nil"/>
                  </w:tcBorders>
                  <w:vAlign w:val="center"/>
                </w:tcPr>
                <w:p w14:paraId="3B200BD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0.012</w:t>
                  </w:r>
                </w:p>
              </w:tc>
              <w:tc>
                <w:tcPr>
                  <w:tcW w:w="595" w:type="dxa"/>
                  <w:tcBorders>
                    <w:tl2br w:val="nil"/>
                    <w:tr2bl w:val="nil"/>
                  </w:tcBorders>
                  <w:vAlign w:val="center"/>
                </w:tcPr>
                <w:p w14:paraId="6961FBE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≤0.20</w:t>
                  </w:r>
                </w:p>
              </w:tc>
              <w:tc>
                <w:tcPr>
                  <w:tcW w:w="604" w:type="dxa"/>
                  <w:tcBorders>
                    <w:tl2br w:val="nil"/>
                    <w:tr2bl w:val="nil"/>
                  </w:tcBorders>
                  <w:vAlign w:val="center"/>
                </w:tcPr>
                <w:p w14:paraId="1228A1E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c>
                <w:tcPr>
                  <w:tcW w:w="585" w:type="dxa"/>
                  <w:tcBorders>
                    <w:tl2br w:val="nil"/>
                    <w:tr2bl w:val="nil"/>
                  </w:tcBorders>
                  <w:vAlign w:val="center"/>
                </w:tcPr>
                <w:p w14:paraId="37E496C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≤0.50</w:t>
                  </w:r>
                </w:p>
              </w:tc>
              <w:tc>
                <w:tcPr>
                  <w:tcW w:w="567" w:type="dxa"/>
                  <w:tcBorders>
                    <w:tl2br w:val="nil"/>
                    <w:tr2bl w:val="nil"/>
                  </w:tcBorders>
                  <w:vAlign w:val="center"/>
                </w:tcPr>
                <w:p w14:paraId="7048D86D">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一级</w:t>
                  </w:r>
                </w:p>
              </w:tc>
            </w:tr>
            <w:tr w14:paraId="0A777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7F5BB7B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水溶性氟离子</w:t>
                  </w:r>
                </w:p>
              </w:tc>
              <w:tc>
                <w:tcPr>
                  <w:tcW w:w="1523" w:type="dxa"/>
                  <w:tcBorders>
                    <w:tl2br w:val="nil"/>
                    <w:tr2bl w:val="nil"/>
                  </w:tcBorders>
                  <w:vAlign w:val="center"/>
                </w:tcPr>
                <w:p w14:paraId="3FA80F5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0.017</w:t>
                  </w:r>
                </w:p>
              </w:tc>
              <w:tc>
                <w:tcPr>
                  <w:tcW w:w="595" w:type="dxa"/>
                  <w:tcBorders>
                    <w:tl2br w:val="nil"/>
                    <w:tr2bl w:val="nil"/>
                  </w:tcBorders>
                  <w:vAlign w:val="center"/>
                </w:tcPr>
                <w:p w14:paraId="6010CBE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604" w:type="dxa"/>
                  <w:tcBorders>
                    <w:tl2br w:val="nil"/>
                    <w:tr2bl w:val="nil"/>
                  </w:tcBorders>
                  <w:vAlign w:val="center"/>
                </w:tcPr>
                <w:p w14:paraId="7262A64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≤0.20</w:t>
                  </w:r>
                </w:p>
              </w:tc>
              <w:tc>
                <w:tcPr>
                  <w:tcW w:w="585" w:type="dxa"/>
                  <w:tcBorders>
                    <w:tl2br w:val="nil"/>
                    <w:tr2bl w:val="nil"/>
                  </w:tcBorders>
                  <w:vAlign w:val="center"/>
                </w:tcPr>
                <w:p w14:paraId="5FBDC66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c>
                <w:tcPr>
                  <w:tcW w:w="567" w:type="dxa"/>
                  <w:tcBorders>
                    <w:tl2br w:val="nil"/>
                    <w:tr2bl w:val="nil"/>
                  </w:tcBorders>
                  <w:vAlign w:val="center"/>
                </w:tcPr>
                <w:p w14:paraId="34357B8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cs="Times New Roman"/>
                      <w:color w:val="auto"/>
                      <w:lang w:val="en-US" w:eastAsia="zh-CN"/>
                    </w:rPr>
                    <w:t>一级</w:t>
                  </w:r>
                </w:p>
              </w:tc>
            </w:tr>
            <w:tr w14:paraId="07DC7F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0A35141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水溶性氧化镁</w:t>
                  </w:r>
                </w:p>
              </w:tc>
              <w:tc>
                <w:tcPr>
                  <w:tcW w:w="1523" w:type="dxa"/>
                  <w:tcBorders>
                    <w:tl2br w:val="nil"/>
                    <w:tr2bl w:val="nil"/>
                  </w:tcBorders>
                  <w:vAlign w:val="center"/>
                </w:tcPr>
                <w:p w14:paraId="37B2C23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0.006</w:t>
                  </w:r>
                </w:p>
              </w:tc>
              <w:tc>
                <w:tcPr>
                  <w:tcW w:w="595" w:type="dxa"/>
                  <w:tcBorders>
                    <w:tl2br w:val="nil"/>
                    <w:tr2bl w:val="nil"/>
                  </w:tcBorders>
                  <w:vAlign w:val="center"/>
                </w:tcPr>
                <w:p w14:paraId="77474F7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604" w:type="dxa"/>
                  <w:tcBorders>
                    <w:tl2br w:val="nil"/>
                    <w:tr2bl w:val="nil"/>
                  </w:tcBorders>
                  <w:vAlign w:val="center"/>
                </w:tcPr>
                <w:p w14:paraId="2FAE18C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≤0.30</w:t>
                  </w:r>
                </w:p>
              </w:tc>
              <w:tc>
                <w:tcPr>
                  <w:tcW w:w="585" w:type="dxa"/>
                  <w:tcBorders>
                    <w:tl2br w:val="nil"/>
                    <w:tr2bl w:val="nil"/>
                  </w:tcBorders>
                  <w:vAlign w:val="center"/>
                </w:tcPr>
                <w:p w14:paraId="2F7C6187">
                  <w:pPr>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lang w:val="en-US" w:eastAsia="zh-CN"/>
                    </w:rPr>
                    <w:t>/</w:t>
                  </w:r>
                </w:p>
              </w:tc>
              <w:tc>
                <w:tcPr>
                  <w:tcW w:w="567" w:type="dxa"/>
                  <w:tcBorders>
                    <w:tl2br w:val="nil"/>
                    <w:tr2bl w:val="nil"/>
                  </w:tcBorders>
                  <w:vAlign w:val="center"/>
                </w:tcPr>
                <w:p w14:paraId="343BBC9C">
                  <w:pPr>
                    <w:kinsoku/>
                    <w:overflowPunct w:val="0"/>
                    <w:autoSpaceDE/>
                    <w:autoSpaceDN/>
                    <w:adjustRightInd/>
                    <w:snapToGrid/>
                    <w:jc w:val="center"/>
                    <w:rPr>
                      <w:rFonts w:hint="eastAsia" w:cs="Times New Roman"/>
                      <w:color w:val="auto"/>
                      <w:lang w:val="en-US" w:eastAsia="zh-CN"/>
                    </w:rPr>
                  </w:pPr>
                  <w:r>
                    <w:rPr>
                      <w:rFonts w:hint="eastAsia" w:cs="Times New Roman"/>
                      <w:color w:val="auto"/>
                      <w:lang w:val="en-US" w:eastAsia="zh-CN"/>
                    </w:rPr>
                    <w:t>一级</w:t>
                  </w:r>
                </w:p>
              </w:tc>
            </w:tr>
            <w:tr w14:paraId="414236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6BF27F3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水溶性氧化钠</w:t>
                  </w:r>
                </w:p>
              </w:tc>
              <w:tc>
                <w:tcPr>
                  <w:tcW w:w="1523" w:type="dxa"/>
                  <w:tcBorders>
                    <w:tl2br w:val="nil"/>
                    <w:tr2bl w:val="nil"/>
                  </w:tcBorders>
                  <w:vAlign w:val="center"/>
                </w:tcPr>
                <w:p w14:paraId="20A4DA1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&lt;0.001</w:t>
                  </w:r>
                </w:p>
              </w:tc>
              <w:tc>
                <w:tcPr>
                  <w:tcW w:w="595" w:type="dxa"/>
                  <w:tcBorders>
                    <w:tl2br w:val="nil"/>
                    <w:tr2bl w:val="nil"/>
                  </w:tcBorders>
                  <w:vAlign w:val="center"/>
                </w:tcPr>
                <w:p w14:paraId="68DAF81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≤0.06</w:t>
                  </w:r>
                </w:p>
              </w:tc>
              <w:tc>
                <w:tcPr>
                  <w:tcW w:w="604" w:type="dxa"/>
                  <w:tcBorders>
                    <w:tl2br w:val="nil"/>
                    <w:tr2bl w:val="nil"/>
                  </w:tcBorders>
                  <w:vAlign w:val="center"/>
                </w:tcPr>
                <w:p w14:paraId="2EEE69C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≤0.10</w:t>
                  </w:r>
                </w:p>
              </w:tc>
              <w:tc>
                <w:tcPr>
                  <w:tcW w:w="585" w:type="dxa"/>
                  <w:tcBorders>
                    <w:tl2br w:val="nil"/>
                    <w:tr2bl w:val="nil"/>
                  </w:tcBorders>
                  <w:vAlign w:val="center"/>
                </w:tcPr>
                <w:p w14:paraId="17C58C40">
                  <w:pPr>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lang w:val="en-US" w:eastAsia="zh-CN"/>
                    </w:rPr>
                    <w:t>/</w:t>
                  </w:r>
                </w:p>
              </w:tc>
              <w:tc>
                <w:tcPr>
                  <w:tcW w:w="567" w:type="dxa"/>
                  <w:tcBorders>
                    <w:tl2br w:val="nil"/>
                    <w:tr2bl w:val="nil"/>
                  </w:tcBorders>
                  <w:vAlign w:val="center"/>
                </w:tcPr>
                <w:p w14:paraId="1A587857">
                  <w:pPr>
                    <w:kinsoku/>
                    <w:overflowPunct w:val="0"/>
                    <w:autoSpaceDE/>
                    <w:autoSpaceDN/>
                    <w:adjustRightInd/>
                    <w:snapToGrid/>
                    <w:jc w:val="center"/>
                    <w:rPr>
                      <w:rFonts w:hint="eastAsia" w:cs="Times New Roman"/>
                      <w:color w:val="auto"/>
                      <w:lang w:val="en-US" w:eastAsia="zh-CN"/>
                    </w:rPr>
                  </w:pPr>
                  <w:r>
                    <w:rPr>
                      <w:rFonts w:hint="eastAsia" w:cs="Times New Roman"/>
                      <w:color w:val="auto"/>
                      <w:lang w:val="en-US" w:eastAsia="zh-CN"/>
                    </w:rPr>
                    <w:t>一级</w:t>
                  </w:r>
                </w:p>
              </w:tc>
            </w:tr>
            <w:tr w14:paraId="676AA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430" w:type="dxa"/>
                  <w:tcBorders>
                    <w:tl2br w:val="nil"/>
                    <w:tr2bl w:val="nil"/>
                  </w:tcBorders>
                  <w:vAlign w:val="center"/>
                </w:tcPr>
                <w:p w14:paraId="5E6BDE8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氯离子</w:t>
                  </w:r>
                </w:p>
              </w:tc>
              <w:tc>
                <w:tcPr>
                  <w:tcW w:w="1523" w:type="dxa"/>
                  <w:tcBorders>
                    <w:tl2br w:val="nil"/>
                    <w:tr2bl w:val="nil"/>
                  </w:tcBorders>
                  <w:vAlign w:val="center"/>
                </w:tcPr>
                <w:p w14:paraId="1148FD3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0.007</w:t>
                  </w:r>
                </w:p>
              </w:tc>
              <w:tc>
                <w:tcPr>
                  <w:tcW w:w="595" w:type="dxa"/>
                  <w:tcBorders>
                    <w:tl2br w:val="nil"/>
                    <w:tr2bl w:val="nil"/>
                  </w:tcBorders>
                  <w:vAlign w:val="center"/>
                </w:tcPr>
                <w:p w14:paraId="37BAEEB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w:t>
                  </w:r>
                </w:p>
              </w:tc>
              <w:tc>
                <w:tcPr>
                  <w:tcW w:w="604" w:type="dxa"/>
                  <w:tcBorders>
                    <w:tl2br w:val="nil"/>
                    <w:tr2bl w:val="nil"/>
                  </w:tcBorders>
                  <w:vAlign w:val="center"/>
                </w:tcPr>
                <w:p w14:paraId="55F3FF4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w:t>
                  </w:r>
                </w:p>
              </w:tc>
              <w:tc>
                <w:tcPr>
                  <w:tcW w:w="585" w:type="dxa"/>
                  <w:tcBorders>
                    <w:tl2br w:val="nil"/>
                    <w:tr2bl w:val="nil"/>
                  </w:tcBorders>
                  <w:vAlign w:val="center"/>
                </w:tcPr>
                <w:p w14:paraId="5D3AFE50">
                  <w:pPr>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lang w:val="en-US" w:eastAsia="zh-CN"/>
                    </w:rPr>
                    <w:t>/</w:t>
                  </w:r>
                </w:p>
              </w:tc>
              <w:tc>
                <w:tcPr>
                  <w:tcW w:w="567" w:type="dxa"/>
                  <w:tcBorders>
                    <w:tl2br w:val="nil"/>
                    <w:tr2bl w:val="nil"/>
                  </w:tcBorders>
                  <w:vAlign w:val="center"/>
                </w:tcPr>
                <w:p w14:paraId="0E411F81">
                  <w:pPr>
                    <w:kinsoku/>
                    <w:overflowPunct w:val="0"/>
                    <w:autoSpaceDE/>
                    <w:autoSpaceDN/>
                    <w:adjustRightInd/>
                    <w:snapToGrid/>
                    <w:jc w:val="center"/>
                    <w:rPr>
                      <w:rFonts w:hint="eastAsia" w:cs="Times New Roman"/>
                      <w:color w:val="auto"/>
                      <w:lang w:val="en-US" w:eastAsia="zh-CN"/>
                    </w:rPr>
                  </w:pPr>
                  <w:r>
                    <w:rPr>
                      <w:rFonts w:hint="eastAsia" w:cs="Times New Roman"/>
                      <w:color w:val="auto"/>
                      <w:lang w:val="en-US" w:eastAsia="zh-CN"/>
                    </w:rPr>
                    <w:t>一级</w:t>
                  </w:r>
                </w:p>
              </w:tc>
            </w:tr>
          </w:tbl>
          <w:p w14:paraId="7C6A41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根据上表，本项目改性磷石膏可达到《磷石膏》（GB/T 23456-2018）二级指标要求。</w:t>
            </w:r>
          </w:p>
          <w:p w14:paraId="034716A2">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snapToGrid/>
                <w:color w:val="auto"/>
                <w:kern w:val="2"/>
                <w:sz w:val="24"/>
                <w:szCs w:val="24"/>
                <w:lang w:eastAsia="zh-CN" w:bidi="ar"/>
              </w:rPr>
            </w:pPr>
            <w:r>
              <w:rPr>
                <w:rFonts w:hint="eastAsia" w:ascii="Times New Roman" w:hAnsi="Times New Roman" w:eastAsia="宋体" w:cs="Times New Roman"/>
                <w:snapToGrid/>
                <w:color w:val="auto"/>
                <w:kern w:val="2"/>
                <w:sz w:val="24"/>
                <w:szCs w:val="24"/>
                <w:lang w:eastAsia="zh-CN" w:bidi="ar"/>
              </w:rPr>
              <w:t>综上，本项目</w:t>
            </w:r>
            <w:r>
              <w:rPr>
                <w:rFonts w:ascii="Times New Roman" w:hAnsi="Times New Roman" w:eastAsia="宋体" w:cs="Times New Roman"/>
                <w:color w:val="auto"/>
                <w:sz w:val="24"/>
                <w:szCs w:val="24"/>
                <w:lang w:eastAsia="zh-CN"/>
              </w:rPr>
              <w:t>使用的</w:t>
            </w:r>
            <w:r>
              <w:rPr>
                <w:rFonts w:hint="eastAsia" w:ascii="Times New Roman" w:hAnsi="Times New Roman" w:eastAsia="宋体" w:cs="Times New Roman"/>
                <w:color w:val="auto"/>
                <w:sz w:val="24"/>
                <w:szCs w:val="24"/>
                <w:lang w:val="en-US" w:eastAsia="zh-CN"/>
              </w:rPr>
              <w:t>路用</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val="en-US" w:eastAsia="zh-CN"/>
              </w:rPr>
              <w:t>属于</w:t>
            </w:r>
            <w:r>
              <w:rPr>
                <w:rFonts w:hint="eastAsia" w:ascii="Times New Roman" w:hAnsi="Times New Roman" w:eastAsia="宋体" w:cs="Times New Roman"/>
                <w:snapToGrid/>
                <w:color w:val="auto"/>
                <w:kern w:val="2"/>
                <w:sz w:val="24"/>
                <w:szCs w:val="24"/>
                <w:lang w:eastAsia="zh-CN" w:bidi="ar"/>
              </w:rPr>
              <w:t>第Ⅰ类一般工业固体废物，满足</w:t>
            </w:r>
            <w:r>
              <w:rPr>
                <w:rFonts w:ascii="Times New Roman" w:hAnsi="Times New Roman" w:eastAsia="宋体" w:cs="Times New Roman"/>
                <w:snapToGrid/>
                <w:color w:val="auto"/>
                <w:kern w:val="2"/>
                <w:sz w:val="24"/>
                <w:szCs w:val="24"/>
                <w:lang w:eastAsia="zh-CN" w:bidi="ar"/>
              </w:rPr>
              <w:t>《磷石膏利用和无害化贮存污染控制技术规范》（HJ</w:t>
            </w:r>
            <w:r>
              <w:rPr>
                <w:rFonts w:hint="eastAsia" w:cs="Times New Roman"/>
                <w:snapToGrid/>
                <w:color w:val="auto"/>
                <w:kern w:val="2"/>
                <w:sz w:val="24"/>
                <w:szCs w:val="24"/>
                <w:lang w:val="en-US" w:eastAsia="zh-CN" w:bidi="ar"/>
              </w:rPr>
              <w:t xml:space="preserve"> </w:t>
            </w:r>
            <w:r>
              <w:rPr>
                <w:rFonts w:ascii="Times New Roman" w:hAnsi="Times New Roman" w:eastAsia="宋体" w:cs="Times New Roman"/>
                <w:snapToGrid/>
                <w:color w:val="auto"/>
                <w:kern w:val="2"/>
                <w:sz w:val="24"/>
                <w:szCs w:val="24"/>
                <w:lang w:eastAsia="zh-CN" w:bidi="ar"/>
              </w:rPr>
              <w:t>1415-2025）</w:t>
            </w:r>
            <w:r>
              <w:rPr>
                <w:rFonts w:hint="eastAsia" w:ascii="Times New Roman" w:hAnsi="Times New Roman" w:eastAsia="宋体" w:cs="Times New Roman"/>
                <w:snapToGrid/>
                <w:color w:val="auto"/>
                <w:kern w:val="2"/>
                <w:sz w:val="24"/>
                <w:szCs w:val="24"/>
                <w:lang w:eastAsia="zh-CN" w:bidi="ar"/>
              </w:rPr>
              <w:t>筑路利用要求，满足《磷石膏的处理处置规范》（GB/T 32124-2024）筑路材料要求，</w:t>
            </w:r>
            <w:r>
              <w:rPr>
                <w:rFonts w:hint="eastAsia" w:ascii="Times New Roman" w:hAnsi="Times New Roman" w:eastAsia="宋体" w:cs="Times New Roman"/>
                <w:color w:val="auto"/>
                <w:sz w:val="24"/>
                <w:szCs w:val="24"/>
                <w:lang w:eastAsia="zh-CN"/>
              </w:rPr>
              <w:t>满足</w:t>
            </w:r>
            <w:r>
              <w:rPr>
                <w:rFonts w:hint="eastAsia" w:ascii="Times New Roman" w:hAnsi="Times New Roman" w:eastAsia="宋体" w:cs="Times New Roman"/>
                <w:snapToGrid/>
                <w:color w:val="auto"/>
                <w:kern w:val="2"/>
                <w:sz w:val="24"/>
                <w:szCs w:val="24"/>
                <w:lang w:eastAsia="zh-CN" w:bidi="ar"/>
              </w:rPr>
              <w:t>《路用改性磷石膏》（JT/T 1551-2025）中4.1.1磷石膏</w:t>
            </w:r>
            <w:r>
              <w:rPr>
                <w:rFonts w:hint="eastAsia" w:cs="Times New Roman"/>
                <w:snapToGrid/>
                <w:color w:val="auto"/>
                <w:kern w:val="2"/>
                <w:sz w:val="24"/>
                <w:szCs w:val="24"/>
                <w:lang w:val="en-US" w:eastAsia="zh-CN" w:bidi="ar"/>
              </w:rPr>
              <w:t>和4.2路用改性磷石膏</w:t>
            </w:r>
            <w:r>
              <w:rPr>
                <w:rFonts w:hint="eastAsia" w:ascii="Times New Roman" w:hAnsi="Times New Roman" w:eastAsia="宋体" w:cs="Times New Roman"/>
                <w:snapToGrid/>
                <w:color w:val="auto"/>
                <w:kern w:val="2"/>
                <w:sz w:val="24"/>
                <w:szCs w:val="24"/>
                <w:lang w:eastAsia="zh-CN" w:bidi="ar"/>
              </w:rPr>
              <w:t>要求。</w:t>
            </w:r>
          </w:p>
          <w:p w14:paraId="03B3F97B">
            <w:pPr>
              <w:pStyle w:val="30"/>
              <w:kinsoku/>
              <w:overflowPunct w:val="0"/>
              <w:autoSpaceDE/>
              <w:autoSpaceDN/>
              <w:adjustRightInd/>
              <w:snapToGrid/>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snapToGrid/>
                <w:color w:val="auto"/>
                <w:kern w:val="2"/>
                <w:sz w:val="24"/>
                <w:szCs w:val="24"/>
                <w:lang w:val="en-US" w:eastAsia="zh-CN" w:bidi="ar"/>
              </w:rPr>
              <w:t>5</w:t>
            </w:r>
            <w:r>
              <w:rPr>
                <w:rFonts w:hint="eastAsia" w:ascii="Times New Roman" w:hAnsi="Times New Roman" w:eastAsia="宋体" w:cs="Times New Roman"/>
                <w:b/>
                <w:bCs/>
                <w:color w:val="auto"/>
                <w:sz w:val="24"/>
                <w:szCs w:val="24"/>
                <w:lang w:val="en-US" w:eastAsia="zh-CN"/>
              </w:rPr>
              <w:t>、原辅料入场污染控制措施</w:t>
            </w:r>
          </w:p>
          <w:p w14:paraId="368B7D04">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由于本项目原辅料均为粉状、粒状成品，在入场过程中易产生粉尘污染，本评价针对运输至厂区及接收过程提出以下控制措施：</w:t>
            </w:r>
          </w:p>
          <w:p w14:paraId="5739DBEE">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eastAsia="zh-CN"/>
              </w:rPr>
              <w:t>运输车辆必须为全密闭罐车、密封篷布货车，严禁敞开式、破损车厢运输粉状物料。</w:t>
            </w:r>
          </w:p>
          <w:p w14:paraId="46D99CC7">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②车辆入场前检查：车厢密闭性、篷布完好无破损、罐体阀门密封严实，杜绝运输途中撒漏、扬尘。</w:t>
            </w:r>
          </w:p>
          <w:p w14:paraId="23701AA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③原料包装标准：袋装粉料采用加厚覆膜编织袋、双层包装，封口严密无破损、无漏粉；散装粉料罐体密封加压防尘。</w:t>
            </w:r>
          </w:p>
          <w:p w14:paraId="753F526B">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④提前报备物料名称、数量、运输车辆信息、到货时间，错峰进场。</w:t>
            </w:r>
          </w:p>
          <w:p w14:paraId="140C4BE4">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w:t>
            </w:r>
            <w:r>
              <w:rPr>
                <w:rFonts w:hint="eastAsia" w:ascii="Times New Roman" w:hAnsi="Times New Roman" w:eastAsia="宋体" w:cs="Times New Roman"/>
                <w:color w:val="auto"/>
                <w:sz w:val="24"/>
                <w:szCs w:val="24"/>
                <w:lang w:val="en-US" w:eastAsia="zh-CN"/>
              </w:rPr>
              <w:t>建立物料管理台账（特别是磷石膏管理台账），设置专人</w:t>
            </w:r>
            <w:r>
              <w:rPr>
                <w:rFonts w:hint="eastAsia" w:ascii="Times New Roman" w:hAnsi="Times New Roman" w:eastAsia="宋体" w:cs="Times New Roman"/>
                <w:color w:val="auto"/>
                <w:sz w:val="24"/>
                <w:szCs w:val="24"/>
                <w:lang w:eastAsia="zh-CN"/>
              </w:rPr>
              <w:t>核查</w:t>
            </w:r>
            <w:r>
              <w:rPr>
                <w:rFonts w:hint="eastAsia" w:ascii="Times New Roman" w:hAnsi="Times New Roman" w:eastAsia="宋体" w:cs="Times New Roman"/>
                <w:color w:val="auto"/>
                <w:sz w:val="24"/>
                <w:szCs w:val="24"/>
                <w:lang w:val="en-US" w:eastAsia="zh-CN"/>
              </w:rPr>
              <w:t>并记录</w:t>
            </w:r>
            <w:r>
              <w:rPr>
                <w:rFonts w:hint="eastAsia" w:ascii="Times New Roman" w:hAnsi="Times New Roman" w:eastAsia="宋体" w:cs="Times New Roman"/>
                <w:color w:val="auto"/>
                <w:sz w:val="24"/>
                <w:szCs w:val="24"/>
                <w:lang w:eastAsia="zh-CN"/>
              </w:rPr>
              <w:t>物料批次、标识、</w:t>
            </w:r>
            <w:r>
              <w:rPr>
                <w:rFonts w:hint="eastAsia" w:ascii="Times New Roman" w:hAnsi="Times New Roman" w:eastAsia="宋体" w:cs="Times New Roman"/>
                <w:color w:val="auto"/>
                <w:sz w:val="24"/>
                <w:szCs w:val="24"/>
                <w:lang w:val="en-US" w:eastAsia="zh-CN"/>
              </w:rPr>
              <w:t>质量报告</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确保</w:t>
            </w:r>
            <w:r>
              <w:rPr>
                <w:rFonts w:hint="eastAsia" w:ascii="Times New Roman" w:hAnsi="Times New Roman" w:eastAsia="宋体" w:cs="Times New Roman"/>
                <w:color w:val="auto"/>
                <w:sz w:val="24"/>
                <w:szCs w:val="24"/>
                <w:lang w:eastAsia="zh-CN"/>
              </w:rPr>
              <w:t>批次清晰、品名一致、溯源信息完整，杜绝</w:t>
            </w:r>
            <w:r>
              <w:rPr>
                <w:rFonts w:hint="eastAsia" w:ascii="Times New Roman" w:hAnsi="Times New Roman" w:eastAsia="宋体" w:cs="Times New Roman"/>
                <w:color w:val="auto"/>
                <w:sz w:val="24"/>
                <w:szCs w:val="24"/>
                <w:lang w:val="en-US" w:eastAsia="zh-CN"/>
              </w:rPr>
              <w:t>入场</w:t>
            </w:r>
            <w:r>
              <w:rPr>
                <w:rFonts w:hint="eastAsia" w:ascii="Times New Roman" w:hAnsi="Times New Roman" w:eastAsia="宋体" w:cs="Times New Roman"/>
                <w:color w:val="auto"/>
                <w:sz w:val="24"/>
                <w:szCs w:val="24"/>
                <w:lang w:eastAsia="zh-CN"/>
              </w:rPr>
              <w:t>错料、混料、</w:t>
            </w:r>
            <w:r>
              <w:rPr>
                <w:rFonts w:hint="eastAsia" w:ascii="Times New Roman" w:hAnsi="Times New Roman" w:eastAsia="宋体" w:cs="Times New Roman"/>
                <w:color w:val="auto"/>
                <w:sz w:val="24"/>
                <w:szCs w:val="24"/>
                <w:lang w:val="en-US" w:eastAsia="zh-CN"/>
              </w:rPr>
              <w:t>不合格料</w:t>
            </w:r>
            <w:r>
              <w:rPr>
                <w:rFonts w:hint="eastAsia" w:ascii="Times New Roman" w:hAnsi="Times New Roman" w:eastAsia="宋体" w:cs="Times New Roman"/>
                <w:color w:val="auto"/>
                <w:sz w:val="24"/>
                <w:szCs w:val="24"/>
                <w:lang w:eastAsia="zh-CN"/>
              </w:rPr>
              <w:t>。</w:t>
            </w:r>
          </w:p>
          <w:p w14:paraId="548E90B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五</w:t>
            </w:r>
            <w:r>
              <w:rPr>
                <w:rFonts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eastAsia="zh-CN"/>
              </w:rPr>
              <w:t>主要设备</w:t>
            </w:r>
          </w:p>
          <w:p w14:paraId="098C352E">
            <w:pPr>
              <w:pStyle w:val="30"/>
              <w:kinsoku/>
              <w:overflowPunct w:val="0"/>
              <w:autoSpaceDE/>
              <w:autoSpaceDN/>
              <w:adjustRightInd/>
              <w:snapToGrid/>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项目</w:t>
            </w:r>
            <w:r>
              <w:rPr>
                <w:rFonts w:hint="eastAsia" w:ascii="Times New Roman" w:hAnsi="Times New Roman" w:eastAsia="宋体" w:cs="Times New Roman"/>
                <w:b/>
                <w:bCs/>
                <w:color w:val="auto"/>
                <w:sz w:val="24"/>
                <w:szCs w:val="24"/>
                <w:lang w:eastAsia="zh-CN"/>
              </w:rPr>
              <w:t>主要</w:t>
            </w:r>
            <w:r>
              <w:rPr>
                <w:rFonts w:hint="eastAsia" w:ascii="Times New Roman" w:hAnsi="Times New Roman" w:eastAsia="宋体" w:cs="Times New Roman"/>
                <w:b/>
                <w:bCs/>
                <w:color w:val="auto"/>
                <w:sz w:val="24"/>
                <w:szCs w:val="24"/>
                <w:lang w:val="en-US" w:eastAsia="zh-CN"/>
              </w:rPr>
              <w:t>生产</w:t>
            </w:r>
            <w:r>
              <w:rPr>
                <w:rFonts w:hint="eastAsia" w:ascii="Times New Roman" w:hAnsi="Times New Roman" w:eastAsia="宋体" w:cs="Times New Roman"/>
                <w:b/>
                <w:bCs/>
                <w:color w:val="auto"/>
                <w:sz w:val="24"/>
                <w:szCs w:val="24"/>
                <w:lang w:eastAsia="zh-CN"/>
              </w:rPr>
              <w:t>设备</w:t>
            </w:r>
            <w:r>
              <w:rPr>
                <w:rFonts w:hint="eastAsia" w:ascii="Times New Roman" w:hAnsi="Times New Roman" w:eastAsia="宋体" w:cs="Times New Roman"/>
                <w:b/>
                <w:bCs/>
                <w:color w:val="auto"/>
                <w:sz w:val="24"/>
                <w:szCs w:val="24"/>
                <w:lang w:val="en-US" w:eastAsia="zh-CN"/>
              </w:rPr>
              <w:t>见下表所示：</w:t>
            </w:r>
          </w:p>
          <w:p w14:paraId="20C27D55">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表2-1</w:t>
            </w:r>
            <w:r>
              <w:rPr>
                <w:rFonts w:hint="eastAsia" w:cs="Times New Roman"/>
                <w:b/>
                <w:snapToGrid/>
                <w:color w:val="auto"/>
                <w:kern w:val="2"/>
                <w:sz w:val="24"/>
                <w:szCs w:val="24"/>
                <w:lang w:val="en-US" w:eastAsia="zh-CN" w:bidi="ar"/>
              </w:rPr>
              <w:t>2</w:t>
            </w:r>
            <w:r>
              <w:rPr>
                <w:rFonts w:hint="eastAsia" w:ascii="Times New Roman" w:hAnsi="Times New Roman" w:eastAsia="宋体" w:cs="Times New Roman"/>
                <w:b/>
                <w:snapToGrid/>
                <w:color w:val="auto"/>
                <w:kern w:val="2"/>
                <w:sz w:val="24"/>
                <w:szCs w:val="24"/>
                <w:lang w:eastAsia="zh-CN" w:bidi="ar"/>
              </w:rPr>
              <w:t xml:space="preserve"> 设备情况表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92"/>
              <w:gridCol w:w="5812"/>
              <w:gridCol w:w="628"/>
              <w:gridCol w:w="458"/>
            </w:tblGrid>
            <w:tr w14:paraId="4CB11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A3A36DC">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设备名称</w:t>
                  </w:r>
                </w:p>
              </w:tc>
              <w:tc>
                <w:tcPr>
                  <w:tcW w:w="5812" w:type="dxa"/>
                  <w:vAlign w:val="center"/>
                </w:tcPr>
                <w:p w14:paraId="4857F25F">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lang w:eastAsia="zh-CN"/>
                    </w:rPr>
                    <w:t>型号/</w:t>
                  </w:r>
                  <w:r>
                    <w:rPr>
                      <w:rFonts w:ascii="Times New Roman" w:hAnsi="Times New Roman" w:eastAsia="宋体" w:cs="Times New Roman"/>
                      <w:b/>
                      <w:bCs/>
                      <w:color w:val="auto"/>
                      <w:sz w:val="21"/>
                      <w:szCs w:val="21"/>
                    </w:rPr>
                    <w:t>参数</w:t>
                  </w:r>
                </w:p>
              </w:tc>
              <w:tc>
                <w:tcPr>
                  <w:tcW w:w="628" w:type="dxa"/>
                  <w:vAlign w:val="center"/>
                </w:tcPr>
                <w:p w14:paraId="53ADEC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单位</w:t>
                  </w:r>
                </w:p>
              </w:tc>
              <w:tc>
                <w:tcPr>
                  <w:tcW w:w="458" w:type="dxa"/>
                  <w:vAlign w:val="center"/>
                </w:tcPr>
                <w:p w14:paraId="573B968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设备</w:t>
                  </w:r>
                  <w:r>
                    <w:rPr>
                      <w:rFonts w:ascii="Times New Roman" w:hAnsi="Times New Roman" w:eastAsia="宋体" w:cs="Times New Roman"/>
                      <w:b/>
                      <w:bCs/>
                      <w:color w:val="auto"/>
                      <w:sz w:val="21"/>
                      <w:szCs w:val="21"/>
                    </w:rPr>
                    <w:t>数量</w:t>
                  </w:r>
                </w:p>
              </w:tc>
            </w:tr>
            <w:tr w14:paraId="685F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3A7ACA06">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hint="eastAsia" w:ascii="Times New Roman" w:hAnsi="Times New Roman" w:eastAsia="宋体" w:cs="Times New Roman"/>
                      <w:color w:val="auto"/>
                      <w:sz w:val="21"/>
                      <w:szCs w:val="21"/>
                      <w:lang w:eastAsia="zh-CN"/>
                    </w:rPr>
                    <w:t>密闭</w:t>
                  </w:r>
                  <w:r>
                    <w:rPr>
                      <w:rFonts w:ascii="Times New Roman" w:hAnsi="Times New Roman" w:eastAsia="宋体" w:cs="Times New Roman"/>
                      <w:color w:val="auto"/>
                      <w:sz w:val="21"/>
                      <w:szCs w:val="21"/>
                    </w:rPr>
                    <w:t>皮带</w:t>
                  </w:r>
                </w:p>
              </w:tc>
              <w:tc>
                <w:tcPr>
                  <w:tcW w:w="5812" w:type="dxa"/>
                  <w:vAlign w:val="center"/>
                </w:tcPr>
                <w:p w14:paraId="463A537A">
                  <w:pPr>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hint="eastAsia" w:ascii="Times New Roman" w:hAnsi="Times New Roman" w:eastAsia="宋体" w:cs="Times New Roman"/>
                      <w:snapToGrid w:val="0"/>
                      <w:color w:val="auto"/>
                      <w:sz w:val="21"/>
                      <w:szCs w:val="21"/>
                      <w:lang w:val="en-US" w:eastAsia="en-US" w:bidi="ar-SA"/>
                    </w:rPr>
                    <w:t>流量可调，最大流量</w:t>
                  </w:r>
                  <w:r>
                    <w:rPr>
                      <w:rFonts w:hint="eastAsia" w:cs="Times New Roman"/>
                      <w:snapToGrid w:val="0"/>
                      <w:color w:val="auto"/>
                      <w:sz w:val="21"/>
                      <w:szCs w:val="21"/>
                      <w:lang w:val="en-US" w:eastAsia="zh-CN" w:bidi="ar-SA"/>
                    </w:rPr>
                    <w:t>5</w:t>
                  </w:r>
                  <w:r>
                    <w:rPr>
                      <w:rFonts w:hint="eastAsia" w:ascii="Times New Roman" w:hAnsi="Times New Roman" w:eastAsia="宋体" w:cs="Times New Roman"/>
                      <w:snapToGrid w:val="0"/>
                      <w:color w:val="auto"/>
                      <w:sz w:val="21"/>
                      <w:szCs w:val="21"/>
                      <w:lang w:val="en-US" w:eastAsia="en-US" w:bidi="ar-SA"/>
                    </w:rPr>
                    <w:t>0m</w:t>
                  </w:r>
                  <w:r>
                    <w:rPr>
                      <w:rFonts w:hint="eastAsia" w:ascii="Times New Roman" w:hAnsi="Times New Roman" w:eastAsia="宋体" w:cs="Times New Roman"/>
                      <w:snapToGrid w:val="0"/>
                      <w:color w:val="auto"/>
                      <w:sz w:val="21"/>
                      <w:szCs w:val="21"/>
                      <w:vertAlign w:val="superscript"/>
                      <w:lang w:val="en-US" w:eastAsia="en-US" w:bidi="ar-SA"/>
                    </w:rPr>
                    <w:t>3</w:t>
                  </w:r>
                  <w:r>
                    <w:rPr>
                      <w:rFonts w:hint="eastAsia" w:ascii="Times New Roman" w:hAnsi="Times New Roman" w:eastAsia="宋体" w:cs="Times New Roman"/>
                      <w:snapToGrid w:val="0"/>
                      <w:color w:val="auto"/>
                      <w:sz w:val="21"/>
                      <w:szCs w:val="21"/>
                      <w:lang w:val="en-US" w:eastAsia="en-US" w:bidi="ar-SA"/>
                    </w:rPr>
                    <w:t>/h</w:t>
                  </w:r>
                </w:p>
              </w:tc>
              <w:tc>
                <w:tcPr>
                  <w:tcW w:w="628" w:type="dxa"/>
                  <w:vAlign w:val="center"/>
                </w:tcPr>
                <w:p w14:paraId="0D9F5442">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cs="Times New Roman"/>
                      <w:color w:val="auto"/>
                      <w:sz w:val="21"/>
                      <w:szCs w:val="21"/>
                      <w:lang w:val="en-US" w:eastAsia="zh-CN"/>
                    </w:rPr>
                    <w:t>条</w:t>
                  </w:r>
                </w:p>
              </w:tc>
              <w:tc>
                <w:tcPr>
                  <w:tcW w:w="458" w:type="dxa"/>
                  <w:vAlign w:val="center"/>
                </w:tcPr>
                <w:p w14:paraId="5E0EC675">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3</w:t>
                  </w:r>
                </w:p>
              </w:tc>
            </w:tr>
            <w:tr w14:paraId="20CE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78CEC92C">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计量设备</w:t>
                  </w:r>
                </w:p>
              </w:tc>
              <w:tc>
                <w:tcPr>
                  <w:tcW w:w="5812" w:type="dxa"/>
                  <w:vAlign w:val="center"/>
                </w:tcPr>
                <w:p w14:paraId="68A55807">
                  <w:pPr>
                    <w:kinsoku/>
                    <w:overflowPunct w:val="0"/>
                    <w:autoSpaceDE/>
                    <w:autoSpaceDN/>
                    <w:adjustRightInd/>
                    <w:snapToGrid/>
                    <w:jc w:val="center"/>
                    <w:rPr>
                      <w:rFonts w:hint="default" w:ascii="Times New Roman" w:hAnsi="Times New Roman" w:eastAsia="宋体" w:cs="Times New Roman"/>
                      <w:snapToGrid w:val="0"/>
                      <w:color w:val="auto"/>
                      <w:sz w:val="21"/>
                      <w:szCs w:val="21"/>
                      <w:lang w:val="en-US" w:eastAsia="zh-CN" w:bidi="ar-SA"/>
                    </w:rPr>
                  </w:pPr>
                  <w:r>
                    <w:rPr>
                      <w:rFonts w:hint="eastAsia" w:cs="Times New Roman"/>
                      <w:snapToGrid w:val="0"/>
                      <w:color w:val="auto"/>
                      <w:sz w:val="21"/>
                      <w:szCs w:val="21"/>
                      <w:lang w:val="en-US" w:eastAsia="zh-CN" w:bidi="ar-SA"/>
                    </w:rPr>
                    <w:t>流量可调，最大流量60</w:t>
                  </w:r>
                  <w:r>
                    <w:rPr>
                      <w:rFonts w:hint="eastAsia" w:cs="Times New Roman"/>
                      <w:color w:val="auto"/>
                      <w:lang w:val="en-US" w:eastAsia="zh-CN"/>
                    </w:rPr>
                    <w:t>m</w:t>
                  </w:r>
                  <w:r>
                    <w:rPr>
                      <w:rFonts w:hint="eastAsia" w:cs="Times New Roman"/>
                      <w:color w:val="auto"/>
                      <w:vertAlign w:val="superscript"/>
                      <w:lang w:val="en-US" w:eastAsia="zh-CN"/>
                    </w:rPr>
                    <w:t>3</w:t>
                  </w:r>
                  <w:r>
                    <w:rPr>
                      <w:rFonts w:hint="eastAsia" w:cs="Times New Roman"/>
                      <w:color w:val="auto"/>
                      <w:lang w:val="en-US" w:eastAsia="zh-CN"/>
                    </w:rPr>
                    <w:t>/h</w:t>
                  </w:r>
                </w:p>
              </w:tc>
              <w:tc>
                <w:tcPr>
                  <w:tcW w:w="628" w:type="dxa"/>
                  <w:vAlign w:val="center"/>
                </w:tcPr>
                <w:p w14:paraId="37A39719">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台</w:t>
                  </w:r>
                </w:p>
              </w:tc>
              <w:tc>
                <w:tcPr>
                  <w:tcW w:w="458" w:type="dxa"/>
                  <w:vAlign w:val="center"/>
                </w:tcPr>
                <w:p w14:paraId="724B1D9B">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1</w:t>
                  </w:r>
                </w:p>
              </w:tc>
            </w:tr>
            <w:tr w14:paraId="0029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51648CD9">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ascii="Times New Roman" w:hAnsi="Times New Roman" w:eastAsia="宋体" w:cs="Times New Roman"/>
                      <w:color w:val="auto"/>
                      <w:sz w:val="21"/>
                      <w:szCs w:val="21"/>
                    </w:rPr>
                    <w:t>双轴混料搅拌机</w:t>
                  </w:r>
                </w:p>
              </w:tc>
              <w:tc>
                <w:tcPr>
                  <w:tcW w:w="5812" w:type="dxa"/>
                  <w:vAlign w:val="center"/>
                </w:tcPr>
                <w:p w14:paraId="5E27B667">
                  <w:pPr>
                    <w:kinsoku/>
                    <w:overflowPunct w:val="0"/>
                    <w:autoSpaceDE/>
                    <w:autoSpaceDN/>
                    <w:adjustRightInd/>
                    <w:snapToGrid/>
                    <w:jc w:val="center"/>
                    <w:rPr>
                      <w:rFonts w:hint="default" w:ascii="Times New Roman" w:hAnsi="Times New Roman" w:eastAsia="宋体" w:cs="Times New Roman"/>
                      <w:snapToGrid w:val="0"/>
                      <w:color w:val="auto"/>
                      <w:sz w:val="21"/>
                      <w:szCs w:val="21"/>
                      <w:lang w:val="en-US" w:eastAsia="zh-CN" w:bidi="ar-SA"/>
                    </w:rPr>
                  </w:pPr>
                  <w:r>
                    <w:rPr>
                      <w:rFonts w:hint="eastAsia" w:cs="Times New Roman"/>
                      <w:color w:val="auto"/>
                      <w:lang w:val="en-US" w:eastAsia="zh-CN"/>
                    </w:rPr>
                    <w:t>长5m宽1.8m高1.86m，电机功率45kW，产能50m</w:t>
                  </w:r>
                  <w:r>
                    <w:rPr>
                      <w:rFonts w:hint="eastAsia" w:cs="Times New Roman"/>
                      <w:color w:val="auto"/>
                      <w:vertAlign w:val="superscript"/>
                      <w:lang w:val="en-US" w:eastAsia="zh-CN"/>
                    </w:rPr>
                    <w:t>3</w:t>
                  </w:r>
                  <w:r>
                    <w:rPr>
                      <w:rFonts w:hint="eastAsia" w:cs="Times New Roman"/>
                      <w:color w:val="auto"/>
                      <w:lang w:val="en-US" w:eastAsia="zh-CN"/>
                    </w:rPr>
                    <w:t>/h</w:t>
                  </w:r>
                </w:p>
              </w:tc>
              <w:tc>
                <w:tcPr>
                  <w:tcW w:w="628" w:type="dxa"/>
                  <w:vAlign w:val="center"/>
                </w:tcPr>
                <w:p w14:paraId="4FDDA2DF">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台</w:t>
                  </w:r>
                </w:p>
              </w:tc>
              <w:tc>
                <w:tcPr>
                  <w:tcW w:w="458" w:type="dxa"/>
                  <w:vAlign w:val="center"/>
                </w:tcPr>
                <w:p w14:paraId="5478338A">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1</w:t>
                  </w:r>
                </w:p>
              </w:tc>
            </w:tr>
            <w:tr w14:paraId="52CA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C6A0CAD">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粉料筒仓</w:t>
                  </w:r>
                </w:p>
              </w:tc>
              <w:tc>
                <w:tcPr>
                  <w:tcW w:w="5812" w:type="dxa"/>
                  <w:vAlign w:val="center"/>
                </w:tcPr>
                <w:p w14:paraId="2CDC3B27">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高1</w:t>
                  </w:r>
                  <w:r>
                    <w:rPr>
                      <w:rFonts w:hint="eastAsia" w:ascii="Times New Roman" w:hAnsi="Times New Roman" w:eastAsia="宋体" w:cs="Times New Roman"/>
                      <w:color w:val="auto"/>
                      <w:sz w:val="21"/>
                      <w:szCs w:val="21"/>
                      <w:lang w:eastAsia="zh-CN"/>
                    </w:rPr>
                    <w:t>7</w:t>
                  </w:r>
                  <w:r>
                    <w:rPr>
                      <w:rFonts w:ascii="Times New Roman" w:hAnsi="Times New Roman" w:eastAsia="宋体" w:cs="Times New Roman"/>
                      <w:color w:val="auto"/>
                      <w:sz w:val="21"/>
                      <w:szCs w:val="21"/>
                    </w:rPr>
                    <w:t>m，容量</w:t>
                  </w:r>
                  <w:r>
                    <w:rPr>
                      <w:rFonts w:hint="eastAsia" w:ascii="Times New Roman" w:hAnsi="Times New Roman" w:eastAsia="宋体" w:cs="Times New Roman"/>
                      <w:color w:val="auto"/>
                      <w:sz w:val="21"/>
                      <w:szCs w:val="21"/>
                      <w:lang w:eastAsia="zh-CN"/>
                    </w:rPr>
                    <w:t>2</w:t>
                  </w:r>
                  <w:r>
                    <w:rPr>
                      <w:rFonts w:ascii="Times New Roman" w:hAnsi="Times New Roman" w:eastAsia="宋体" w:cs="Times New Roman"/>
                      <w:color w:val="auto"/>
                      <w:sz w:val="21"/>
                      <w:szCs w:val="21"/>
                    </w:rPr>
                    <w:t>0t</w:t>
                  </w:r>
                </w:p>
              </w:tc>
              <w:tc>
                <w:tcPr>
                  <w:tcW w:w="628" w:type="dxa"/>
                  <w:vAlign w:val="center"/>
                </w:tcPr>
                <w:p w14:paraId="6F71AD26">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en-US" w:bidi="ar-SA"/>
                    </w:rPr>
                  </w:pPr>
                  <w:r>
                    <w:rPr>
                      <w:rFonts w:ascii="Times New Roman" w:hAnsi="Times New Roman" w:eastAsia="宋体" w:cs="Times New Roman"/>
                      <w:color w:val="auto"/>
                      <w:sz w:val="21"/>
                      <w:szCs w:val="21"/>
                    </w:rPr>
                    <w:t>座</w:t>
                  </w:r>
                </w:p>
              </w:tc>
              <w:tc>
                <w:tcPr>
                  <w:tcW w:w="458" w:type="dxa"/>
                  <w:vAlign w:val="center"/>
                </w:tcPr>
                <w:p w14:paraId="7FF79785">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1</w:t>
                  </w:r>
                </w:p>
              </w:tc>
            </w:tr>
            <w:tr w14:paraId="6A6BA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6C089A1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装载机</w:t>
                  </w:r>
                </w:p>
              </w:tc>
              <w:tc>
                <w:tcPr>
                  <w:tcW w:w="5812" w:type="dxa"/>
                  <w:vAlign w:val="center"/>
                </w:tcPr>
                <w:p w14:paraId="6FA0666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position w:val="-2"/>
                      <w:lang w:eastAsia="zh-CN"/>
                    </w:rPr>
                    <w:t>—</w:t>
                  </w:r>
                </w:p>
              </w:tc>
              <w:tc>
                <w:tcPr>
                  <w:tcW w:w="628" w:type="dxa"/>
                  <w:vAlign w:val="center"/>
                </w:tcPr>
                <w:p w14:paraId="7013D83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台</w:t>
                  </w:r>
                </w:p>
              </w:tc>
              <w:tc>
                <w:tcPr>
                  <w:tcW w:w="458" w:type="dxa"/>
                  <w:vAlign w:val="center"/>
                </w:tcPr>
                <w:p w14:paraId="3456936E">
                  <w:pPr>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lang w:val="en-US" w:eastAsia="zh-CN"/>
                    </w:rPr>
                    <w:t>2</w:t>
                  </w:r>
                </w:p>
              </w:tc>
            </w:tr>
            <w:tr w14:paraId="4702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1933560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脉冲布袋除尘器</w:t>
                  </w:r>
                </w:p>
                <w:p w14:paraId="152C37AB">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（筒仓自带）</w:t>
                  </w:r>
                </w:p>
              </w:tc>
              <w:tc>
                <w:tcPr>
                  <w:tcW w:w="5812" w:type="dxa"/>
                  <w:vAlign w:val="center"/>
                </w:tcPr>
                <w:p w14:paraId="3AED78B1">
                  <w:pPr>
                    <w:kinsoku/>
                    <w:overflowPunct w:val="0"/>
                    <w:autoSpaceDE/>
                    <w:autoSpaceDN/>
                    <w:adjustRightInd/>
                    <w:snapToGrid/>
                    <w:jc w:val="center"/>
                    <w:rPr>
                      <w:rFonts w:hint="eastAsia" w:ascii="Times New Roman" w:hAnsi="Times New Roman" w:eastAsia="宋体" w:cs="Times New Roman"/>
                      <w:snapToGrid w:val="0"/>
                      <w:color w:val="auto"/>
                      <w:position w:val="-2"/>
                      <w:sz w:val="21"/>
                      <w:szCs w:val="21"/>
                      <w:lang w:val="en-US" w:eastAsia="zh-CN" w:bidi="ar-SA"/>
                    </w:rPr>
                  </w:pPr>
                  <w:r>
                    <w:rPr>
                      <w:rFonts w:hint="eastAsia" w:ascii="Times New Roman" w:hAnsi="Times New Roman" w:eastAsia="宋体" w:cs="Times New Roman"/>
                      <w:color w:val="auto"/>
                      <w:lang w:val="en-US" w:eastAsia="zh-CN"/>
                    </w:rPr>
                    <w:t>呼吸风量</w:t>
                  </w: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lang w:eastAsia="zh-CN"/>
                    </w:rPr>
                    <w:t>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lang w:eastAsia="zh-CN"/>
                    </w:rPr>
                    <w:t>，</w:t>
                  </w:r>
                  <w:r>
                    <w:rPr>
                      <w:rFonts w:ascii="Times New Roman" w:hAnsi="Times New Roman" w:eastAsia="宋体" w:cs="Times New Roman"/>
                      <w:color w:val="auto"/>
                    </w:rPr>
                    <w:t>处理效率9</w:t>
                  </w:r>
                  <w:r>
                    <w:rPr>
                      <w:rFonts w:hint="eastAsia" w:ascii="Times New Roman" w:hAnsi="Times New Roman" w:eastAsia="宋体" w:cs="Times New Roman"/>
                      <w:color w:val="auto"/>
                      <w:lang w:eastAsia="zh-CN"/>
                    </w:rPr>
                    <w:t>9</w:t>
                  </w:r>
                  <w:r>
                    <w:rPr>
                      <w:rFonts w:ascii="Times New Roman" w:hAnsi="Times New Roman" w:eastAsia="宋体" w:cs="Times New Roman"/>
                      <w:color w:val="auto"/>
                    </w:rPr>
                    <w:t>%</w:t>
                  </w:r>
                </w:p>
              </w:tc>
              <w:tc>
                <w:tcPr>
                  <w:tcW w:w="628" w:type="dxa"/>
                  <w:vAlign w:val="center"/>
                </w:tcPr>
                <w:p w14:paraId="1A71BF55">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套</w:t>
                  </w:r>
                </w:p>
              </w:tc>
              <w:tc>
                <w:tcPr>
                  <w:tcW w:w="458" w:type="dxa"/>
                  <w:vAlign w:val="center"/>
                </w:tcPr>
                <w:p w14:paraId="2574ABEA">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1</w:t>
                  </w:r>
                </w:p>
              </w:tc>
            </w:tr>
            <w:tr w14:paraId="7B98E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76377909">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集气罩</w:t>
                  </w:r>
                </w:p>
              </w:tc>
              <w:tc>
                <w:tcPr>
                  <w:tcW w:w="5812" w:type="dxa"/>
                  <w:vAlign w:val="center"/>
                </w:tcPr>
                <w:p w14:paraId="6F9D2081">
                  <w:pPr>
                    <w:pStyle w:val="30"/>
                    <w:kinsoku/>
                    <w:overflowPunct w:val="0"/>
                    <w:autoSpaceDE/>
                    <w:autoSpaceDN/>
                    <w:adjustRightInd/>
                    <w:snapToGrid/>
                    <w:jc w:val="center"/>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bCs/>
                      <w:color w:val="auto"/>
                      <w:sz w:val="21"/>
                      <w:szCs w:val="21"/>
                      <w:lang w:eastAsia="zh-CN"/>
                    </w:rPr>
                    <w:t>收集率</w:t>
                  </w:r>
                  <w:r>
                    <w:rPr>
                      <w:rFonts w:hint="eastAsia" w:cs="Times New Roman"/>
                      <w:bCs/>
                      <w:color w:val="auto"/>
                      <w:sz w:val="21"/>
                      <w:szCs w:val="21"/>
                      <w:lang w:val="en-US" w:eastAsia="zh-CN"/>
                    </w:rPr>
                    <w:t>7</w:t>
                  </w:r>
                  <w:r>
                    <w:rPr>
                      <w:rFonts w:hint="eastAsia" w:ascii="Times New Roman" w:hAnsi="Times New Roman" w:eastAsia="宋体" w:cs="Times New Roman"/>
                      <w:bCs/>
                      <w:color w:val="auto"/>
                      <w:sz w:val="21"/>
                      <w:szCs w:val="21"/>
                      <w:lang w:eastAsia="zh-CN"/>
                    </w:rPr>
                    <w:t>0%</w:t>
                  </w:r>
                  <w:r>
                    <w:rPr>
                      <w:rFonts w:hint="eastAsia" w:ascii="Times New Roman" w:hAnsi="Times New Roman" w:eastAsia="宋体" w:cs="Times New Roman"/>
                      <w:bCs/>
                      <w:color w:val="auto"/>
                      <w:sz w:val="21"/>
                      <w:szCs w:val="21"/>
                      <w:lang w:val="en-US" w:eastAsia="zh-CN"/>
                    </w:rPr>
                    <w:t>计。</w:t>
                  </w:r>
                </w:p>
              </w:tc>
              <w:tc>
                <w:tcPr>
                  <w:tcW w:w="628" w:type="dxa"/>
                  <w:vAlign w:val="center"/>
                </w:tcPr>
                <w:p w14:paraId="47D96390">
                  <w:pPr>
                    <w:pStyle w:val="30"/>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个</w:t>
                  </w:r>
                </w:p>
              </w:tc>
              <w:tc>
                <w:tcPr>
                  <w:tcW w:w="458" w:type="dxa"/>
                  <w:vAlign w:val="center"/>
                </w:tcPr>
                <w:p w14:paraId="5EDD0089">
                  <w:pPr>
                    <w:kinsoku/>
                    <w:overflowPunct w:val="0"/>
                    <w:autoSpaceDE/>
                    <w:autoSpaceDN/>
                    <w:adjustRightInd/>
                    <w:snapToGrid/>
                    <w:jc w:val="center"/>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3</w:t>
                  </w:r>
                </w:p>
              </w:tc>
            </w:tr>
            <w:tr w14:paraId="650BD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2E3DA12D">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地磅</w:t>
                  </w:r>
                </w:p>
              </w:tc>
              <w:tc>
                <w:tcPr>
                  <w:tcW w:w="5812" w:type="dxa"/>
                  <w:vAlign w:val="center"/>
                </w:tcPr>
                <w:p w14:paraId="59C99AB0">
                  <w:pPr>
                    <w:kinsoku/>
                    <w:overflowPunct w:val="0"/>
                    <w:autoSpaceDE/>
                    <w:autoSpaceDN/>
                    <w:adjustRightInd/>
                    <w:snapToGrid/>
                    <w:jc w:val="center"/>
                    <w:rPr>
                      <w:rFonts w:ascii="Times New Roman" w:hAnsi="Times New Roman" w:eastAsia="宋体" w:cs="Times New Roman"/>
                      <w:snapToGrid w:val="0"/>
                      <w:color w:val="auto"/>
                      <w:position w:val="-2"/>
                      <w:sz w:val="21"/>
                      <w:szCs w:val="21"/>
                      <w:lang w:val="en-US" w:eastAsia="zh-CN" w:bidi="ar-SA"/>
                    </w:rPr>
                  </w:pPr>
                  <w:r>
                    <w:rPr>
                      <w:rFonts w:hint="eastAsia" w:ascii="Times New Roman" w:hAnsi="Times New Roman" w:eastAsia="宋体" w:cs="Times New Roman"/>
                      <w:color w:val="auto"/>
                      <w:position w:val="-2"/>
                      <w:lang w:eastAsia="zh-CN"/>
                    </w:rPr>
                    <w:t>—</w:t>
                  </w:r>
                </w:p>
              </w:tc>
              <w:tc>
                <w:tcPr>
                  <w:tcW w:w="628" w:type="dxa"/>
                  <w:vAlign w:val="center"/>
                </w:tcPr>
                <w:p w14:paraId="036AC204">
                  <w:pPr>
                    <w:pStyle w:val="30"/>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sz w:val="21"/>
                      <w:szCs w:val="21"/>
                      <w:lang w:eastAsia="zh-CN"/>
                    </w:rPr>
                    <w:t>套</w:t>
                  </w:r>
                </w:p>
              </w:tc>
              <w:tc>
                <w:tcPr>
                  <w:tcW w:w="458" w:type="dxa"/>
                  <w:vAlign w:val="center"/>
                </w:tcPr>
                <w:p w14:paraId="4328C5EF">
                  <w:pPr>
                    <w:kinsoku/>
                    <w:overflowPunct w:val="0"/>
                    <w:autoSpaceDE/>
                    <w:autoSpaceDN/>
                    <w:adjustRightInd/>
                    <w:snapToGrid/>
                    <w:jc w:val="center"/>
                    <w:rPr>
                      <w:rFonts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2</w:t>
                  </w:r>
                </w:p>
              </w:tc>
            </w:tr>
            <w:tr w14:paraId="23575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492" w:type="dxa"/>
                  <w:vAlign w:val="center"/>
                </w:tcPr>
                <w:p w14:paraId="4A7588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布袋除尘器</w:t>
                  </w:r>
                </w:p>
              </w:tc>
              <w:tc>
                <w:tcPr>
                  <w:tcW w:w="5812" w:type="dxa"/>
                  <w:vAlign w:val="center"/>
                </w:tcPr>
                <w:p w14:paraId="36E68D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风量</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eastAsia="zh-CN"/>
                    </w:rPr>
                    <w:t>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w:t>
                  </w:r>
                  <w:r>
                    <w:rPr>
                      <w:rFonts w:ascii="Times New Roman" w:hAnsi="Times New Roman" w:eastAsia="宋体" w:cs="Times New Roman"/>
                      <w:color w:val="auto"/>
                      <w:sz w:val="21"/>
                      <w:szCs w:val="21"/>
                    </w:rPr>
                    <w:t>处理效率9</w:t>
                  </w:r>
                  <w:r>
                    <w:rPr>
                      <w:rFonts w:hint="eastAsia" w:ascii="Times New Roman" w:hAnsi="Times New Roman" w:eastAsia="宋体" w:cs="Times New Roman"/>
                      <w:color w:val="auto"/>
                      <w:sz w:val="21"/>
                      <w:szCs w:val="21"/>
                      <w:lang w:eastAsia="zh-CN"/>
                    </w:rPr>
                    <w:t>9</w:t>
                  </w:r>
                  <w:r>
                    <w:rPr>
                      <w:rFonts w:ascii="Times New Roman" w:hAnsi="Times New Roman" w:eastAsia="宋体" w:cs="Times New Roman"/>
                      <w:color w:val="auto"/>
                      <w:sz w:val="21"/>
                      <w:szCs w:val="21"/>
                    </w:rPr>
                    <w:t>%</w:t>
                  </w:r>
                </w:p>
              </w:tc>
              <w:tc>
                <w:tcPr>
                  <w:tcW w:w="628" w:type="dxa"/>
                  <w:vAlign w:val="center"/>
                </w:tcPr>
                <w:p w14:paraId="78226F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套</w:t>
                  </w:r>
                </w:p>
              </w:tc>
              <w:tc>
                <w:tcPr>
                  <w:tcW w:w="458" w:type="dxa"/>
                  <w:vAlign w:val="center"/>
                </w:tcPr>
                <w:p w14:paraId="1A032C8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r>
          </w:tbl>
          <w:p w14:paraId="47510EED">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六</w:t>
            </w:r>
            <w:r>
              <w:rPr>
                <w:rFonts w:ascii="Times New Roman" w:hAnsi="Times New Roman" w:eastAsia="宋体" w:cs="Times New Roman"/>
                <w:b/>
                <w:bCs/>
                <w:color w:val="auto"/>
                <w:sz w:val="24"/>
                <w:szCs w:val="24"/>
              </w:rPr>
              <w:t>、物料平衡</w:t>
            </w:r>
            <w:r>
              <w:rPr>
                <w:rFonts w:hint="eastAsia" w:ascii="Times New Roman" w:hAnsi="Times New Roman" w:eastAsia="宋体" w:cs="Times New Roman"/>
                <w:b/>
                <w:bCs/>
                <w:color w:val="auto"/>
                <w:sz w:val="24"/>
                <w:szCs w:val="24"/>
                <w:lang w:eastAsia="zh-CN"/>
              </w:rPr>
              <w:t>及水平衡</w:t>
            </w:r>
          </w:p>
          <w:p w14:paraId="0BB66481">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1、物料平衡</w:t>
            </w:r>
          </w:p>
          <w:p w14:paraId="2F148ED6">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表2-1</w:t>
            </w:r>
            <w:r>
              <w:rPr>
                <w:rFonts w:hint="eastAsia" w:cs="Times New Roman"/>
                <w:b/>
                <w:snapToGrid/>
                <w:color w:val="auto"/>
                <w:kern w:val="2"/>
                <w:sz w:val="24"/>
                <w:szCs w:val="24"/>
                <w:lang w:val="en-US" w:eastAsia="zh-CN" w:bidi="ar"/>
              </w:rPr>
              <w:t>3</w:t>
            </w:r>
            <w:r>
              <w:rPr>
                <w:rFonts w:hint="eastAsia" w:ascii="Times New Roman" w:hAnsi="Times New Roman" w:eastAsia="宋体" w:cs="Times New Roman"/>
                <w:b/>
                <w:snapToGrid/>
                <w:color w:val="auto"/>
                <w:kern w:val="2"/>
                <w:sz w:val="24"/>
                <w:szCs w:val="24"/>
                <w:lang w:eastAsia="zh-CN" w:bidi="ar"/>
              </w:rPr>
              <w:t xml:space="preserve"> 物料平衡表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0"/>
              <w:gridCol w:w="1910"/>
              <w:gridCol w:w="1910"/>
              <w:gridCol w:w="1910"/>
              <w:gridCol w:w="1910"/>
            </w:tblGrid>
            <w:tr w14:paraId="03210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Merge w:val="restart"/>
                  <w:vAlign w:val="center"/>
                </w:tcPr>
                <w:p w14:paraId="42B87598">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序号</w:t>
                  </w:r>
                </w:p>
              </w:tc>
              <w:tc>
                <w:tcPr>
                  <w:tcW w:w="3820" w:type="dxa"/>
                  <w:gridSpan w:val="2"/>
                  <w:vAlign w:val="center"/>
                </w:tcPr>
                <w:p w14:paraId="398417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物料输入</w:t>
                  </w:r>
                </w:p>
              </w:tc>
              <w:tc>
                <w:tcPr>
                  <w:tcW w:w="3820" w:type="dxa"/>
                  <w:gridSpan w:val="2"/>
                  <w:vAlign w:val="center"/>
                </w:tcPr>
                <w:p w14:paraId="1B861D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物料输出</w:t>
                  </w:r>
                </w:p>
              </w:tc>
            </w:tr>
            <w:tr w14:paraId="4871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Merge w:val="continue"/>
                  <w:vAlign w:val="center"/>
                </w:tcPr>
                <w:p w14:paraId="25B2714E">
                  <w:pPr>
                    <w:pStyle w:val="30"/>
                    <w:kinsoku/>
                    <w:overflowPunct w:val="0"/>
                    <w:autoSpaceDE/>
                    <w:autoSpaceDN/>
                    <w:adjustRightInd/>
                    <w:snapToGrid/>
                    <w:jc w:val="center"/>
                    <w:rPr>
                      <w:rFonts w:ascii="Times New Roman" w:hAnsi="Times New Roman" w:eastAsia="宋体" w:cs="Times New Roman"/>
                      <w:b/>
                      <w:bCs/>
                      <w:color w:val="auto"/>
                      <w:sz w:val="21"/>
                      <w:szCs w:val="21"/>
                    </w:rPr>
                  </w:pPr>
                </w:p>
              </w:tc>
              <w:tc>
                <w:tcPr>
                  <w:tcW w:w="1910" w:type="dxa"/>
                  <w:vAlign w:val="center"/>
                </w:tcPr>
                <w:p w14:paraId="49B186E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0" w:type="dxa"/>
                  <w:vAlign w:val="center"/>
                </w:tcPr>
                <w:p w14:paraId="3A91BE1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c>
                <w:tcPr>
                  <w:tcW w:w="1910" w:type="dxa"/>
                  <w:vAlign w:val="center"/>
                </w:tcPr>
                <w:p w14:paraId="04362E3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物料名称</w:t>
                  </w:r>
                </w:p>
              </w:tc>
              <w:tc>
                <w:tcPr>
                  <w:tcW w:w="1910" w:type="dxa"/>
                  <w:vAlign w:val="center"/>
                </w:tcPr>
                <w:p w14:paraId="2D9857E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数量（t/a）</w:t>
                  </w:r>
                </w:p>
              </w:tc>
            </w:tr>
            <w:tr w14:paraId="5CC4A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4393854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1</w:t>
                  </w:r>
                </w:p>
              </w:tc>
              <w:tc>
                <w:tcPr>
                  <w:tcW w:w="1910" w:type="dxa"/>
                  <w:vAlign w:val="center"/>
                </w:tcPr>
                <w:p w14:paraId="0D6BB66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改性磷石膏</w:t>
                  </w:r>
                </w:p>
              </w:tc>
              <w:tc>
                <w:tcPr>
                  <w:tcW w:w="1910" w:type="dxa"/>
                  <w:vAlign w:val="center"/>
                </w:tcPr>
                <w:p w14:paraId="7841523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20000</w:t>
                  </w:r>
                </w:p>
              </w:tc>
              <w:tc>
                <w:tcPr>
                  <w:tcW w:w="1910" w:type="dxa"/>
                  <w:vAlign w:val="center"/>
                </w:tcPr>
                <w:p w14:paraId="7CFB64F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路基材料</w:t>
                  </w:r>
                </w:p>
              </w:tc>
              <w:tc>
                <w:tcPr>
                  <w:tcW w:w="1910" w:type="dxa"/>
                  <w:vAlign w:val="center"/>
                </w:tcPr>
                <w:p w14:paraId="535E1E7E">
                  <w:pPr>
                    <w:kinsoku/>
                    <w:overflowPunct w:val="0"/>
                    <w:autoSpaceDE/>
                    <w:autoSpaceDN/>
                    <w:adjustRightInd/>
                    <w:snapToGrid/>
                    <w:jc w:val="center"/>
                    <w:rPr>
                      <w:rFonts w:hint="default" w:ascii="Times New Roman" w:hAnsi="Times New Roman" w:eastAsia="宋体" w:cs="Times New Roman"/>
                      <w:color w:val="auto"/>
                      <w:sz w:val="22"/>
                      <w:szCs w:val="22"/>
                      <w:lang w:val="en-US" w:eastAsia="zh-CN"/>
                    </w:rPr>
                  </w:pPr>
                  <w:r>
                    <w:rPr>
                      <w:rFonts w:hint="eastAsia" w:ascii="Times New Roman" w:hAnsi="Times New Roman" w:eastAsia="宋体" w:cs="Times New Roman"/>
                      <w:color w:val="auto"/>
                      <w:lang w:eastAsia="zh-CN"/>
                    </w:rPr>
                    <w:t>999</w:t>
                  </w:r>
                  <w:r>
                    <w:rPr>
                      <w:rFonts w:hint="eastAsia" w:ascii="Times New Roman" w:hAnsi="Times New Roman" w:eastAsia="宋体" w:cs="Times New Roman"/>
                      <w:color w:val="auto"/>
                      <w:lang w:val="en-US" w:eastAsia="zh-CN"/>
                    </w:rPr>
                    <w:t>9</w:t>
                  </w:r>
                  <w:r>
                    <w:rPr>
                      <w:rFonts w:hint="eastAsia" w:cs="Times New Roman"/>
                      <w:color w:val="auto"/>
                      <w:lang w:val="en-US" w:eastAsia="zh-CN"/>
                    </w:rPr>
                    <w:t>5</w:t>
                  </w:r>
                  <w:r>
                    <w:rPr>
                      <w:rFonts w:hint="eastAsia" w:ascii="Times New Roman" w:hAnsi="Times New Roman" w:eastAsia="宋体" w:cs="Times New Roman"/>
                      <w:color w:val="auto"/>
                      <w:lang w:val="en-US" w:eastAsia="zh-CN"/>
                    </w:rPr>
                    <w:t>.</w:t>
                  </w:r>
                  <w:r>
                    <w:rPr>
                      <w:rFonts w:hint="eastAsia" w:cs="Times New Roman"/>
                      <w:color w:val="auto"/>
                      <w:lang w:val="en-US" w:eastAsia="zh-CN"/>
                    </w:rPr>
                    <w:t>795</w:t>
                  </w:r>
                </w:p>
              </w:tc>
            </w:tr>
            <w:tr w14:paraId="3BE0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7F420CA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2</w:t>
                  </w:r>
                </w:p>
              </w:tc>
              <w:tc>
                <w:tcPr>
                  <w:tcW w:w="1910" w:type="dxa"/>
                  <w:vAlign w:val="center"/>
                </w:tcPr>
                <w:p w14:paraId="23EC4E7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砂石骨料</w:t>
                  </w:r>
                </w:p>
              </w:tc>
              <w:tc>
                <w:tcPr>
                  <w:tcW w:w="1910" w:type="dxa"/>
                  <w:vAlign w:val="center"/>
                </w:tcPr>
                <w:p w14:paraId="3B8BF9F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60000</w:t>
                  </w:r>
                </w:p>
              </w:tc>
              <w:tc>
                <w:tcPr>
                  <w:tcW w:w="1910" w:type="dxa"/>
                  <w:vAlign w:val="center"/>
                </w:tcPr>
                <w:p w14:paraId="04002E9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无组织排放</w:t>
                  </w:r>
                </w:p>
              </w:tc>
              <w:tc>
                <w:tcPr>
                  <w:tcW w:w="1910" w:type="dxa"/>
                  <w:vAlign w:val="center"/>
                </w:tcPr>
                <w:p w14:paraId="160794B2">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6</w:t>
                  </w:r>
                  <w:r>
                    <w:rPr>
                      <w:rFonts w:hint="eastAsia" w:cs="Times New Roman"/>
                      <w:color w:val="auto"/>
                      <w:lang w:val="en-US" w:eastAsia="zh-CN"/>
                    </w:rPr>
                    <w:t>43</w:t>
                  </w:r>
                </w:p>
              </w:tc>
            </w:tr>
            <w:tr w14:paraId="1526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245B02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w:t>
                  </w:r>
                </w:p>
              </w:tc>
              <w:tc>
                <w:tcPr>
                  <w:tcW w:w="1910" w:type="dxa"/>
                  <w:vAlign w:val="center"/>
                </w:tcPr>
                <w:p w14:paraId="5272F8E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粉煤灰</w:t>
                  </w:r>
                </w:p>
              </w:tc>
              <w:tc>
                <w:tcPr>
                  <w:tcW w:w="1910" w:type="dxa"/>
                  <w:vAlign w:val="center"/>
                </w:tcPr>
                <w:p w14:paraId="1FC41F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20000</w:t>
                  </w:r>
                </w:p>
              </w:tc>
              <w:tc>
                <w:tcPr>
                  <w:tcW w:w="1910" w:type="dxa"/>
                  <w:vAlign w:val="center"/>
                </w:tcPr>
                <w:p w14:paraId="42039E9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有组织排放</w:t>
                  </w:r>
                </w:p>
              </w:tc>
              <w:tc>
                <w:tcPr>
                  <w:tcW w:w="1910" w:type="dxa"/>
                  <w:vAlign w:val="center"/>
                </w:tcPr>
                <w:p w14:paraId="1FE7A80D">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w:t>
                  </w:r>
                  <w:r>
                    <w:rPr>
                      <w:rFonts w:hint="eastAsia" w:cs="Times New Roman"/>
                      <w:color w:val="auto"/>
                      <w:lang w:val="en-US" w:eastAsia="zh-CN"/>
                    </w:rPr>
                    <w:t>562</w:t>
                  </w:r>
                </w:p>
              </w:tc>
            </w:tr>
            <w:tr w14:paraId="48EB9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0" w:type="dxa"/>
                  <w:vAlign w:val="center"/>
                </w:tcPr>
                <w:p w14:paraId="5E00A53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合计</w:t>
                  </w:r>
                </w:p>
              </w:tc>
              <w:tc>
                <w:tcPr>
                  <w:tcW w:w="1910" w:type="dxa"/>
                  <w:vAlign w:val="center"/>
                </w:tcPr>
                <w:p w14:paraId="59CEE42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p>
              </w:tc>
              <w:tc>
                <w:tcPr>
                  <w:tcW w:w="1910" w:type="dxa"/>
                  <w:vAlign w:val="center"/>
                </w:tcPr>
                <w:p w14:paraId="7114913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100000</w:t>
                  </w:r>
                </w:p>
              </w:tc>
              <w:tc>
                <w:tcPr>
                  <w:tcW w:w="1910" w:type="dxa"/>
                  <w:vAlign w:val="center"/>
                </w:tcPr>
                <w:p w14:paraId="3D133F3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910" w:type="dxa"/>
                  <w:vAlign w:val="center"/>
                </w:tcPr>
                <w:p w14:paraId="266D44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100000</w:t>
                  </w:r>
                </w:p>
              </w:tc>
            </w:tr>
          </w:tbl>
          <w:p w14:paraId="11E78A2C">
            <w:pPr>
              <w:pStyle w:val="30"/>
              <w:kinsoku/>
              <w:overflowPunct w:val="0"/>
              <w:autoSpaceDE/>
              <w:autoSpaceDN/>
              <w:adjustRightInd/>
              <w:snapToGrid/>
              <w:spacing w:line="360" w:lineRule="auto"/>
              <w:rPr>
                <w:rFonts w:ascii="Times New Roman" w:hAnsi="Times New Roman" w:eastAsia="宋体" w:cs="Times New Roman"/>
                <w:b/>
                <w:bCs/>
                <w:color w:val="auto"/>
                <w:sz w:val="24"/>
                <w:szCs w:val="24"/>
              </w:rPr>
            </w:pPr>
          </w:p>
          <w:p w14:paraId="7AAC7938">
            <w:pPr>
              <w:kinsoku/>
              <w:overflowPunct w:val="0"/>
              <w:autoSpaceDE/>
              <w:autoSpaceDN/>
              <w:adjustRightInd/>
              <w:snapToGrid/>
              <w:spacing w:line="360" w:lineRule="auto"/>
              <w:jc w:val="center"/>
              <w:rPr>
                <w:rFonts w:ascii="Times New Roman" w:hAnsi="Times New Roman" w:eastAsia="宋体" w:cs="Times New Roman"/>
                <w:color w:val="auto"/>
              </w:rPr>
            </w:pPr>
            <w:r>
              <w:rPr>
                <w:rFonts w:hint="eastAsia" w:ascii="Times New Roman" w:hAnsi="Times New Roman" w:eastAsia="宋体" w:cs="Times New Roman"/>
                <w:color w:val="auto"/>
              </w:rPr>
              <w:object>
                <v:shape id="_x0000_i1025" o:spt="75" type="#_x0000_t75" style="height:174.7pt;width:419.7pt;" o:ole="t" filled="f" o:preferrelative="t" stroked="f" coordsize="21600,21600">
                  <v:path/>
                  <v:fill on="f" focussize="0,0"/>
                  <v:stroke on="f"/>
                  <v:imagedata r:id="rId17" o:title=""/>
                  <o:lock v:ext="edit" aspectratio="f"/>
                  <w10:wrap type="none"/>
                  <w10:anchorlock/>
                </v:shape>
                <o:OLEObject Type="Embed" ProgID="Visio.Drawing.11" ShapeID="_x0000_i1025" DrawAspect="Content" ObjectID="_1468075725" r:id="rId16">
                  <o:LockedField>false</o:LockedField>
                </o:OLEObject>
              </w:object>
            </w:r>
          </w:p>
          <w:p w14:paraId="45B3653C">
            <w:pPr>
              <w:kinsoku/>
              <w:overflowPunct w:val="0"/>
              <w:autoSpaceDE/>
              <w:autoSpaceDN/>
              <w:adjustRightInd/>
              <w:snapToGrid/>
              <w:jc w:val="center"/>
              <w:textAlignment w:val="auto"/>
              <w:rPr>
                <w:rFonts w:ascii="Times New Roman" w:hAnsi="Times New Roman" w:eastAsia="宋体" w:cs="Times New Roman"/>
                <w:b/>
                <w:snapToGrid/>
                <w:color w:val="auto"/>
                <w:kern w:val="2"/>
                <w:sz w:val="24"/>
                <w:szCs w:val="24"/>
                <w:lang w:eastAsia="zh-CN" w:bidi="ar"/>
              </w:rPr>
            </w:pPr>
            <w:r>
              <w:rPr>
                <w:rFonts w:hint="eastAsia" w:ascii="Times New Roman" w:hAnsi="Times New Roman" w:eastAsia="宋体" w:cs="Times New Roman"/>
                <w:b/>
                <w:snapToGrid/>
                <w:color w:val="auto"/>
                <w:kern w:val="2"/>
                <w:sz w:val="24"/>
                <w:szCs w:val="24"/>
                <w:lang w:eastAsia="zh-CN" w:bidi="ar"/>
              </w:rPr>
              <w:t>图2-1 物料平衡图</w:t>
            </w:r>
          </w:p>
          <w:p w14:paraId="1E0BD15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水平衡</w:t>
            </w:r>
          </w:p>
          <w:p w14:paraId="466A5EA1">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w:t>
            </w:r>
            <w:r>
              <w:rPr>
                <w:rFonts w:ascii="Times New Roman" w:hAnsi="Times New Roman" w:eastAsia="宋体" w:cs="Times New Roman"/>
                <w:b/>
                <w:bCs/>
                <w:color w:val="auto"/>
                <w:sz w:val="24"/>
                <w:szCs w:val="24"/>
                <w:lang w:eastAsia="zh-CN"/>
              </w:rPr>
              <w:t>1）用水和产、排污情况</w:t>
            </w:r>
          </w:p>
          <w:p w14:paraId="79BD1B8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项目生产过程中无需用水，运营期用水主要包括生活用水、降尘用水</w:t>
            </w:r>
            <w:r>
              <w:rPr>
                <w:rFonts w:hint="eastAsia" w:ascii="Times New Roman" w:hAnsi="Times New Roman" w:eastAsia="宋体" w:cs="Times New Roman"/>
                <w:color w:val="auto"/>
                <w:sz w:val="24"/>
                <w:szCs w:val="24"/>
                <w:lang w:eastAsia="zh-CN"/>
              </w:rPr>
              <w:t>和绿化用水</w:t>
            </w:r>
            <w:r>
              <w:rPr>
                <w:rFonts w:ascii="Times New Roman" w:hAnsi="Times New Roman" w:eastAsia="宋体" w:cs="Times New Roman"/>
                <w:color w:val="auto"/>
                <w:sz w:val="24"/>
                <w:szCs w:val="24"/>
                <w:lang w:eastAsia="zh-CN"/>
              </w:rPr>
              <w:t>。</w:t>
            </w:r>
          </w:p>
          <w:p w14:paraId="66D6107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本项目使用的改性磷石膏来源于中化云龙有限公司，根据其提供的改性磷石膏产品合格证（附件</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eastAsia="zh-CN"/>
              </w:rPr>
              <w:t>），附着水为10.58%，含水率</w:t>
            </w:r>
            <w:r>
              <w:rPr>
                <w:rFonts w:hint="eastAsia" w:ascii="Times New Roman" w:hAns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较低；本项目改性磷石膏均按照市场订单量采购，不在原料堆场长时间储存，从原料进厂到制成成品，暂存周期约为3-5天。本项目改性磷石膏在利用时具有原料含水量低、厂内暂存周期短的特点，因此不会产生渗滤液。</w:t>
            </w:r>
          </w:p>
          <w:p w14:paraId="3D4279FA">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①降尘用水</w:t>
            </w:r>
          </w:p>
          <w:p w14:paraId="3A4E30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本项目运行期间，厂区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道路采取洒水降尘措施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lang w:val="en-US" w:eastAsia="zh-CN"/>
              </w:rPr>
              <w:t>厂房出入口及顶棚出气口</w:t>
            </w:r>
            <w:r>
              <w:rPr>
                <w:rFonts w:hint="eastAsia" w:ascii="Times New Roman" w:hAnsi="Times New Roman" w:eastAsia="宋体" w:cs="Times New Roman"/>
                <w:color w:val="auto"/>
                <w:sz w:val="24"/>
                <w:szCs w:val="24"/>
                <w:lang w:eastAsia="zh-CN"/>
              </w:rPr>
              <w:t>设置喷雾降尘设施</w:t>
            </w:r>
            <w:r>
              <w:rPr>
                <w:rFonts w:ascii="Times New Roman" w:hAnsi="Times New Roman" w:eastAsia="宋体" w:cs="Times New Roman"/>
                <w:color w:val="auto"/>
                <w:sz w:val="24"/>
                <w:szCs w:val="24"/>
                <w:lang w:eastAsia="zh-CN"/>
              </w:rPr>
              <w:t>减少</w:t>
            </w:r>
            <w:r>
              <w:rPr>
                <w:rFonts w:hint="eastAsia" w:ascii="Times New Roman" w:hAnsi="Times New Roman" w:eastAsia="宋体" w:cs="Times New Roman"/>
                <w:color w:val="auto"/>
                <w:sz w:val="24"/>
                <w:szCs w:val="24"/>
                <w:lang w:eastAsia="zh-CN"/>
              </w:rPr>
              <w:t>无组织粉尘</w:t>
            </w:r>
            <w:r>
              <w:rPr>
                <w:rFonts w:ascii="Times New Roman" w:hAnsi="Times New Roman" w:eastAsia="宋体" w:cs="Times New Roman"/>
                <w:color w:val="auto"/>
                <w:sz w:val="24"/>
                <w:szCs w:val="24"/>
                <w:lang w:eastAsia="zh-CN"/>
              </w:rPr>
              <w:t>污染</w:t>
            </w:r>
            <w:r>
              <w:rPr>
                <w:rFonts w:hint="eastAsia" w:ascii="Times New Roman" w:hAnsi="Times New Roman" w:eastAsia="宋体" w:cs="Times New Roman"/>
                <w:color w:val="auto"/>
                <w:sz w:val="24"/>
                <w:szCs w:val="24"/>
                <w:lang w:eastAsia="zh-CN"/>
              </w:rPr>
              <w:t>。</w:t>
            </w:r>
          </w:p>
          <w:p w14:paraId="64947B7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A.</w:t>
            </w:r>
            <w:r>
              <w:rPr>
                <w:rFonts w:ascii="Times New Roman" w:hAnsi="Times New Roman" w:eastAsia="宋体" w:cs="Times New Roman"/>
                <w:color w:val="auto"/>
                <w:sz w:val="24"/>
                <w:szCs w:val="24"/>
                <w:lang w:eastAsia="zh-CN"/>
              </w:rPr>
              <w:t>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道路洒水降尘</w:t>
            </w:r>
          </w:p>
          <w:p w14:paraId="2F50792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除去建筑和绿化面积，</w:t>
            </w:r>
            <w:r>
              <w:rPr>
                <w:rFonts w:ascii="Times New Roman" w:hAnsi="Times New Roman" w:eastAsia="宋体" w:cs="Times New Roman"/>
                <w:color w:val="auto"/>
                <w:sz w:val="24"/>
                <w:szCs w:val="24"/>
                <w:lang w:eastAsia="zh-CN"/>
              </w:rPr>
              <w:t>本项目厂区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道路面积合计约</w:t>
            </w:r>
            <w:r>
              <w:rPr>
                <w:rFonts w:hint="eastAsia" w:ascii="Times New Roman" w:hAnsi="Times New Roman" w:eastAsia="宋体" w:cs="Times New Roman"/>
                <w:color w:val="auto"/>
                <w:sz w:val="24"/>
                <w:szCs w:val="24"/>
                <w:lang w:eastAsia="zh-CN"/>
              </w:rPr>
              <w:t>100</w:t>
            </w:r>
            <w:r>
              <w:rPr>
                <w:rFonts w:ascii="Times New Roman" w:hAnsi="Times New Roman" w:eastAsia="宋体" w:cs="Times New Roman"/>
                <w:color w:val="auto"/>
                <w:sz w:val="24"/>
                <w:szCs w:val="24"/>
                <w:lang w:eastAsia="zh-CN"/>
              </w:rPr>
              <w:t>0m</w:t>
            </w:r>
            <w:r>
              <w:rPr>
                <w:rFonts w:ascii="Times New Roman" w:hAnsi="Times New Roman" w:eastAsia="宋体" w:cs="Times New Roman"/>
                <w:color w:val="auto"/>
                <w:position w:val="8"/>
                <w:sz w:val="15"/>
                <w:szCs w:val="15"/>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项目年运营300天，</w:t>
            </w:r>
            <w:r>
              <w:rPr>
                <w:rFonts w:hint="eastAsia" w:ascii="Times New Roman" w:hAnsi="Times New Roman" w:eastAsia="宋体" w:cs="Times New Roman"/>
                <w:color w:val="auto"/>
                <w:sz w:val="24"/>
                <w:szCs w:val="24"/>
                <w:lang w:eastAsia="zh-CN"/>
              </w:rPr>
              <w:t>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w:t>
            </w:r>
            <w:r>
              <w:rPr>
                <w:rFonts w:ascii="Times New Roman" w:hAnsi="Times New Roman" w:eastAsia="宋体" w:cs="Times New Roman"/>
                <w:color w:val="auto"/>
                <w:sz w:val="24"/>
                <w:szCs w:val="24"/>
                <w:lang w:eastAsia="zh-CN"/>
              </w:rPr>
              <w:t>根据《云南省地方标准用水定额》（DB53/T168-2019），场地浇洒用水量为2L/m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·次</w:t>
            </w:r>
            <w:r>
              <w:rPr>
                <w:rFonts w:hint="eastAsia" w:ascii="Times New Roman" w:hAnsi="Times New Roman" w:eastAsia="宋体" w:cs="Times New Roman"/>
                <w:color w:val="auto"/>
                <w:sz w:val="24"/>
                <w:szCs w:val="24"/>
                <w:lang w:eastAsia="zh-CN"/>
              </w:rPr>
              <w:t>。项目道路非雨天</w:t>
            </w:r>
            <w:r>
              <w:rPr>
                <w:rFonts w:ascii="Times New Roman" w:hAnsi="Times New Roman" w:eastAsia="宋体" w:cs="Times New Roman"/>
                <w:color w:val="auto"/>
                <w:sz w:val="24"/>
                <w:szCs w:val="24"/>
                <w:lang w:eastAsia="zh-CN"/>
              </w:rPr>
              <w:t>每天洒水</w:t>
            </w: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次，</w:t>
            </w:r>
            <w:r>
              <w:rPr>
                <w:rFonts w:hint="eastAsia" w:ascii="Times New Roman" w:hAnsi="Times New Roman" w:eastAsia="宋体" w:cs="Times New Roman"/>
                <w:color w:val="auto"/>
                <w:sz w:val="24"/>
                <w:szCs w:val="24"/>
                <w:lang w:eastAsia="zh-CN"/>
              </w:rPr>
              <w:t>雨天不洒水，</w:t>
            </w:r>
            <w:r>
              <w:rPr>
                <w:rFonts w:ascii="Times New Roman" w:hAnsi="Times New Roman" w:eastAsia="宋体" w:cs="Times New Roman"/>
                <w:color w:val="auto"/>
                <w:sz w:val="24"/>
                <w:szCs w:val="24"/>
                <w:lang w:eastAsia="zh-CN"/>
              </w:rPr>
              <w:t>则厂区</w:t>
            </w:r>
            <w:r>
              <w:rPr>
                <w:rFonts w:hint="eastAsia" w:ascii="Times New Roman" w:hAnsi="Times New Roman" w:eastAsia="宋体" w:cs="Times New Roman"/>
                <w:color w:val="auto"/>
                <w:sz w:val="24"/>
                <w:szCs w:val="24"/>
                <w:lang w:eastAsia="zh-CN"/>
              </w:rPr>
              <w:t>硬化地面及</w:t>
            </w:r>
            <w:r>
              <w:rPr>
                <w:rFonts w:ascii="Times New Roman" w:hAnsi="Times New Roman" w:eastAsia="宋体" w:cs="Times New Roman"/>
                <w:color w:val="auto"/>
                <w:sz w:val="24"/>
                <w:szCs w:val="24"/>
                <w:lang w:eastAsia="zh-CN"/>
              </w:rPr>
              <w:t>道路</w:t>
            </w:r>
            <w:r>
              <w:rPr>
                <w:rFonts w:hint="eastAsia" w:ascii="Times New Roman" w:hAnsi="Times New Roman" w:eastAsia="宋体" w:cs="Times New Roman"/>
                <w:color w:val="auto"/>
                <w:sz w:val="24"/>
                <w:szCs w:val="24"/>
                <w:lang w:eastAsia="zh-CN"/>
              </w:rPr>
              <w:t>洒水降尘</w:t>
            </w:r>
            <w:r>
              <w:rPr>
                <w:rFonts w:ascii="Times New Roman" w:hAnsi="Times New Roman" w:eastAsia="宋体" w:cs="Times New Roman"/>
                <w:color w:val="auto"/>
                <w:sz w:val="24"/>
                <w:szCs w:val="24"/>
                <w:lang w:eastAsia="zh-CN"/>
              </w:rPr>
              <w:t>用水量约</w:t>
            </w:r>
            <w:r>
              <w:rPr>
                <w:rFonts w:hint="eastAsia" w:ascii="Times New Roman" w:hAnsi="Times New Roman" w:eastAsia="宋体" w:cs="Times New Roman"/>
                <w:color w:val="auto"/>
                <w:sz w:val="24"/>
                <w:szCs w:val="24"/>
                <w:lang w:eastAsia="zh-CN"/>
              </w:rPr>
              <w:t>为4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，708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3D45154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B.喷雾降尘</w:t>
            </w:r>
          </w:p>
          <w:p w14:paraId="1E4F0B0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在</w:t>
            </w:r>
            <w:r>
              <w:rPr>
                <w:rFonts w:hint="eastAsia" w:ascii="Times New Roman" w:hAnsi="Times New Roman" w:eastAsia="宋体" w:cs="Times New Roman"/>
                <w:color w:val="auto"/>
                <w:lang w:val="en-US" w:eastAsia="zh-CN"/>
              </w:rPr>
              <w:t>厂房出入口及顶棚出气口设置</w:t>
            </w:r>
            <w:r>
              <w:rPr>
                <w:rFonts w:hint="eastAsia" w:ascii="Times New Roman" w:hAnsi="Times New Roman" w:eastAsia="宋体" w:cs="Times New Roman"/>
                <w:color w:val="auto"/>
                <w:sz w:val="24"/>
                <w:szCs w:val="24"/>
                <w:lang w:eastAsia="zh-CN"/>
              </w:rPr>
              <w:t>喷雾降尘系统，</w:t>
            </w:r>
            <w:r>
              <w:rPr>
                <w:rFonts w:hint="eastAsia" w:ascii="Times New Roman" w:hAnsi="Times New Roman" w:eastAsia="宋体" w:cs="Times New Roman"/>
                <w:color w:val="auto"/>
                <w:sz w:val="24"/>
                <w:szCs w:val="24"/>
                <w:lang w:val="en-US" w:eastAsia="zh-CN"/>
              </w:rPr>
              <w:t>该系统</w:t>
            </w:r>
            <w:r>
              <w:rPr>
                <w:rFonts w:hint="eastAsia" w:ascii="Times New Roman" w:hAnsi="Times New Roman" w:eastAsia="宋体" w:cs="Times New Roman"/>
                <w:color w:val="auto"/>
                <w:sz w:val="24"/>
                <w:szCs w:val="24"/>
                <w:lang w:eastAsia="zh-CN"/>
              </w:rPr>
              <w:t>用水量约45~50L·min，本评价按48L·min计算，雨天不进行喷雾降尘。项目年运营300天，雨天数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，非雨天数以177天计。非雨天喷雾降尘用水总量约为23.04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，4078.08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596706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综上，厂区降尘用水总量为，27.04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，4786.08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a，该部分用水全部蒸发损耗。</w:t>
            </w:r>
          </w:p>
          <w:p w14:paraId="6071391C">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②生活用水</w:t>
            </w:r>
          </w:p>
          <w:p w14:paraId="72A8D47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项目共有劳动定员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人，均在厂区食宿，</w:t>
            </w:r>
            <w:r>
              <w:rPr>
                <w:rFonts w:hint="eastAsia" w:ascii="Times New Roman" w:hAnsi="Times New Roman" w:eastAsia="宋体" w:cs="Times New Roman"/>
                <w:color w:val="auto"/>
                <w:kern w:val="2"/>
                <w:sz w:val="24"/>
                <w:lang w:eastAsia="zh-CN"/>
              </w:rPr>
              <w:t>根据《云南省用水定额》（DB53/T168-2019），寻甸属于亚热带（Ⅱ区），对照13.2农村居民生活用水定额-亚热带（Ⅱ区）-集中供水：65～90L/（人·d），本评价生活用水量按80L/人·d（其中食堂用水20L/人·d、生活用水60L/人·d）计，用水量为</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360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（其中生活用水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9</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270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，食堂用水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90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）。废</w:t>
            </w:r>
            <w:r>
              <w:rPr>
                <w:rFonts w:ascii="Times New Roman" w:hAnsi="Times New Roman" w:eastAsia="宋体" w:cs="Times New Roman"/>
                <w:color w:val="auto"/>
                <w:sz w:val="24"/>
                <w:szCs w:val="24"/>
                <w:lang w:eastAsia="zh-CN"/>
              </w:rPr>
              <w:t>水产生量按照用水量的80%计，则</w:t>
            </w:r>
            <w:r>
              <w:rPr>
                <w:rFonts w:hint="eastAsia" w:ascii="Times New Roman" w:hAnsi="Times New Roman" w:eastAsia="宋体" w:cs="Times New Roman"/>
                <w:color w:val="auto"/>
                <w:sz w:val="24"/>
                <w:szCs w:val="24"/>
                <w:lang w:eastAsia="zh-CN"/>
              </w:rPr>
              <w:t>废</w:t>
            </w:r>
            <w:r>
              <w:rPr>
                <w:rFonts w:ascii="Times New Roman" w:hAnsi="Times New Roman" w:eastAsia="宋体" w:cs="Times New Roman"/>
                <w:color w:val="auto"/>
                <w:sz w:val="24"/>
                <w:szCs w:val="24"/>
                <w:lang w:eastAsia="zh-CN"/>
              </w:rPr>
              <w:t>水产生量约0.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288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（其中生活污水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72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216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，食堂污水</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24</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72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。食堂废水经隔油池处理后与其他生活污水进入</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进入一体化污水处理设施，处理后暂存于中水池，待非雨天回用于厂内绿化及降尘，非雨天数以177天计</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则每日需回用1.63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p>
          <w:p w14:paraId="51ECC023">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③</w:t>
            </w:r>
            <w:r>
              <w:rPr>
                <w:rFonts w:hint="eastAsia" w:ascii="Times New Roman" w:hAnsi="Times New Roman" w:eastAsia="宋体" w:cs="Times New Roman"/>
                <w:b/>
                <w:bCs/>
                <w:color w:val="auto"/>
                <w:sz w:val="24"/>
                <w:szCs w:val="24"/>
                <w:lang w:eastAsia="zh-CN"/>
              </w:rPr>
              <w:t>绿化</w:t>
            </w:r>
            <w:r>
              <w:rPr>
                <w:rFonts w:ascii="Times New Roman" w:hAnsi="Times New Roman" w:eastAsia="宋体" w:cs="Times New Roman"/>
                <w:b/>
                <w:bCs/>
                <w:color w:val="auto"/>
                <w:sz w:val="24"/>
                <w:szCs w:val="24"/>
                <w:lang w:eastAsia="zh-CN"/>
              </w:rPr>
              <w:t>用水</w:t>
            </w:r>
          </w:p>
          <w:p w14:paraId="0293DA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项目绿化面积约200m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，根据《云南省用水定额标准》（DB53/T168-2019），绿化用水量按3L/m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·d计。</w:t>
            </w:r>
            <w:r>
              <w:rPr>
                <w:rFonts w:ascii="Times New Roman" w:hAnsi="Times New Roman" w:eastAsia="宋体" w:cs="Times New Roman"/>
                <w:color w:val="auto"/>
                <w:sz w:val="24"/>
                <w:szCs w:val="24"/>
                <w:lang w:eastAsia="zh-CN"/>
              </w:rPr>
              <w:t>项目年运营300天，</w:t>
            </w:r>
            <w:r>
              <w:rPr>
                <w:rFonts w:hint="eastAsia" w:ascii="Times New Roman" w:hAnsi="Times New Roman" w:eastAsia="宋体" w:cs="Times New Roman"/>
                <w:color w:val="auto"/>
                <w:sz w:val="24"/>
                <w:szCs w:val="24"/>
                <w:lang w:eastAsia="zh-CN"/>
              </w:rPr>
              <w:t>雨天数</w:t>
            </w:r>
            <w:r>
              <w:rPr>
                <w:rFonts w:ascii="Times New Roman" w:hAnsi="Times New Roman" w:eastAsia="宋体" w:cs="Times New Roman"/>
                <w:color w:val="auto"/>
                <w:sz w:val="24"/>
                <w:szCs w:val="24"/>
                <w:lang w:eastAsia="zh-CN"/>
              </w:rPr>
              <w:t>以1</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天计</w:t>
            </w:r>
            <w:r>
              <w:rPr>
                <w:rFonts w:hint="eastAsia" w:ascii="Times New Roman" w:hAnsi="Times New Roman" w:eastAsia="宋体" w:cs="Times New Roman"/>
                <w:color w:val="auto"/>
                <w:sz w:val="24"/>
                <w:szCs w:val="24"/>
                <w:lang w:eastAsia="zh-CN"/>
              </w:rPr>
              <w:t>，非雨天数以177天计</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则项目绿化用水量为0.6m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/d、106.2m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/a，项目绿化用水全部自然挥发，无废水外排。</w:t>
            </w:r>
          </w:p>
          <w:p w14:paraId="7D438D1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rPr>
              <w:t>④</w:t>
            </w:r>
            <w:r>
              <w:rPr>
                <w:rFonts w:hint="eastAsia" w:ascii="Times New Roman" w:hAnsi="Times New Roman" w:eastAsia="宋体" w:cs="Times New Roman"/>
                <w:b/>
                <w:bCs/>
                <w:color w:val="auto"/>
                <w:sz w:val="24"/>
                <w:szCs w:val="24"/>
                <w:lang w:eastAsia="zh-CN"/>
              </w:rPr>
              <w:t>初期雨</w:t>
            </w:r>
            <w:r>
              <w:rPr>
                <w:rFonts w:ascii="Times New Roman" w:hAnsi="Times New Roman" w:eastAsia="宋体" w:cs="Times New Roman"/>
                <w:b/>
                <w:bCs/>
                <w:color w:val="auto"/>
                <w:sz w:val="24"/>
                <w:szCs w:val="24"/>
              </w:rPr>
              <w:t>水</w:t>
            </w:r>
          </w:p>
          <w:p w14:paraId="2389A6D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A.年均降水量</w:t>
            </w:r>
          </w:p>
          <w:p w14:paraId="72D383D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本评价根据寻甸县常年平均降水量</w:t>
            </w:r>
            <w:r>
              <w:rPr>
                <w:rFonts w:hint="eastAsia" w:ascii="Times New Roman" w:hAnsi="Times New Roman" w:eastAsia="宋体" w:cs="Times New Roman"/>
                <w:b/>
                <w:bCs/>
                <w:color w:val="auto"/>
                <w:sz w:val="24"/>
                <w:szCs w:val="24"/>
                <w:lang w:eastAsia="zh-CN"/>
              </w:rPr>
              <w:t>对项目区域初期雨水产生量进行核算</w:t>
            </w:r>
            <w:r>
              <w:rPr>
                <w:rFonts w:hint="eastAsia" w:ascii="Times New Roman" w:hAnsi="Times New Roman" w:eastAsia="宋体" w:cs="Times New Roman"/>
                <w:color w:val="auto"/>
                <w:sz w:val="24"/>
                <w:szCs w:val="24"/>
                <w:lang w:eastAsia="zh-CN"/>
              </w:rPr>
              <w:t>，公式如下：</w:t>
            </w:r>
          </w:p>
          <w:p w14:paraId="3776A0BC">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Q=A·</w:t>
            </w:r>
            <w:r>
              <w:rPr>
                <w:rFonts w:ascii="Times New Roman" w:hAnsi="Times New Roman" w:eastAsia="宋体" w:cs="Times New Roman"/>
                <w:color w:val="auto"/>
                <w:sz w:val="24"/>
                <w:szCs w:val="24"/>
                <w:lang w:eastAsia="zh-CN"/>
              </w:rPr>
              <w:t>φ</w:t>
            </w:r>
            <w:r>
              <w:rPr>
                <w:rFonts w:hint="eastAsia" w:ascii="Times New Roman" w:hAnsi="Times New Roman" w:eastAsia="宋体" w:cs="Times New Roman"/>
                <w:color w:val="auto"/>
                <w:sz w:val="24"/>
                <w:szCs w:val="24"/>
                <w:lang w:eastAsia="zh-CN"/>
              </w:rPr>
              <w:t>·F</w:t>
            </w:r>
          </w:p>
          <w:p w14:paraId="5D01120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式中：A—年降雨量</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m/a</w:t>
            </w:r>
            <w:r>
              <w:rPr>
                <w:rFonts w:hint="eastAsia" w:ascii="Times New Roman" w:hAnsi="Times New Roman" w:eastAsia="宋体" w:cs="Times New Roman"/>
                <w:color w:val="auto"/>
                <w:sz w:val="24"/>
                <w:szCs w:val="24"/>
                <w:lang w:eastAsia="zh-CN"/>
              </w:rPr>
              <w:t>（根据寻甸县概况（2024年）：http://www.kmxd.gov.cn/c/2025-10-16/7063195.shtml，寻甸县常年平均降水量1018.8</w:t>
            </w:r>
            <w:r>
              <w:rPr>
                <w:rFonts w:ascii="Times New Roman" w:hAnsi="Times New Roman" w:eastAsia="宋体" w:cs="Times New Roman"/>
                <w:color w:val="auto"/>
                <w:sz w:val="24"/>
                <w:szCs w:val="24"/>
                <w:lang w:eastAsia="zh-CN"/>
              </w:rPr>
              <w:t>mm</w:t>
            </w:r>
            <w:r>
              <w:rPr>
                <w:rFonts w:hint="eastAsia" w:ascii="Times New Roman" w:hAnsi="Times New Roman" w:eastAsia="宋体" w:cs="Times New Roman"/>
                <w:color w:val="auto"/>
                <w:sz w:val="24"/>
                <w:szCs w:val="24"/>
                <w:lang w:eastAsia="zh-CN"/>
              </w:rPr>
              <w:t>，即1.0188m）</w:t>
            </w:r>
            <w:r>
              <w:rPr>
                <w:rFonts w:ascii="Times New Roman" w:hAnsi="Times New Roman" w:eastAsia="宋体" w:cs="Times New Roman"/>
                <w:color w:val="auto"/>
                <w:sz w:val="24"/>
                <w:szCs w:val="24"/>
                <w:lang w:eastAsia="zh-CN"/>
              </w:rPr>
              <w:t>；</w:t>
            </w:r>
          </w:p>
          <w:p w14:paraId="0D1E810D">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F—汇水面积</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项目雨水汇水面积</w:t>
            </w:r>
            <w:r>
              <w:rPr>
                <w:rFonts w:hint="eastAsia" w:ascii="Times New Roman" w:hAnsi="Times New Roman" w:eastAsia="宋体" w:cs="Times New Roman"/>
                <w:color w:val="auto"/>
                <w:sz w:val="24"/>
                <w:szCs w:val="24"/>
                <w:lang w:eastAsia="zh-CN"/>
              </w:rPr>
              <w:t>为厂区面积去除绿化面积及截排水沟后</w:t>
            </w:r>
            <w:r>
              <w:rPr>
                <w:rFonts w:ascii="Times New Roman" w:hAnsi="Times New Roman" w:eastAsia="宋体" w:cs="Times New Roman"/>
                <w:color w:val="auto"/>
                <w:sz w:val="24"/>
                <w:szCs w:val="24"/>
                <w:lang w:eastAsia="zh-CN"/>
              </w:rPr>
              <w:t>约为</w:t>
            </w:r>
            <w:r>
              <w:rPr>
                <w:rFonts w:hint="eastAsia" w:ascii="Times New Roman" w:hAnsi="Times New Roman" w:eastAsia="宋体" w:cs="Times New Roman"/>
                <w:color w:val="auto"/>
                <w:sz w:val="24"/>
                <w:szCs w:val="24"/>
                <w:lang w:eastAsia="zh-CN"/>
              </w:rPr>
              <w:t>5173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w:t>
            </w:r>
          </w:p>
          <w:p w14:paraId="66497AA8">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φ—地表径流系数，（根据《室外排水设计标准》（GB50014-2021），本项目场地已硬化，取值0.85）。</w:t>
            </w:r>
          </w:p>
          <w:p w14:paraId="2BF35BF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经计算，本项目初期雨水产生量为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/a。项目厂区周围设排水沟，初期雨水经排水沟收集至</w:t>
            </w:r>
            <w:r>
              <w:rPr>
                <w:rFonts w:hint="eastAsia" w:ascii="Times New Roman" w:hAnsi="Times New Roman" w:eastAsia="宋体" w:cs="Times New Roman"/>
                <w:color w:val="auto"/>
                <w:sz w:val="24"/>
                <w:szCs w:val="24"/>
                <w:lang w:eastAsia="zh-CN"/>
              </w:rPr>
              <w:t>初期雨水收集池。初期雨水</w:t>
            </w:r>
            <w:r>
              <w:rPr>
                <w:rFonts w:ascii="Times New Roman" w:hAnsi="Times New Roman" w:eastAsia="宋体" w:cs="Times New Roman"/>
                <w:color w:val="auto"/>
                <w:sz w:val="24"/>
                <w:szCs w:val="24"/>
                <w:lang w:eastAsia="zh-CN"/>
              </w:rPr>
              <w:t>经</w:t>
            </w:r>
            <w:r>
              <w:rPr>
                <w:rFonts w:hint="eastAsia" w:ascii="Times New Roman" w:hAnsi="Times New Roman" w:eastAsia="宋体" w:cs="Times New Roman"/>
                <w:color w:val="auto"/>
                <w:sz w:val="24"/>
                <w:szCs w:val="24"/>
                <w:lang w:eastAsia="zh-CN"/>
              </w:rPr>
              <w:t>絮凝</w:t>
            </w:r>
            <w:r>
              <w:rPr>
                <w:rFonts w:ascii="Times New Roman" w:hAnsi="Times New Roman" w:eastAsia="宋体" w:cs="Times New Roman"/>
                <w:color w:val="auto"/>
                <w:sz w:val="24"/>
                <w:szCs w:val="24"/>
                <w:lang w:eastAsia="zh-CN"/>
              </w:rPr>
              <w:t>沉淀</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回用于厂区降尘，非雨天按177天计，则每日需回用25.31m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w:t>
            </w:r>
          </w:p>
          <w:p w14:paraId="321B0F6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B.最大暴雨量</w:t>
            </w:r>
          </w:p>
          <w:p w14:paraId="5329EC7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本评价根据暴雨强度公式</w:t>
            </w:r>
            <w:r>
              <w:rPr>
                <w:rFonts w:hint="eastAsia" w:ascii="Times New Roman" w:hAnsi="Times New Roman" w:eastAsia="宋体" w:cs="Times New Roman"/>
                <w:b/>
                <w:bCs/>
                <w:color w:val="auto"/>
                <w:sz w:val="24"/>
                <w:szCs w:val="24"/>
                <w:lang w:eastAsia="zh-CN"/>
              </w:rPr>
              <w:t>对初期雨水收集池容积进行核算</w:t>
            </w:r>
            <w:r>
              <w:rPr>
                <w:rFonts w:hint="eastAsia" w:ascii="Times New Roman" w:hAnsi="Times New Roman" w:eastAsia="宋体" w:cs="Times New Roman"/>
                <w:color w:val="auto"/>
                <w:sz w:val="24"/>
                <w:szCs w:val="24"/>
                <w:lang w:eastAsia="zh-CN"/>
              </w:rPr>
              <w:t>，暴雨强度公式参照段燕楠,王赟,杨芳园,刘彬,周稀.昆明市暴雨强度公式推算与对比[J].气象科技,2017,45(1):87~91推算的2015版暴雨强度公式：</w:t>
            </w:r>
          </w:p>
          <w:p w14:paraId="0A620846">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rPr>
              <w:drawing>
                <wp:inline distT="0" distB="0" distL="114300" distR="114300">
                  <wp:extent cx="2789555" cy="667385"/>
                  <wp:effectExtent l="0" t="0" r="10795" b="18415"/>
                  <wp:docPr id="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3"/>
                          <pic:cNvPicPr>
                            <a:picLocks noChangeAspect="1"/>
                          </pic:cNvPicPr>
                        </pic:nvPicPr>
                        <pic:blipFill>
                          <a:blip r:embed="rId18"/>
                          <a:stretch>
                            <a:fillRect/>
                          </a:stretch>
                        </pic:blipFill>
                        <pic:spPr>
                          <a:xfrm>
                            <a:off x="0" y="0"/>
                            <a:ext cx="2789555" cy="667385"/>
                          </a:xfrm>
                          <a:prstGeom prst="rect">
                            <a:avLst/>
                          </a:prstGeom>
                          <a:noFill/>
                          <a:ln>
                            <a:noFill/>
                          </a:ln>
                        </pic:spPr>
                      </pic:pic>
                    </a:graphicData>
                  </a:graphic>
                </wp:inline>
              </w:drawing>
            </w:r>
          </w:p>
          <w:p w14:paraId="6DE413E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式中：q—设计暴雨强度（升/秒•公顷）</w:t>
            </w:r>
            <w:r>
              <w:rPr>
                <w:rFonts w:hint="eastAsia" w:ascii="Times New Roman" w:hAnsi="Times New Roman" w:eastAsia="宋体" w:cs="Times New Roman"/>
                <w:color w:val="auto"/>
                <w:sz w:val="24"/>
                <w:szCs w:val="24"/>
                <w:lang w:eastAsia="zh-CN"/>
              </w:rPr>
              <w:t>；</w:t>
            </w:r>
          </w:p>
          <w:p w14:paraId="61DBB69E">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P—设计重现期，年（取1）</w:t>
            </w:r>
            <w:r>
              <w:rPr>
                <w:rFonts w:hint="eastAsia" w:ascii="Times New Roman" w:hAnsi="Times New Roman" w:eastAsia="宋体" w:cs="Times New Roman"/>
                <w:color w:val="auto"/>
                <w:sz w:val="24"/>
                <w:szCs w:val="24"/>
                <w:lang w:eastAsia="zh-CN"/>
              </w:rPr>
              <w:t>；</w:t>
            </w:r>
          </w:p>
          <w:p w14:paraId="44F9AC6E">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position w:val="2"/>
                <w:sz w:val="24"/>
                <w:szCs w:val="24"/>
                <w:lang w:eastAsia="zh-CN"/>
              </w:rPr>
            </w:pPr>
            <w:r>
              <w:rPr>
                <w:rFonts w:ascii="Times New Roman" w:hAnsi="Times New Roman" w:eastAsia="宋体" w:cs="Times New Roman"/>
                <w:color w:val="auto"/>
                <w:sz w:val="24"/>
                <w:szCs w:val="24"/>
                <w:lang w:eastAsia="zh-CN"/>
              </w:rPr>
              <w:t>t—降雨历时</w:t>
            </w:r>
            <w:r>
              <w:rPr>
                <w:rFonts w:hint="eastAsia" w:ascii="Times New Roman" w:hAnsi="Times New Roman" w:eastAsia="宋体" w:cs="Times New Roman"/>
                <w:color w:val="auto"/>
                <w:sz w:val="24"/>
                <w:szCs w:val="24"/>
                <w:lang w:eastAsia="zh-CN"/>
              </w:rPr>
              <w:t>，h</w:t>
            </w:r>
            <w:r>
              <w:rPr>
                <w:rFonts w:ascii="Times New Roman" w:hAnsi="Times New Roman" w:eastAsia="宋体" w:cs="Times New Roman"/>
                <w:color w:val="auto"/>
                <w:sz w:val="24"/>
                <w:szCs w:val="24"/>
                <w:lang w:eastAsia="zh-CN"/>
              </w:rPr>
              <w:t>（取</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5</w:t>
            </w:r>
            <w:r>
              <w:rPr>
                <w:rFonts w:hint="eastAsia" w:ascii="Times New Roman" w:hAnsi="Times New Roman" w:eastAsia="宋体" w:cs="Times New Roman"/>
                <w:color w:val="auto"/>
                <w:sz w:val="24"/>
                <w:szCs w:val="24"/>
                <w:lang w:eastAsia="zh-CN"/>
              </w:rPr>
              <w:t>min，即0.25h</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p>
          <w:p w14:paraId="3958DA6B">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雨水汇水量根据下面计算公式：</w:t>
            </w:r>
          </w:p>
          <w:p w14:paraId="20C00846">
            <w:pPr>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object>
                <v:shape id="_x0000_i1026" o:spt="75" type="#_x0000_t75" style="height:17.1pt;width:67.45pt;" o:ole="t" filled="t" o:preferrelative="t" stroked="f" coordsize="21600,21600">
                  <v:path/>
                  <v:fill on="t" focussize="0,0"/>
                  <v:stroke on="f" joinstyle="miter"/>
                  <v:imagedata r:id="rId20" o:title=""/>
                  <o:lock v:ext="edit" aspectratio="t"/>
                  <w10:wrap type="none"/>
                  <w10:anchorlock/>
                </v:shape>
                <o:OLEObject Type="Embed" ProgID="Equation.3" ShapeID="_x0000_i1026" DrawAspect="Content" ObjectID="_1468075726" r:id="rId19">
                  <o:LockedField>false</o:LockedField>
                </o:OLEObject>
              </w:object>
            </w:r>
          </w:p>
          <w:p w14:paraId="020A3143">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式中：Q—雨水流量，L/s；</w:t>
            </w:r>
          </w:p>
          <w:p w14:paraId="5C1083EC">
            <w:pPr>
              <w:kinsoku/>
              <w:overflowPunct w:val="0"/>
              <w:autoSpaceDE/>
              <w:autoSpaceDN/>
              <w:adjustRightInd/>
              <w:snapToGrid/>
              <w:spacing w:line="360" w:lineRule="auto"/>
              <w:ind w:firstLine="1200" w:firstLineChars="500"/>
              <w:jc w:val="both"/>
              <w:textAlignment w:val="auto"/>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Ψ—径流系数（根据《室外排水设计标准》（GB50014-2021），本项目场地已硬化，取值0.85）；</w:t>
            </w:r>
          </w:p>
          <w:p w14:paraId="00A1D181">
            <w:pPr>
              <w:kinsoku/>
              <w:overflowPunct w:val="0"/>
              <w:autoSpaceDE/>
              <w:autoSpaceDN/>
              <w:adjustRightInd/>
              <w:snapToGrid/>
              <w:spacing w:line="360" w:lineRule="auto"/>
              <w:ind w:firstLine="1200" w:firstLineChars="500"/>
              <w:jc w:val="both"/>
              <w:textAlignment w:val="auto"/>
              <w:rPr>
                <w:rFonts w:ascii="Times New Roman" w:hAnsi="Times New Roman" w:eastAsia="宋体" w:cs="Times New Roman"/>
                <w:color w:val="auto"/>
                <w:kern w:val="2"/>
                <w:sz w:val="24"/>
                <w:szCs w:val="20"/>
                <w:lang w:eastAsia="zh-CN"/>
              </w:rPr>
            </w:pPr>
            <w:r>
              <w:rPr>
                <w:rFonts w:hint="eastAsia" w:ascii="Times New Roman" w:hAnsi="Times New Roman" w:eastAsia="宋体" w:cs="Times New Roman"/>
                <w:color w:val="auto"/>
                <w:kern w:val="2"/>
                <w:sz w:val="24"/>
                <w:szCs w:val="20"/>
                <w:lang w:eastAsia="zh-CN"/>
              </w:rPr>
              <w:t>q—设计暴雨强度，L/s·hm</w:t>
            </w:r>
            <w:r>
              <w:rPr>
                <w:rFonts w:hint="eastAsia" w:ascii="Times New Roman" w:hAnsi="Times New Roman" w:eastAsia="宋体" w:cs="Times New Roman"/>
                <w:color w:val="auto"/>
                <w:kern w:val="2"/>
                <w:sz w:val="24"/>
                <w:szCs w:val="20"/>
                <w:vertAlign w:val="superscript"/>
                <w:lang w:eastAsia="zh-CN"/>
              </w:rPr>
              <w:t>2</w:t>
            </w:r>
            <w:r>
              <w:rPr>
                <w:rFonts w:hint="eastAsia" w:ascii="Times New Roman" w:hAnsi="Times New Roman" w:eastAsia="宋体" w:cs="Times New Roman"/>
                <w:color w:val="auto"/>
                <w:kern w:val="2"/>
                <w:sz w:val="24"/>
                <w:szCs w:val="20"/>
                <w:lang w:eastAsia="zh-CN"/>
              </w:rPr>
              <w:t>；</w:t>
            </w:r>
          </w:p>
          <w:p w14:paraId="5AEEE108">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kern w:val="2"/>
                <w:sz w:val="24"/>
                <w:lang w:eastAsia="zh-CN"/>
              </w:rPr>
              <w:t>F—汇水面积，hm</w:t>
            </w:r>
            <w:r>
              <w:rPr>
                <w:rFonts w:ascii="Times New Roman" w:hAnsi="Times New Roman" w:eastAsia="宋体" w:cs="Times New Roman"/>
                <w:color w:val="auto"/>
                <w:kern w:val="2"/>
                <w:sz w:val="24"/>
                <w:vertAlign w:val="superscript"/>
                <w:lang w:eastAsia="zh-CN"/>
              </w:rPr>
              <w:t>2</w:t>
            </w:r>
            <w:r>
              <w:rPr>
                <w:rFonts w:ascii="Times New Roman" w:hAnsi="Times New Roman" w:eastAsia="宋体" w:cs="Times New Roman"/>
                <w:color w:val="auto"/>
                <w:kern w:val="2"/>
                <w:sz w:val="24"/>
                <w:lang w:eastAsia="zh-CN"/>
              </w:rPr>
              <w:t>（</w:t>
            </w:r>
            <w:r>
              <w:rPr>
                <w:rFonts w:ascii="Times New Roman" w:hAnsi="Times New Roman" w:eastAsia="宋体" w:cs="Times New Roman"/>
                <w:color w:val="auto"/>
                <w:sz w:val="24"/>
                <w:szCs w:val="24"/>
                <w:lang w:eastAsia="zh-CN"/>
              </w:rPr>
              <w:t>项目雨水汇水面积</w:t>
            </w:r>
            <w:r>
              <w:rPr>
                <w:rFonts w:hint="eastAsia" w:ascii="Times New Roman" w:hAnsi="Times New Roman" w:eastAsia="宋体" w:cs="Times New Roman"/>
                <w:color w:val="auto"/>
                <w:sz w:val="24"/>
                <w:szCs w:val="24"/>
                <w:lang w:eastAsia="zh-CN"/>
              </w:rPr>
              <w:t>为厂区面积去除绿化面积及截排水沟后</w:t>
            </w:r>
            <w:r>
              <w:rPr>
                <w:rFonts w:ascii="Times New Roman" w:hAnsi="Times New Roman" w:eastAsia="宋体" w:cs="Times New Roman"/>
                <w:color w:val="auto"/>
                <w:sz w:val="24"/>
                <w:szCs w:val="24"/>
                <w:lang w:eastAsia="zh-CN"/>
              </w:rPr>
              <w:t>约为</w:t>
            </w:r>
            <w:r>
              <w:rPr>
                <w:rFonts w:hint="eastAsia" w:ascii="Times New Roman" w:hAnsi="Times New Roman" w:eastAsia="宋体" w:cs="Times New Roman"/>
                <w:color w:val="auto"/>
                <w:sz w:val="24"/>
                <w:szCs w:val="24"/>
                <w:lang w:eastAsia="zh-CN"/>
              </w:rPr>
              <w:t>5173</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，即</w:t>
            </w:r>
            <w:r>
              <w:rPr>
                <w:rFonts w:hint="eastAsia" w:ascii="Times New Roman" w:hAnsi="Times New Roman" w:eastAsia="宋体" w:cs="Times New Roman"/>
                <w:color w:val="auto"/>
                <w:kern w:val="2"/>
                <w:sz w:val="24"/>
                <w:lang w:eastAsia="zh-CN"/>
              </w:rPr>
              <w:t>0.5173</w:t>
            </w:r>
            <w:r>
              <w:rPr>
                <w:rFonts w:ascii="Times New Roman" w:hAnsi="Times New Roman" w:eastAsia="宋体" w:cs="Times New Roman"/>
                <w:color w:val="auto"/>
                <w:kern w:val="2"/>
                <w:sz w:val="24"/>
                <w:lang w:eastAsia="zh-CN"/>
              </w:rPr>
              <w:t>hm</w:t>
            </w:r>
            <w:r>
              <w:rPr>
                <w:rFonts w:ascii="Times New Roman" w:hAnsi="Times New Roman" w:eastAsia="宋体" w:cs="Times New Roman"/>
                <w:color w:val="auto"/>
                <w:kern w:val="2"/>
                <w:sz w:val="24"/>
                <w:vertAlign w:val="superscript"/>
                <w:lang w:eastAsia="zh-CN"/>
              </w:rPr>
              <w:t>2</w:t>
            </w:r>
            <w:r>
              <w:rPr>
                <w:rFonts w:ascii="Times New Roman" w:hAnsi="Times New Roman" w:eastAsia="宋体" w:cs="Times New Roman"/>
                <w:color w:val="auto"/>
                <w:kern w:val="2"/>
                <w:sz w:val="24"/>
                <w:lang w:eastAsia="zh-CN"/>
              </w:rPr>
              <w:t>）</w:t>
            </w:r>
            <w:r>
              <w:rPr>
                <w:rFonts w:ascii="Times New Roman" w:hAnsi="Times New Roman" w:eastAsia="宋体" w:cs="Times New Roman"/>
                <w:color w:val="auto"/>
                <w:sz w:val="24"/>
                <w:szCs w:val="24"/>
                <w:lang w:eastAsia="zh-CN"/>
              </w:rPr>
              <w:t>，</w:t>
            </w:r>
          </w:p>
          <w:p w14:paraId="193BDF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根据公式计算，q＝</w:t>
            </w:r>
            <w:r>
              <w:rPr>
                <w:rFonts w:hint="eastAsia" w:ascii="Times New Roman" w:hAnsi="Times New Roman" w:eastAsia="宋体" w:cs="Times New Roman"/>
                <w:color w:val="auto"/>
                <w:sz w:val="24"/>
                <w:szCs w:val="24"/>
                <w:lang w:eastAsia="zh-CN"/>
              </w:rPr>
              <w:t>348.77</w:t>
            </w:r>
            <w:r>
              <w:rPr>
                <w:rFonts w:ascii="Times New Roman" w:hAnsi="Times New Roman" w:eastAsia="宋体" w:cs="Times New Roman"/>
                <w:color w:val="auto"/>
                <w:sz w:val="24"/>
                <w:szCs w:val="24"/>
                <w:lang w:eastAsia="zh-CN"/>
              </w:rPr>
              <w:t>（升/秒•公顷），Q＝</w:t>
            </w:r>
            <w:r>
              <w:rPr>
                <w:rFonts w:hint="eastAsia" w:ascii="Times New Roman" w:hAnsi="Times New Roman" w:eastAsia="宋体" w:cs="Times New Roman"/>
                <w:color w:val="auto"/>
                <w:sz w:val="24"/>
                <w:szCs w:val="24"/>
                <w:lang w:eastAsia="zh-CN"/>
              </w:rPr>
              <w:t>191.69</w:t>
            </w:r>
            <w:r>
              <w:rPr>
                <w:rFonts w:ascii="Times New Roman" w:hAnsi="Times New Roman" w:eastAsia="宋体" w:cs="Times New Roman"/>
                <w:color w:val="auto"/>
                <w:sz w:val="24"/>
                <w:szCs w:val="24"/>
                <w:lang w:eastAsia="zh-CN"/>
              </w:rPr>
              <w:t>（升/秒），</w:t>
            </w:r>
            <w:r>
              <w:rPr>
                <w:rFonts w:hint="eastAsia" w:ascii="Times New Roman" w:hAnsi="Times New Roman" w:eastAsia="宋体" w:cs="Times New Roman"/>
                <w:color w:val="auto"/>
                <w:sz w:val="24"/>
                <w:szCs w:val="24"/>
                <w:lang w:eastAsia="zh-CN"/>
              </w:rPr>
              <w:t>汇水</w:t>
            </w:r>
            <w:r>
              <w:rPr>
                <w:rFonts w:ascii="Times New Roman" w:hAnsi="Times New Roman" w:eastAsia="宋体" w:cs="Times New Roman"/>
                <w:color w:val="auto"/>
                <w:sz w:val="24"/>
                <w:szCs w:val="24"/>
                <w:lang w:eastAsia="zh-CN"/>
              </w:rPr>
              <w:t>时间</w:t>
            </w:r>
            <w:r>
              <w:rPr>
                <w:rFonts w:hint="eastAsia" w:ascii="Times New Roman" w:hAnsi="Times New Roman" w:eastAsia="宋体" w:cs="Times New Roman"/>
                <w:color w:val="auto"/>
                <w:sz w:val="24"/>
                <w:szCs w:val="24"/>
                <w:lang w:eastAsia="zh-CN"/>
              </w:rPr>
              <w:t>（15min）</w:t>
            </w:r>
            <w:r>
              <w:rPr>
                <w:rFonts w:ascii="Times New Roman" w:hAnsi="Times New Roman" w:eastAsia="宋体" w:cs="Times New Roman"/>
                <w:color w:val="auto"/>
                <w:sz w:val="24"/>
                <w:szCs w:val="24"/>
                <w:lang w:eastAsia="zh-CN"/>
              </w:rPr>
              <w:t>内</w:t>
            </w:r>
            <w:r>
              <w:rPr>
                <w:rFonts w:hint="eastAsia" w:ascii="Times New Roman" w:hAnsi="Times New Roman" w:eastAsia="宋体" w:cs="Times New Roman"/>
                <w:color w:val="auto"/>
                <w:sz w:val="24"/>
                <w:szCs w:val="24"/>
                <w:lang w:eastAsia="zh-CN"/>
              </w:rPr>
              <w:t>初期</w:t>
            </w:r>
            <w:r>
              <w:rPr>
                <w:rFonts w:ascii="Times New Roman" w:hAnsi="Times New Roman" w:eastAsia="宋体" w:cs="Times New Roman"/>
                <w:color w:val="auto"/>
                <w:sz w:val="24"/>
                <w:szCs w:val="24"/>
                <w:lang w:eastAsia="zh-CN"/>
              </w:rPr>
              <w:t>雨水量为</w:t>
            </w:r>
            <w:r>
              <w:rPr>
                <w:rFonts w:hint="eastAsia" w:ascii="Times New Roman" w:hAnsi="Times New Roman" w:eastAsia="宋体" w:cs="Times New Roman"/>
                <w:color w:val="auto"/>
                <w:sz w:val="24"/>
                <w:szCs w:val="24"/>
                <w:lang w:eastAsia="zh-CN"/>
              </w:rPr>
              <w:t>138.02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hint="eastAsia" w:ascii="Times New Roman" w:hAnsi="Times New Roman" w:eastAsia="宋体" w:cs="Times New Roman"/>
                <w:color w:val="auto"/>
                <w:sz w:val="24"/>
                <w:szCs w:val="24"/>
                <w:lang w:eastAsia="zh-CN"/>
              </w:rPr>
              <w:t>/次，考虑1.2的安全系数，</w:t>
            </w:r>
            <w:r>
              <w:rPr>
                <w:rFonts w:ascii="Times New Roman" w:hAnsi="Times New Roman" w:eastAsia="宋体" w:cs="Times New Roman"/>
                <w:color w:val="auto"/>
                <w:sz w:val="24"/>
                <w:szCs w:val="24"/>
                <w:lang w:eastAsia="zh-CN"/>
              </w:rPr>
              <w:t>建设</w:t>
            </w:r>
            <w:r>
              <w:rPr>
                <w:rFonts w:hint="eastAsia" w:ascii="Times New Roman" w:hAnsi="Times New Roman" w:eastAsia="宋体" w:cs="Times New Roman"/>
                <w:color w:val="auto"/>
                <w:sz w:val="24"/>
                <w:szCs w:val="24"/>
                <w:lang w:eastAsia="zh-CN"/>
              </w:rPr>
              <w:t>单位</w:t>
            </w:r>
            <w:r>
              <w:rPr>
                <w:rFonts w:ascii="Times New Roman" w:hAnsi="Times New Roman" w:eastAsia="宋体" w:cs="Times New Roman"/>
                <w:color w:val="auto"/>
                <w:sz w:val="24"/>
                <w:szCs w:val="24"/>
                <w:lang w:eastAsia="zh-CN"/>
              </w:rPr>
              <w:t>拟建设容积</w:t>
            </w:r>
            <w:r>
              <w:rPr>
                <w:rFonts w:hint="eastAsia" w:ascii="Times New Roman" w:hAnsi="Times New Roman" w:eastAsia="宋体" w:cs="Times New Roman"/>
                <w:color w:val="auto"/>
                <w:sz w:val="24"/>
                <w:szCs w:val="24"/>
                <w:lang w:eastAsia="zh-CN"/>
              </w:rPr>
              <w:t>200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初期雨水收集池可行。</w:t>
            </w:r>
          </w:p>
          <w:p w14:paraId="28F35C4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2-</w:t>
            </w:r>
            <w:r>
              <w:rPr>
                <w:rFonts w:hint="eastAsia" w:cs="Times New Roman"/>
                <w:b/>
                <w:bCs/>
                <w:color w:val="auto"/>
                <w:sz w:val="24"/>
                <w:szCs w:val="24"/>
                <w:lang w:val="en-US" w:eastAsia="zh-CN"/>
              </w:rPr>
              <w:t>14</w:t>
            </w:r>
            <w:r>
              <w:rPr>
                <w:rFonts w:hint="eastAsia" w:ascii="Times New Roman" w:hAnsi="Times New Roman" w:eastAsia="宋体" w:cs="Times New Roman"/>
                <w:b/>
                <w:bCs/>
                <w:color w:val="auto"/>
                <w:sz w:val="24"/>
                <w:szCs w:val="24"/>
                <w:lang w:eastAsia="zh-CN"/>
              </w:rPr>
              <w:t xml:space="preserve"> 本项目用水和废水排放统计表  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86"/>
              <w:gridCol w:w="935"/>
              <w:gridCol w:w="1016"/>
              <w:gridCol w:w="854"/>
              <w:gridCol w:w="854"/>
              <w:gridCol w:w="900"/>
              <w:gridCol w:w="2352"/>
            </w:tblGrid>
            <w:tr w14:paraId="238A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bottom w:val="single" w:color="auto" w:sz="4" w:space="0"/>
                    <w:right w:val="single" w:color="auto" w:sz="4" w:space="0"/>
                  </w:tcBorders>
                  <w:vAlign w:val="center"/>
                </w:tcPr>
                <w:p w14:paraId="1B27E391">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名称</w:t>
                  </w:r>
                </w:p>
              </w:tc>
              <w:tc>
                <w:tcPr>
                  <w:tcW w:w="935" w:type="dxa"/>
                  <w:tcBorders>
                    <w:top w:val="single" w:color="auto" w:sz="4" w:space="0"/>
                    <w:left w:val="nil"/>
                    <w:bottom w:val="single" w:color="auto" w:sz="4" w:space="0"/>
                    <w:right w:val="single" w:color="auto" w:sz="4" w:space="0"/>
                  </w:tcBorders>
                  <w:vAlign w:val="center"/>
                </w:tcPr>
                <w:p w14:paraId="6451E7FF">
                  <w:pPr>
                    <w:kinsoku/>
                    <w:overflowPunct w:val="0"/>
                    <w:autoSpaceDE/>
                    <w:autoSpaceDN/>
                    <w:adjustRightInd/>
                    <w:snapToGrid/>
                    <w:jc w:val="center"/>
                    <w:textAlignment w:val="auto"/>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bidi="ar"/>
                    </w:rPr>
                    <w:t>用水</w:t>
                  </w:r>
                </w:p>
                <w:p w14:paraId="353E15ED">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来源</w:t>
                  </w:r>
                </w:p>
              </w:tc>
              <w:tc>
                <w:tcPr>
                  <w:tcW w:w="1016" w:type="dxa"/>
                  <w:tcBorders>
                    <w:top w:val="single" w:color="auto" w:sz="4" w:space="0"/>
                    <w:left w:val="nil"/>
                    <w:bottom w:val="single" w:color="auto" w:sz="4" w:space="0"/>
                    <w:right w:val="single" w:color="auto" w:sz="4" w:space="0"/>
                  </w:tcBorders>
                  <w:vAlign w:val="center"/>
                </w:tcPr>
                <w:p w14:paraId="29DBFB58">
                  <w:pPr>
                    <w:kinsoku/>
                    <w:overflowPunct w:val="0"/>
                    <w:autoSpaceDE/>
                    <w:autoSpaceDN/>
                    <w:adjustRightInd/>
                    <w:snapToGrid/>
                    <w:jc w:val="center"/>
                    <w:textAlignment w:val="auto"/>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bidi="ar"/>
                    </w:rPr>
                    <w:t>总用</w:t>
                  </w:r>
                </w:p>
                <w:p w14:paraId="77461510">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水量</w:t>
                  </w:r>
                </w:p>
              </w:tc>
              <w:tc>
                <w:tcPr>
                  <w:tcW w:w="854" w:type="dxa"/>
                  <w:tcBorders>
                    <w:top w:val="single" w:color="auto" w:sz="4" w:space="0"/>
                    <w:left w:val="nil"/>
                    <w:bottom w:val="single" w:color="auto" w:sz="4" w:space="0"/>
                    <w:right w:val="single" w:color="auto" w:sz="4" w:space="0"/>
                  </w:tcBorders>
                  <w:vAlign w:val="center"/>
                </w:tcPr>
                <w:p w14:paraId="56A30C8F">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新水量</w:t>
                  </w:r>
                </w:p>
              </w:tc>
              <w:tc>
                <w:tcPr>
                  <w:tcW w:w="854" w:type="dxa"/>
                  <w:tcBorders>
                    <w:top w:val="single" w:color="auto" w:sz="4" w:space="0"/>
                    <w:left w:val="nil"/>
                    <w:bottom w:val="nil"/>
                    <w:right w:val="single" w:color="auto" w:sz="4" w:space="0"/>
                  </w:tcBorders>
                  <w:vAlign w:val="center"/>
                </w:tcPr>
                <w:p w14:paraId="4825ACA1">
                  <w:pPr>
                    <w:kinsoku/>
                    <w:overflowPunct w:val="0"/>
                    <w:autoSpaceDE/>
                    <w:autoSpaceDN/>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损耗量</w:t>
                  </w:r>
                </w:p>
              </w:tc>
              <w:tc>
                <w:tcPr>
                  <w:tcW w:w="900" w:type="dxa"/>
                  <w:tcBorders>
                    <w:top w:val="single" w:color="auto" w:sz="4" w:space="0"/>
                    <w:left w:val="nil"/>
                    <w:bottom w:val="nil"/>
                    <w:right w:val="single" w:color="auto" w:sz="4" w:space="0"/>
                  </w:tcBorders>
                  <w:vAlign w:val="center"/>
                </w:tcPr>
                <w:p w14:paraId="685C7ECB">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b/>
                      <w:bCs/>
                      <w:color w:val="auto"/>
                      <w:lang w:bidi="ar"/>
                    </w:rPr>
                    <w:t>废水量</w:t>
                  </w:r>
                </w:p>
              </w:tc>
              <w:tc>
                <w:tcPr>
                  <w:tcW w:w="2352" w:type="dxa"/>
                  <w:tcBorders>
                    <w:top w:val="single" w:color="auto" w:sz="4" w:space="0"/>
                    <w:left w:val="nil"/>
                    <w:bottom w:val="single" w:color="auto" w:sz="4" w:space="0"/>
                    <w:right w:val="single" w:color="auto" w:sz="4" w:space="0"/>
                  </w:tcBorders>
                  <w:vAlign w:val="center"/>
                </w:tcPr>
                <w:p w14:paraId="3F791793">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b/>
                      <w:bCs/>
                      <w:color w:val="auto"/>
                      <w:lang w:bidi="ar"/>
                    </w:rPr>
                    <w:t>废水去向</w:t>
                  </w:r>
                </w:p>
              </w:tc>
            </w:tr>
            <w:tr w14:paraId="6670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tcBorders>
                    <w:top w:val="single" w:color="auto" w:sz="4" w:space="0"/>
                    <w:left w:val="single" w:color="auto" w:sz="4" w:space="0"/>
                    <w:right w:val="single" w:color="auto" w:sz="4" w:space="0"/>
                  </w:tcBorders>
                  <w:vAlign w:val="center"/>
                </w:tcPr>
                <w:p w14:paraId="0858922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生产用水</w:t>
                  </w:r>
                </w:p>
              </w:tc>
              <w:tc>
                <w:tcPr>
                  <w:tcW w:w="786" w:type="dxa"/>
                  <w:tcBorders>
                    <w:top w:val="single" w:color="auto" w:sz="4" w:space="0"/>
                    <w:left w:val="single" w:color="auto" w:sz="4" w:space="0"/>
                    <w:bottom w:val="single" w:color="auto" w:sz="4" w:space="0"/>
                    <w:right w:val="single" w:color="auto" w:sz="4" w:space="0"/>
                  </w:tcBorders>
                  <w:vAlign w:val="center"/>
                </w:tcPr>
                <w:p w14:paraId="48EBC5F9">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降尘用水</w:t>
                  </w:r>
                </w:p>
              </w:tc>
              <w:tc>
                <w:tcPr>
                  <w:tcW w:w="935" w:type="dxa"/>
                  <w:tcBorders>
                    <w:top w:val="single" w:color="auto" w:sz="4" w:space="0"/>
                    <w:left w:val="nil"/>
                    <w:bottom w:val="single" w:color="auto" w:sz="4" w:space="0"/>
                    <w:right w:val="single" w:color="auto" w:sz="4" w:space="0"/>
                  </w:tcBorders>
                  <w:vAlign w:val="center"/>
                </w:tcPr>
                <w:p w14:paraId="1816B933">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回用水、</w:t>
                  </w: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3ACBA7E7">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27.04（0）</w:t>
                  </w:r>
                </w:p>
              </w:tc>
              <w:tc>
                <w:tcPr>
                  <w:tcW w:w="854" w:type="dxa"/>
                  <w:tcBorders>
                    <w:top w:val="single" w:color="auto" w:sz="4" w:space="0"/>
                    <w:left w:val="nil"/>
                    <w:bottom w:val="single" w:color="auto" w:sz="4" w:space="0"/>
                    <w:right w:val="single" w:color="auto" w:sz="4" w:space="0"/>
                  </w:tcBorders>
                  <w:vAlign w:val="center"/>
                </w:tcPr>
                <w:p w14:paraId="31F5229C">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0.7（0）</w:t>
                  </w:r>
                </w:p>
              </w:tc>
              <w:tc>
                <w:tcPr>
                  <w:tcW w:w="854" w:type="dxa"/>
                  <w:tcBorders>
                    <w:top w:val="single" w:color="auto" w:sz="4" w:space="0"/>
                    <w:left w:val="nil"/>
                    <w:bottom w:val="single" w:color="auto" w:sz="4" w:space="0"/>
                    <w:right w:val="single" w:color="auto" w:sz="4" w:space="0"/>
                  </w:tcBorders>
                  <w:vAlign w:val="center"/>
                </w:tcPr>
                <w:p w14:paraId="243D7E6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27.04（0）</w:t>
                  </w:r>
                </w:p>
              </w:tc>
              <w:tc>
                <w:tcPr>
                  <w:tcW w:w="900" w:type="dxa"/>
                  <w:tcBorders>
                    <w:top w:val="single" w:color="auto" w:sz="4" w:space="0"/>
                    <w:left w:val="nil"/>
                    <w:bottom w:val="single" w:color="auto" w:sz="4" w:space="0"/>
                    <w:right w:val="single" w:color="auto" w:sz="4" w:space="0"/>
                  </w:tcBorders>
                  <w:vAlign w:val="center"/>
                </w:tcPr>
                <w:p w14:paraId="66273D69">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w:t>
                  </w:r>
                </w:p>
              </w:tc>
              <w:tc>
                <w:tcPr>
                  <w:tcW w:w="2352" w:type="dxa"/>
                  <w:tcBorders>
                    <w:top w:val="single" w:color="auto" w:sz="4" w:space="0"/>
                    <w:left w:val="nil"/>
                    <w:right w:val="single" w:color="auto" w:sz="4" w:space="0"/>
                  </w:tcBorders>
                  <w:vAlign w:val="center"/>
                </w:tcPr>
                <w:p w14:paraId="0A6BD8FD">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3B28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Merge w:val="restart"/>
                  <w:tcBorders>
                    <w:top w:val="single" w:color="auto" w:sz="4" w:space="0"/>
                    <w:left w:val="single" w:color="auto" w:sz="4" w:space="0"/>
                    <w:right w:val="single" w:color="auto" w:sz="4" w:space="0"/>
                  </w:tcBorders>
                  <w:vAlign w:val="center"/>
                </w:tcPr>
                <w:p w14:paraId="73E314CA">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生活用水</w:t>
                  </w:r>
                </w:p>
              </w:tc>
              <w:tc>
                <w:tcPr>
                  <w:tcW w:w="786" w:type="dxa"/>
                  <w:tcBorders>
                    <w:top w:val="single" w:color="auto" w:sz="4" w:space="0"/>
                    <w:left w:val="single" w:color="auto" w:sz="4" w:space="0"/>
                    <w:bottom w:val="single" w:color="auto" w:sz="4" w:space="0"/>
                    <w:right w:val="single" w:color="auto" w:sz="4" w:space="0"/>
                  </w:tcBorders>
                  <w:vAlign w:val="center"/>
                </w:tcPr>
                <w:p w14:paraId="69A18CE1">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bidi="ar"/>
                    </w:rPr>
                    <w:t>食堂</w:t>
                  </w:r>
                </w:p>
                <w:p w14:paraId="75A68B8C">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用水</w:t>
                  </w:r>
                </w:p>
              </w:tc>
              <w:tc>
                <w:tcPr>
                  <w:tcW w:w="935" w:type="dxa"/>
                  <w:tcBorders>
                    <w:top w:val="single" w:color="auto" w:sz="4" w:space="0"/>
                    <w:left w:val="nil"/>
                    <w:bottom w:val="single" w:color="auto" w:sz="4" w:space="0"/>
                    <w:right w:val="single" w:color="auto" w:sz="4" w:space="0"/>
                  </w:tcBorders>
                  <w:vAlign w:val="center"/>
                </w:tcPr>
                <w:p w14:paraId="114464B6">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07D84E7F">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w:t>
                  </w:r>
                </w:p>
              </w:tc>
              <w:tc>
                <w:tcPr>
                  <w:tcW w:w="854" w:type="dxa"/>
                  <w:tcBorders>
                    <w:top w:val="single" w:color="auto" w:sz="4" w:space="0"/>
                    <w:left w:val="nil"/>
                    <w:bottom w:val="single" w:color="auto" w:sz="4" w:space="0"/>
                    <w:right w:val="single" w:color="auto" w:sz="4" w:space="0"/>
                  </w:tcBorders>
                  <w:vAlign w:val="center"/>
                </w:tcPr>
                <w:p w14:paraId="10481058">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eastAsia="zh-CN"/>
                    </w:rPr>
                    <w:t>0.3</w:t>
                  </w:r>
                </w:p>
              </w:tc>
              <w:tc>
                <w:tcPr>
                  <w:tcW w:w="854" w:type="dxa"/>
                  <w:tcBorders>
                    <w:top w:val="single" w:color="auto" w:sz="4" w:space="0"/>
                    <w:left w:val="nil"/>
                    <w:bottom w:val="single" w:color="auto" w:sz="4" w:space="0"/>
                    <w:right w:val="single" w:color="auto" w:sz="4" w:space="0"/>
                  </w:tcBorders>
                  <w:vAlign w:val="center"/>
                </w:tcPr>
                <w:p w14:paraId="37A7A7E8">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06</w:t>
                  </w:r>
                </w:p>
              </w:tc>
              <w:tc>
                <w:tcPr>
                  <w:tcW w:w="900" w:type="dxa"/>
                  <w:tcBorders>
                    <w:top w:val="single" w:color="auto" w:sz="4" w:space="0"/>
                    <w:left w:val="nil"/>
                    <w:bottom w:val="single" w:color="auto" w:sz="4" w:space="0"/>
                    <w:right w:val="single" w:color="auto" w:sz="4" w:space="0"/>
                  </w:tcBorders>
                  <w:vAlign w:val="center"/>
                </w:tcPr>
                <w:p w14:paraId="35E14201">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bidi="ar"/>
                    </w:rPr>
                    <w:t>0.</w:t>
                  </w:r>
                  <w:r>
                    <w:rPr>
                      <w:rFonts w:hint="eastAsia" w:ascii="Times New Roman" w:hAnsi="Times New Roman" w:eastAsia="宋体" w:cs="Times New Roman"/>
                      <w:color w:val="auto"/>
                      <w:lang w:eastAsia="zh-CN" w:bidi="ar"/>
                    </w:rPr>
                    <w:t>24</w:t>
                  </w:r>
                </w:p>
              </w:tc>
              <w:tc>
                <w:tcPr>
                  <w:tcW w:w="2352" w:type="dxa"/>
                  <w:vMerge w:val="restart"/>
                  <w:tcBorders>
                    <w:top w:val="single" w:color="auto" w:sz="4" w:space="0"/>
                    <w:left w:val="nil"/>
                    <w:right w:val="single" w:color="auto" w:sz="4" w:space="0"/>
                  </w:tcBorders>
                  <w:vAlign w:val="center"/>
                </w:tcPr>
                <w:p w14:paraId="1DADE839">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食堂废水先经过隔油池预处理再同其他生活污水一同排入化粪池处理</w:t>
                  </w:r>
                  <w:r>
                    <w:rPr>
                      <w:rFonts w:hint="eastAsia" w:ascii="Times New Roman" w:hAnsi="Times New Roman" w:eastAsia="宋体" w:cs="Times New Roman"/>
                      <w:color w:val="auto"/>
                      <w:lang w:eastAsia="zh-CN"/>
                    </w:rPr>
                    <w:t>后进入一体化污水处理设施，处理后回用于厂内绿化及降尘</w:t>
                  </w:r>
                </w:p>
              </w:tc>
            </w:tr>
            <w:tr w14:paraId="7DEB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3" w:type="dxa"/>
                  <w:vMerge w:val="continue"/>
                  <w:tcBorders>
                    <w:left w:val="single" w:color="auto" w:sz="4" w:space="0"/>
                    <w:bottom w:val="single" w:color="auto" w:sz="4" w:space="0"/>
                    <w:right w:val="single" w:color="auto" w:sz="4" w:space="0"/>
                  </w:tcBorders>
                  <w:vAlign w:val="center"/>
                </w:tcPr>
                <w:p w14:paraId="63EF1DF1">
                  <w:pPr>
                    <w:kinsoku/>
                    <w:overflowPunct w:val="0"/>
                    <w:autoSpaceDE/>
                    <w:autoSpaceDN/>
                    <w:adjustRightInd/>
                    <w:snapToGrid/>
                    <w:textAlignment w:val="auto"/>
                    <w:rPr>
                      <w:rFonts w:ascii="Times New Roman" w:hAnsi="Times New Roman" w:eastAsia="宋体" w:cs="Times New Roman"/>
                      <w:color w:val="auto"/>
                      <w:lang w:eastAsia="zh-CN"/>
                    </w:rPr>
                  </w:pPr>
                </w:p>
              </w:tc>
              <w:tc>
                <w:tcPr>
                  <w:tcW w:w="786" w:type="dxa"/>
                  <w:tcBorders>
                    <w:top w:val="single" w:color="auto" w:sz="4" w:space="0"/>
                    <w:left w:val="single" w:color="auto" w:sz="4" w:space="0"/>
                    <w:bottom w:val="single" w:color="auto" w:sz="4" w:space="0"/>
                    <w:right w:val="single" w:color="auto" w:sz="4" w:space="0"/>
                  </w:tcBorders>
                  <w:vAlign w:val="center"/>
                </w:tcPr>
                <w:p w14:paraId="675C8DF3">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bidi="ar"/>
                    </w:rPr>
                    <w:t>生活</w:t>
                  </w:r>
                </w:p>
                <w:p w14:paraId="64BE9697">
                  <w:pPr>
                    <w:kinsoku/>
                    <w:overflowPunct w:val="0"/>
                    <w:autoSpaceDE/>
                    <w:autoSpaceDN/>
                    <w:adjustRightInd/>
                    <w:snapToGrid/>
                    <w:jc w:val="center"/>
                    <w:textAlignment w:val="auto"/>
                    <w:rPr>
                      <w:rFonts w:ascii="Times New Roman" w:hAnsi="Times New Roman" w:eastAsia="宋体" w:cs="Times New Roman"/>
                      <w:color w:val="auto"/>
                      <w:lang w:bidi="ar"/>
                    </w:rPr>
                  </w:pPr>
                  <w:r>
                    <w:rPr>
                      <w:rFonts w:hint="eastAsia" w:ascii="Times New Roman" w:hAnsi="Times New Roman" w:eastAsia="宋体" w:cs="Times New Roman"/>
                      <w:color w:val="auto"/>
                      <w:lang w:bidi="ar"/>
                    </w:rPr>
                    <w:t>用水</w:t>
                  </w:r>
                </w:p>
              </w:tc>
              <w:tc>
                <w:tcPr>
                  <w:tcW w:w="935" w:type="dxa"/>
                  <w:tcBorders>
                    <w:top w:val="single" w:color="auto" w:sz="4" w:space="0"/>
                    <w:left w:val="nil"/>
                    <w:bottom w:val="single" w:color="auto" w:sz="4" w:space="0"/>
                    <w:right w:val="single" w:color="auto" w:sz="4" w:space="0"/>
                  </w:tcBorders>
                  <w:vAlign w:val="center"/>
                </w:tcPr>
                <w:p w14:paraId="7EA40D99">
                  <w:pPr>
                    <w:kinsoku/>
                    <w:overflowPunct w:val="0"/>
                    <w:autoSpaceDE/>
                    <w:autoSpaceDN/>
                    <w:adjustRightInd/>
                    <w:snapToGrid/>
                    <w:jc w:val="center"/>
                    <w:textAlignment w:val="auto"/>
                    <w:rPr>
                      <w:rFonts w:ascii="Times New Roman" w:hAnsi="Times New Roman" w:eastAsia="宋体" w:cs="Times New Roman"/>
                      <w:color w:val="auto"/>
                      <w:lang w:bidi="ar"/>
                    </w:rPr>
                  </w:pPr>
                  <w:r>
                    <w:rPr>
                      <w:rFonts w:hint="eastAsia" w:ascii="Times New Roman" w:hAnsi="Times New Roman" w:eastAsia="宋体" w:cs="Times New Roman"/>
                      <w:color w:val="auto"/>
                      <w:lang w:bidi="ar"/>
                    </w:rPr>
                    <w:t>新鲜水</w:t>
                  </w:r>
                </w:p>
              </w:tc>
              <w:tc>
                <w:tcPr>
                  <w:tcW w:w="1016" w:type="dxa"/>
                  <w:tcBorders>
                    <w:top w:val="single" w:color="auto" w:sz="4" w:space="0"/>
                    <w:left w:val="nil"/>
                    <w:bottom w:val="single" w:color="auto" w:sz="4" w:space="0"/>
                    <w:right w:val="single" w:color="auto" w:sz="4" w:space="0"/>
                  </w:tcBorders>
                  <w:vAlign w:val="center"/>
                </w:tcPr>
                <w:p w14:paraId="76AA9240">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0.9</w:t>
                  </w:r>
                </w:p>
              </w:tc>
              <w:tc>
                <w:tcPr>
                  <w:tcW w:w="854" w:type="dxa"/>
                  <w:tcBorders>
                    <w:top w:val="single" w:color="auto" w:sz="4" w:space="0"/>
                    <w:left w:val="nil"/>
                    <w:bottom w:val="single" w:color="auto" w:sz="4" w:space="0"/>
                    <w:right w:val="single" w:color="auto" w:sz="4" w:space="0"/>
                  </w:tcBorders>
                  <w:vAlign w:val="center"/>
                </w:tcPr>
                <w:p w14:paraId="08B9A235">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0.9</w:t>
                  </w:r>
                </w:p>
              </w:tc>
              <w:tc>
                <w:tcPr>
                  <w:tcW w:w="854" w:type="dxa"/>
                  <w:tcBorders>
                    <w:top w:val="single" w:color="auto" w:sz="4" w:space="0"/>
                    <w:left w:val="nil"/>
                    <w:bottom w:val="single" w:color="auto" w:sz="4" w:space="0"/>
                    <w:right w:val="single" w:color="auto" w:sz="4" w:space="0"/>
                  </w:tcBorders>
                  <w:vAlign w:val="center"/>
                </w:tcPr>
                <w:p w14:paraId="54906F9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rPr>
                    <w:t>0.</w:t>
                  </w:r>
                  <w:r>
                    <w:rPr>
                      <w:rFonts w:hint="eastAsia" w:ascii="Times New Roman" w:hAnsi="Times New Roman" w:eastAsia="宋体" w:cs="Times New Roman"/>
                      <w:color w:val="auto"/>
                      <w:lang w:eastAsia="zh-CN"/>
                    </w:rPr>
                    <w:t>18</w:t>
                  </w:r>
                </w:p>
              </w:tc>
              <w:tc>
                <w:tcPr>
                  <w:tcW w:w="900" w:type="dxa"/>
                  <w:tcBorders>
                    <w:top w:val="single" w:color="auto" w:sz="4" w:space="0"/>
                    <w:left w:val="nil"/>
                    <w:bottom w:val="single" w:color="auto" w:sz="4" w:space="0"/>
                    <w:right w:val="single" w:color="auto" w:sz="4" w:space="0"/>
                  </w:tcBorders>
                  <w:vAlign w:val="center"/>
                </w:tcPr>
                <w:p w14:paraId="4415F7BB">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0.72</w:t>
                  </w:r>
                </w:p>
              </w:tc>
              <w:tc>
                <w:tcPr>
                  <w:tcW w:w="2352" w:type="dxa"/>
                  <w:vMerge w:val="continue"/>
                  <w:tcBorders>
                    <w:left w:val="nil"/>
                    <w:bottom w:val="single" w:color="auto" w:sz="4" w:space="0"/>
                    <w:right w:val="single" w:color="auto" w:sz="4" w:space="0"/>
                  </w:tcBorders>
                  <w:vAlign w:val="center"/>
                </w:tcPr>
                <w:p w14:paraId="19CD8EC9">
                  <w:pPr>
                    <w:kinsoku/>
                    <w:overflowPunct w:val="0"/>
                    <w:autoSpaceDE/>
                    <w:autoSpaceDN/>
                    <w:adjustRightInd/>
                    <w:snapToGrid/>
                    <w:jc w:val="center"/>
                    <w:textAlignment w:val="auto"/>
                    <w:rPr>
                      <w:rFonts w:ascii="Times New Roman" w:hAnsi="Times New Roman" w:eastAsia="宋体" w:cs="Times New Roman"/>
                      <w:color w:val="auto"/>
                      <w:lang w:bidi="ar"/>
                    </w:rPr>
                  </w:pPr>
                </w:p>
              </w:tc>
            </w:tr>
            <w:tr w14:paraId="3E1F6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right w:val="single" w:color="auto" w:sz="4" w:space="0"/>
                  </w:tcBorders>
                  <w:vAlign w:val="center"/>
                </w:tcPr>
                <w:p w14:paraId="4F3F11D4">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bidi="ar"/>
                    </w:rPr>
                    <w:t>绿化用水</w:t>
                  </w:r>
                </w:p>
              </w:tc>
              <w:tc>
                <w:tcPr>
                  <w:tcW w:w="935" w:type="dxa"/>
                  <w:tcBorders>
                    <w:top w:val="single" w:color="auto" w:sz="4" w:space="0"/>
                    <w:left w:val="nil"/>
                    <w:right w:val="single" w:color="auto" w:sz="4" w:space="0"/>
                  </w:tcBorders>
                  <w:vAlign w:val="center"/>
                </w:tcPr>
                <w:p w14:paraId="419BD11A">
                  <w:pPr>
                    <w:kinsoku/>
                    <w:overflowPunct w:val="0"/>
                    <w:autoSpaceDE/>
                    <w:autoSpaceDN/>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lang w:eastAsia="zh-CN" w:bidi="ar"/>
                    </w:rPr>
                    <w:t>回用</w:t>
                  </w:r>
                  <w:r>
                    <w:rPr>
                      <w:rFonts w:hint="eastAsia" w:ascii="Times New Roman" w:hAnsi="Times New Roman" w:eastAsia="宋体" w:cs="Times New Roman"/>
                      <w:color w:val="auto"/>
                      <w:lang w:bidi="ar"/>
                    </w:rPr>
                    <w:t>水</w:t>
                  </w:r>
                </w:p>
              </w:tc>
              <w:tc>
                <w:tcPr>
                  <w:tcW w:w="1016" w:type="dxa"/>
                  <w:tcBorders>
                    <w:top w:val="single" w:color="auto" w:sz="4" w:space="0"/>
                    <w:left w:val="nil"/>
                    <w:right w:val="single" w:color="auto" w:sz="4" w:space="0"/>
                  </w:tcBorders>
                  <w:vAlign w:val="center"/>
                </w:tcPr>
                <w:p w14:paraId="11B1992E">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0.6（0）</w:t>
                  </w:r>
                </w:p>
              </w:tc>
              <w:tc>
                <w:tcPr>
                  <w:tcW w:w="854" w:type="dxa"/>
                  <w:tcBorders>
                    <w:top w:val="single" w:color="auto" w:sz="4" w:space="0"/>
                    <w:left w:val="nil"/>
                    <w:right w:val="single" w:color="auto" w:sz="4" w:space="0"/>
                  </w:tcBorders>
                  <w:vAlign w:val="center"/>
                </w:tcPr>
                <w:p w14:paraId="654E3F2B">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854" w:type="dxa"/>
                  <w:tcBorders>
                    <w:top w:val="single" w:color="auto" w:sz="4" w:space="0"/>
                    <w:left w:val="nil"/>
                    <w:right w:val="single" w:color="auto" w:sz="4" w:space="0"/>
                  </w:tcBorders>
                  <w:vAlign w:val="center"/>
                </w:tcPr>
                <w:p w14:paraId="05DA3D13">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0.6</w:t>
                  </w:r>
                </w:p>
              </w:tc>
              <w:tc>
                <w:tcPr>
                  <w:tcW w:w="900" w:type="dxa"/>
                  <w:tcBorders>
                    <w:top w:val="single" w:color="auto" w:sz="4" w:space="0"/>
                    <w:left w:val="nil"/>
                    <w:right w:val="single" w:color="auto" w:sz="4" w:space="0"/>
                  </w:tcBorders>
                  <w:vAlign w:val="center"/>
                </w:tcPr>
                <w:p w14:paraId="2065BD53">
                  <w:pPr>
                    <w:kinsoku/>
                    <w:overflowPunct w:val="0"/>
                    <w:autoSpaceDE/>
                    <w:autoSpaceDN/>
                    <w:adjustRightInd/>
                    <w:snapToGrid/>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p>
              </w:tc>
              <w:tc>
                <w:tcPr>
                  <w:tcW w:w="2352" w:type="dxa"/>
                  <w:tcBorders>
                    <w:top w:val="single" w:color="auto" w:sz="4" w:space="0"/>
                    <w:left w:val="nil"/>
                    <w:bottom w:val="single" w:color="auto" w:sz="4" w:space="0"/>
                    <w:right w:val="single" w:color="auto" w:sz="4" w:space="0"/>
                  </w:tcBorders>
                  <w:vAlign w:val="center"/>
                </w:tcPr>
                <w:p w14:paraId="7A1CCE33">
                  <w:pPr>
                    <w:kinsoku/>
                    <w:overflowPunct w:val="0"/>
                    <w:autoSpaceDE/>
                    <w:autoSpaceDN/>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lang w:bidi="ar"/>
                    </w:rPr>
                    <w:t>/</w:t>
                  </w:r>
                </w:p>
              </w:tc>
            </w:tr>
            <w:tr w14:paraId="247EC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14" w:type="dxa"/>
                  <w:gridSpan w:val="3"/>
                  <w:tcBorders>
                    <w:top w:val="single" w:color="auto" w:sz="4" w:space="0"/>
                    <w:left w:val="single" w:color="auto" w:sz="4" w:space="0"/>
                    <w:bottom w:val="single" w:color="auto" w:sz="4" w:space="0"/>
                    <w:right w:val="single" w:color="auto" w:sz="4" w:space="0"/>
                  </w:tcBorders>
                  <w:vAlign w:val="center"/>
                </w:tcPr>
                <w:p w14:paraId="5669C410">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bidi="ar"/>
                    </w:rPr>
                    <w:t>合计（非雨天）</w:t>
                  </w:r>
                </w:p>
              </w:tc>
              <w:tc>
                <w:tcPr>
                  <w:tcW w:w="1016" w:type="dxa"/>
                  <w:tcBorders>
                    <w:top w:val="single" w:color="auto" w:sz="4" w:space="0"/>
                    <w:left w:val="nil"/>
                    <w:bottom w:val="single" w:color="auto" w:sz="4" w:space="0"/>
                    <w:right w:val="single" w:color="auto" w:sz="4" w:space="0"/>
                  </w:tcBorders>
                  <w:vAlign w:val="center"/>
                </w:tcPr>
                <w:p w14:paraId="329376E0">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28.24</w:t>
                  </w:r>
                </w:p>
              </w:tc>
              <w:tc>
                <w:tcPr>
                  <w:tcW w:w="854" w:type="dxa"/>
                  <w:tcBorders>
                    <w:top w:val="single" w:color="auto" w:sz="4" w:space="0"/>
                    <w:left w:val="nil"/>
                    <w:bottom w:val="single" w:color="auto" w:sz="4" w:space="0"/>
                    <w:right w:val="single" w:color="auto" w:sz="4" w:space="0"/>
                  </w:tcBorders>
                  <w:vAlign w:val="center"/>
                </w:tcPr>
                <w:p w14:paraId="5E4439C7">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1.9</w:t>
                  </w:r>
                </w:p>
              </w:tc>
              <w:tc>
                <w:tcPr>
                  <w:tcW w:w="854" w:type="dxa"/>
                  <w:tcBorders>
                    <w:top w:val="single" w:color="auto" w:sz="4" w:space="0"/>
                    <w:left w:val="nil"/>
                    <w:bottom w:val="single" w:color="auto" w:sz="4" w:space="0"/>
                    <w:right w:val="single" w:color="auto" w:sz="4" w:space="0"/>
                  </w:tcBorders>
                  <w:vAlign w:val="center"/>
                </w:tcPr>
                <w:p w14:paraId="7A696F4A">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27.28</w:t>
                  </w:r>
                </w:p>
              </w:tc>
              <w:tc>
                <w:tcPr>
                  <w:tcW w:w="900" w:type="dxa"/>
                  <w:tcBorders>
                    <w:top w:val="single" w:color="auto" w:sz="4" w:space="0"/>
                    <w:left w:val="nil"/>
                    <w:bottom w:val="single" w:color="auto" w:sz="4" w:space="0"/>
                    <w:right w:val="single" w:color="auto" w:sz="4" w:space="0"/>
                  </w:tcBorders>
                  <w:vAlign w:val="center"/>
                </w:tcPr>
                <w:p w14:paraId="39DF6E95">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0.96</w:t>
                  </w:r>
                </w:p>
              </w:tc>
              <w:tc>
                <w:tcPr>
                  <w:tcW w:w="2352" w:type="dxa"/>
                  <w:tcBorders>
                    <w:top w:val="single" w:color="auto" w:sz="4" w:space="0"/>
                    <w:left w:val="nil"/>
                    <w:bottom w:val="single" w:color="auto" w:sz="4" w:space="0"/>
                    <w:right w:val="single" w:color="auto" w:sz="4" w:space="0"/>
                  </w:tcBorders>
                  <w:vAlign w:val="center"/>
                </w:tcPr>
                <w:p w14:paraId="4BA217FB">
                  <w:pPr>
                    <w:kinsoku/>
                    <w:overflowPunct w:val="0"/>
                    <w:autoSpaceDE/>
                    <w:autoSpaceDN/>
                    <w:adjustRightInd/>
                    <w:snapToGrid/>
                    <w:jc w:val="center"/>
                    <w:textAlignment w:val="auto"/>
                    <w:rPr>
                      <w:rFonts w:ascii="Times New Roman" w:hAnsi="Times New Roman" w:eastAsia="宋体" w:cs="Times New Roman"/>
                      <w:bCs/>
                      <w:color w:val="auto"/>
                    </w:rPr>
                  </w:pPr>
                  <w:r>
                    <w:rPr>
                      <w:rFonts w:ascii="Times New Roman" w:hAnsi="Times New Roman" w:eastAsia="宋体" w:cs="Times New Roman"/>
                      <w:bCs/>
                      <w:color w:val="auto"/>
                      <w:lang w:bidi="ar"/>
                    </w:rPr>
                    <w:t>/</w:t>
                  </w:r>
                </w:p>
              </w:tc>
            </w:tr>
            <w:tr w14:paraId="1C850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14" w:type="dxa"/>
                  <w:gridSpan w:val="3"/>
                  <w:tcBorders>
                    <w:top w:val="single" w:color="auto" w:sz="4" w:space="0"/>
                    <w:left w:val="single" w:color="auto" w:sz="4" w:space="0"/>
                    <w:bottom w:val="single" w:color="auto" w:sz="4" w:space="0"/>
                    <w:right w:val="single" w:color="auto" w:sz="4" w:space="0"/>
                  </w:tcBorders>
                  <w:vAlign w:val="center"/>
                </w:tcPr>
                <w:p w14:paraId="2EB6B416">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bidi="ar"/>
                    </w:rPr>
                    <w:t>合计（</w:t>
                  </w:r>
                  <w:r>
                    <w:rPr>
                      <w:rFonts w:hint="eastAsia" w:ascii="Times New Roman" w:hAnsi="Times New Roman" w:eastAsia="宋体" w:cs="Times New Roman"/>
                      <w:bCs/>
                      <w:color w:val="auto"/>
                      <w:lang w:eastAsia="zh-CN" w:bidi="ar"/>
                    </w:rPr>
                    <w:t>雨</w:t>
                  </w:r>
                  <w:r>
                    <w:rPr>
                      <w:rFonts w:hint="eastAsia" w:ascii="Times New Roman" w:hAnsi="Times New Roman" w:eastAsia="宋体" w:cs="Times New Roman"/>
                      <w:bCs/>
                      <w:color w:val="auto"/>
                      <w:lang w:bidi="ar"/>
                    </w:rPr>
                    <w:t>天）</w:t>
                  </w:r>
                </w:p>
              </w:tc>
              <w:tc>
                <w:tcPr>
                  <w:tcW w:w="1016" w:type="dxa"/>
                  <w:tcBorders>
                    <w:top w:val="single" w:color="auto" w:sz="4" w:space="0"/>
                    <w:left w:val="nil"/>
                    <w:bottom w:val="single" w:color="auto" w:sz="4" w:space="0"/>
                    <w:right w:val="single" w:color="auto" w:sz="4" w:space="0"/>
                  </w:tcBorders>
                  <w:vAlign w:val="center"/>
                </w:tcPr>
                <w:p w14:paraId="32278F01">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1.2</w:t>
                  </w:r>
                </w:p>
              </w:tc>
              <w:tc>
                <w:tcPr>
                  <w:tcW w:w="854" w:type="dxa"/>
                  <w:tcBorders>
                    <w:top w:val="single" w:color="auto" w:sz="4" w:space="0"/>
                    <w:left w:val="nil"/>
                    <w:bottom w:val="single" w:color="auto" w:sz="4" w:space="0"/>
                    <w:right w:val="single" w:color="auto" w:sz="4" w:space="0"/>
                  </w:tcBorders>
                  <w:vAlign w:val="center"/>
                </w:tcPr>
                <w:p w14:paraId="32A5D921">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1.2</w:t>
                  </w:r>
                </w:p>
              </w:tc>
              <w:tc>
                <w:tcPr>
                  <w:tcW w:w="854" w:type="dxa"/>
                  <w:tcBorders>
                    <w:top w:val="single" w:color="auto" w:sz="4" w:space="0"/>
                    <w:left w:val="nil"/>
                    <w:bottom w:val="single" w:color="auto" w:sz="4" w:space="0"/>
                    <w:right w:val="single" w:color="auto" w:sz="4" w:space="0"/>
                  </w:tcBorders>
                  <w:vAlign w:val="center"/>
                </w:tcPr>
                <w:p w14:paraId="1F879092">
                  <w:pPr>
                    <w:kinsoku/>
                    <w:overflowPunct w:val="0"/>
                    <w:autoSpaceDE/>
                    <w:autoSpaceDN/>
                    <w:adjustRightInd/>
                    <w:snapToGrid/>
                    <w:jc w:val="center"/>
                    <w:textAlignment w:val="auto"/>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0.84</w:t>
                  </w:r>
                </w:p>
              </w:tc>
              <w:tc>
                <w:tcPr>
                  <w:tcW w:w="900" w:type="dxa"/>
                  <w:tcBorders>
                    <w:top w:val="single" w:color="auto" w:sz="4" w:space="0"/>
                    <w:left w:val="nil"/>
                    <w:bottom w:val="single" w:color="auto" w:sz="4" w:space="0"/>
                    <w:right w:val="single" w:color="auto" w:sz="4" w:space="0"/>
                  </w:tcBorders>
                  <w:vAlign w:val="center"/>
                </w:tcPr>
                <w:p w14:paraId="2EC1F2C1">
                  <w:pPr>
                    <w:kinsoku/>
                    <w:overflowPunct w:val="0"/>
                    <w:autoSpaceDE/>
                    <w:autoSpaceDN/>
                    <w:adjustRightInd/>
                    <w:snapToGrid/>
                    <w:jc w:val="center"/>
                    <w:textAlignment w:val="auto"/>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0.96</w:t>
                  </w:r>
                </w:p>
              </w:tc>
              <w:tc>
                <w:tcPr>
                  <w:tcW w:w="2352" w:type="dxa"/>
                  <w:tcBorders>
                    <w:top w:val="single" w:color="auto" w:sz="4" w:space="0"/>
                    <w:left w:val="nil"/>
                    <w:bottom w:val="single" w:color="auto" w:sz="4" w:space="0"/>
                    <w:right w:val="single" w:color="auto" w:sz="4" w:space="0"/>
                  </w:tcBorders>
                  <w:vAlign w:val="center"/>
                </w:tcPr>
                <w:p w14:paraId="618A950D">
                  <w:pPr>
                    <w:kinsoku/>
                    <w:overflowPunct w:val="0"/>
                    <w:autoSpaceDE/>
                    <w:autoSpaceDN/>
                    <w:adjustRightInd/>
                    <w:snapToGrid/>
                    <w:jc w:val="center"/>
                    <w:textAlignment w:val="auto"/>
                    <w:rPr>
                      <w:rFonts w:ascii="Times New Roman" w:hAnsi="Times New Roman" w:eastAsia="宋体" w:cs="Times New Roman"/>
                      <w:bCs/>
                      <w:color w:val="auto"/>
                    </w:rPr>
                  </w:pPr>
                  <w:r>
                    <w:rPr>
                      <w:rFonts w:ascii="Times New Roman" w:hAnsi="Times New Roman" w:eastAsia="宋体" w:cs="Times New Roman"/>
                      <w:bCs/>
                      <w:color w:val="auto"/>
                      <w:lang w:bidi="ar"/>
                    </w:rPr>
                    <w:t>/</w:t>
                  </w:r>
                </w:p>
              </w:tc>
            </w:tr>
            <w:tr w14:paraId="1C4B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79" w:type="dxa"/>
                  <w:gridSpan w:val="2"/>
                  <w:tcBorders>
                    <w:top w:val="single" w:color="auto" w:sz="4" w:space="0"/>
                    <w:left w:val="single" w:color="auto" w:sz="4" w:space="0"/>
                    <w:bottom w:val="single" w:color="auto" w:sz="4" w:space="0"/>
                    <w:right w:val="single" w:color="auto" w:sz="4" w:space="0"/>
                  </w:tcBorders>
                  <w:vAlign w:val="center"/>
                </w:tcPr>
                <w:p w14:paraId="35ED58B4">
                  <w:pPr>
                    <w:kinsoku/>
                    <w:overflowPunct w:val="0"/>
                    <w:autoSpaceDE/>
                    <w:autoSpaceDN/>
                    <w:adjustRightInd/>
                    <w:snapToGrid/>
                    <w:jc w:val="center"/>
                    <w:textAlignment w:val="auto"/>
                    <w:rPr>
                      <w:rFonts w:ascii="Times New Roman" w:hAnsi="Times New Roman" w:eastAsia="宋体" w:cs="Times New Roman"/>
                      <w:bCs/>
                      <w:color w:val="auto"/>
                      <w:lang w:eastAsia="zh-CN" w:bidi="ar"/>
                    </w:rPr>
                  </w:pPr>
                  <w:r>
                    <w:rPr>
                      <w:rFonts w:hint="eastAsia" w:ascii="Times New Roman" w:hAnsi="Times New Roman" w:eastAsia="宋体" w:cs="Times New Roman"/>
                      <w:bCs/>
                      <w:color w:val="auto"/>
                      <w:lang w:eastAsia="zh-CN" w:bidi="ar"/>
                    </w:rPr>
                    <w:t>备注</w:t>
                  </w:r>
                </w:p>
              </w:tc>
              <w:tc>
                <w:tcPr>
                  <w:tcW w:w="6911" w:type="dxa"/>
                  <w:gridSpan w:val="6"/>
                  <w:tcBorders>
                    <w:top w:val="single" w:color="auto" w:sz="4" w:space="0"/>
                    <w:left w:val="nil"/>
                    <w:bottom w:val="single" w:color="auto" w:sz="4" w:space="0"/>
                    <w:right w:val="single" w:color="auto" w:sz="4" w:space="0"/>
                  </w:tcBorders>
                  <w:vAlign w:val="center"/>
                </w:tcPr>
                <w:p w14:paraId="6D70D292">
                  <w:pPr>
                    <w:kinsoku/>
                    <w:overflowPunct w:val="0"/>
                    <w:autoSpaceDE/>
                    <w:autoSpaceDN/>
                    <w:adjustRightInd/>
                    <w:snapToGrid/>
                    <w:jc w:val="center"/>
                    <w:textAlignment w:val="auto"/>
                    <w:rPr>
                      <w:rFonts w:ascii="Times New Roman" w:hAnsi="Times New Roman" w:eastAsia="宋体" w:cs="Times New Roman"/>
                      <w:bCs/>
                      <w:color w:val="auto"/>
                      <w:lang w:eastAsia="zh-CN" w:bidi="ar"/>
                    </w:rPr>
                  </w:pPr>
                  <w:r>
                    <w:rPr>
                      <w:rFonts w:hint="eastAsia" w:ascii="Times New Roman" w:hAnsi="Times New Roman" w:eastAsia="宋体" w:cs="Times New Roman"/>
                      <w:bCs/>
                      <w:color w:val="auto"/>
                      <w:lang w:eastAsia="zh-CN" w:bidi="ar"/>
                    </w:rPr>
                    <w:t>括号外为非雨天，括号内为雨天</w:t>
                  </w:r>
                </w:p>
              </w:tc>
            </w:tr>
          </w:tbl>
          <w:p w14:paraId="0868367D">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rPr>
              <w:t>水量平衡图</w:t>
            </w:r>
          </w:p>
          <w:p w14:paraId="20FEFFA0">
            <w:pPr>
              <w:pStyle w:val="30"/>
              <w:kinsoku/>
              <w:overflowPunct w:val="0"/>
              <w:autoSpaceDE/>
              <w:autoSpaceDN/>
              <w:adjustRightInd/>
              <w:snapToGrid/>
              <w:spacing w:line="360" w:lineRule="auto"/>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kern w:val="2"/>
                <w:sz w:val="24"/>
              </w:rPr>
              <w:object>
                <v:shape id="_x0000_i1027" o:spt="75" type="#_x0000_t75" style="height:233.55pt;width:389.6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14:paraId="71A16906">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图2-3 水量平衡图（非雨天）（单位：m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p w14:paraId="58470B75">
            <w:pPr>
              <w:pStyle w:val="30"/>
              <w:kinsoku/>
              <w:overflowPunct w:val="0"/>
              <w:autoSpaceDE/>
              <w:autoSpaceDN/>
              <w:adjustRightInd/>
              <w:snapToGrid/>
              <w:jc w:val="center"/>
              <w:rPr>
                <w:rFonts w:ascii="Times New Roman" w:hAnsi="Times New Roman" w:eastAsia="宋体" w:cs="Times New Roman"/>
                <w:color w:val="auto"/>
                <w:sz w:val="24"/>
                <w:szCs w:val="24"/>
              </w:rPr>
            </w:pPr>
            <w:r>
              <w:rPr>
                <w:rFonts w:ascii="Times New Roman" w:hAnsi="Times New Roman" w:eastAsia="宋体" w:cs="Times New Roman"/>
                <w:color w:val="auto"/>
                <w:kern w:val="2"/>
                <w:sz w:val="24"/>
              </w:rPr>
              <w:object>
                <v:shape id="_x0000_i1028" o:spt="75" type="#_x0000_t75" style="height:187.9pt;width:395.15pt;" o:ole="t" filled="f" o:preferrelative="t" stroked="f" coordsize="21600,21600">
                  <v:path/>
                  <v:fill on="f" focussize="0,0"/>
                  <v:stroke on="f" joinstyle="miter"/>
                  <v:imagedata r:id="rId24" o:title=""/>
                  <o:lock v:ext="edit" aspectratio="f"/>
                  <w10:wrap type="none"/>
                  <w10:anchorlock/>
                </v:shape>
                <o:OLEObject Type="Embed" ProgID="Visio.Drawing.11" ShapeID="_x0000_i1028" DrawAspect="Content" ObjectID="_1468075728" r:id="rId23">
                  <o:LockedField>false</o:LockedField>
                </o:OLEObject>
              </w:object>
            </w:r>
          </w:p>
          <w:p w14:paraId="388F6025">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图2-4 水量平衡图（雨天）（单位：m</w:t>
            </w:r>
            <w:r>
              <w:rPr>
                <w:rFonts w:hint="eastAsia" w:ascii="Times New Roman" w:hAnsi="Times New Roman" w:eastAsia="宋体" w:cs="Times New Roman"/>
                <w:b/>
                <w:bCs/>
                <w:color w:val="auto"/>
                <w:sz w:val="24"/>
                <w:szCs w:val="24"/>
                <w:vertAlign w:val="superscript"/>
                <w:lang w:eastAsia="zh-CN"/>
              </w:rPr>
              <w:t>3</w:t>
            </w:r>
            <w:r>
              <w:rPr>
                <w:rFonts w:hint="eastAsia" w:ascii="Times New Roman" w:hAnsi="Times New Roman" w:eastAsia="宋体" w:cs="Times New Roman"/>
                <w:b/>
                <w:bCs/>
                <w:color w:val="auto"/>
                <w:sz w:val="24"/>
                <w:szCs w:val="24"/>
                <w:lang w:eastAsia="zh-CN"/>
              </w:rPr>
              <w:t>/d）</w:t>
            </w:r>
          </w:p>
          <w:p w14:paraId="6F6840B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七</w:t>
            </w:r>
            <w:r>
              <w:rPr>
                <w:rFonts w:ascii="Times New Roman" w:hAnsi="Times New Roman" w:eastAsia="宋体" w:cs="Times New Roman"/>
                <w:b/>
                <w:bCs/>
                <w:color w:val="auto"/>
                <w:sz w:val="24"/>
                <w:szCs w:val="24"/>
                <w:lang w:eastAsia="zh-CN"/>
              </w:rPr>
              <w:t>、劳动定员及工作制度</w:t>
            </w:r>
          </w:p>
          <w:p w14:paraId="0D8754B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劳动定员</w:t>
            </w:r>
          </w:p>
          <w:p w14:paraId="1BC9DF2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人，均</w:t>
            </w:r>
            <w:r>
              <w:rPr>
                <w:rFonts w:hint="eastAsia" w:ascii="Times New Roman" w:hAnsi="Times New Roman" w:eastAsia="宋体" w:cs="Times New Roman"/>
                <w:color w:val="auto"/>
                <w:sz w:val="24"/>
                <w:szCs w:val="24"/>
                <w:lang w:eastAsia="zh-CN"/>
              </w:rPr>
              <w:t>在项目内</w:t>
            </w:r>
            <w:r>
              <w:rPr>
                <w:rFonts w:ascii="Times New Roman" w:hAnsi="Times New Roman" w:eastAsia="宋体" w:cs="Times New Roman"/>
                <w:color w:val="auto"/>
                <w:sz w:val="24"/>
                <w:szCs w:val="24"/>
                <w:lang w:eastAsia="zh-CN"/>
              </w:rPr>
              <w:t>食宿。</w:t>
            </w:r>
          </w:p>
          <w:p w14:paraId="2A82998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工作制度</w:t>
            </w:r>
          </w:p>
          <w:p w14:paraId="6F47EED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生产时间为300天，一班制，每班8小时</w:t>
            </w:r>
            <w:r>
              <w:rPr>
                <w:rFonts w:hint="eastAsia" w:ascii="Times New Roman" w:hAnsi="Times New Roman" w:eastAsia="宋体" w:cs="Times New Roman"/>
                <w:color w:val="auto"/>
                <w:sz w:val="24"/>
                <w:szCs w:val="24"/>
                <w:lang w:eastAsia="zh-CN"/>
              </w:rPr>
              <w:t>，夜间不生产</w:t>
            </w:r>
            <w:r>
              <w:rPr>
                <w:rFonts w:ascii="Times New Roman" w:hAnsi="Times New Roman" w:eastAsia="宋体" w:cs="Times New Roman"/>
                <w:color w:val="auto"/>
                <w:sz w:val="24"/>
                <w:szCs w:val="24"/>
                <w:lang w:eastAsia="zh-CN"/>
              </w:rPr>
              <w:t>。</w:t>
            </w:r>
          </w:p>
          <w:p w14:paraId="35A3579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八</w:t>
            </w:r>
            <w:r>
              <w:rPr>
                <w:rFonts w:hint="eastAsia" w:ascii="Times New Roman" w:hAnsi="Times New Roman" w:eastAsia="宋体" w:cs="Times New Roman"/>
                <w:b/>
                <w:bCs/>
                <w:color w:val="auto"/>
                <w:sz w:val="24"/>
                <w:szCs w:val="24"/>
                <w:lang w:eastAsia="zh-CN"/>
              </w:rPr>
              <w:t>、施工组织</w:t>
            </w:r>
          </w:p>
          <w:p w14:paraId="56635A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项目现尚未开工建设，项目拟于202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月开工建设，202</w:t>
            </w:r>
            <w:r>
              <w:rPr>
                <w:rFonts w:hint="eastAsia" w:ascii="Times New Roman" w:hAnsi="Times New Roman" w:eastAsia="宋体" w:cs="Times New Roman"/>
                <w:color w:val="auto"/>
                <w:sz w:val="24"/>
                <w:szCs w:val="24"/>
                <w:lang w:eastAsia="zh-CN"/>
              </w:rPr>
              <w:t>6</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val="en-US" w:eastAsia="zh-CN"/>
              </w:rPr>
              <w:t>12</w:t>
            </w:r>
            <w:r>
              <w:rPr>
                <w:rFonts w:ascii="Times New Roman" w:hAnsi="Times New Roman" w:eastAsia="宋体" w:cs="Times New Roman"/>
                <w:color w:val="auto"/>
                <w:sz w:val="24"/>
                <w:szCs w:val="24"/>
                <w:lang w:eastAsia="zh-CN"/>
              </w:rPr>
              <w:t>月竣工。施工工期共</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lang w:eastAsia="zh-CN"/>
              </w:rPr>
              <w:t>个月。</w:t>
            </w:r>
            <w:r>
              <w:rPr>
                <w:rFonts w:ascii="Times New Roman" w:hAnsi="Times New Roman" w:eastAsia="宋体" w:cs="Times New Roman"/>
                <w:color w:val="auto"/>
                <w:sz w:val="24"/>
                <w:lang w:eastAsia="zh-CN"/>
              </w:rPr>
              <w:t>施工期施工人员来自周边</w:t>
            </w:r>
            <w:r>
              <w:rPr>
                <w:rFonts w:hint="eastAsia" w:ascii="Times New Roman" w:hAnsi="Times New Roman" w:eastAsia="宋体" w:cs="Times New Roman"/>
                <w:color w:val="auto"/>
                <w:sz w:val="24"/>
                <w:lang w:eastAsia="zh-CN"/>
              </w:rPr>
              <w:t>村民，</w:t>
            </w:r>
            <w:r>
              <w:rPr>
                <w:rFonts w:ascii="Times New Roman" w:hAnsi="Times New Roman" w:eastAsia="宋体" w:cs="Times New Roman"/>
                <w:bCs/>
                <w:color w:val="auto"/>
                <w:sz w:val="24"/>
                <w:lang w:eastAsia="zh-CN"/>
              </w:rPr>
              <w:t>项目施工期的施工人员约20人，均不在项目区食宿</w:t>
            </w:r>
            <w:r>
              <w:rPr>
                <w:rFonts w:hint="eastAsia" w:ascii="Times New Roman" w:hAnsi="Times New Roman" w:eastAsia="宋体" w:cs="Times New Roman"/>
                <w:bCs/>
                <w:color w:val="auto"/>
                <w:sz w:val="24"/>
                <w:lang w:eastAsia="zh-CN"/>
              </w:rPr>
              <w:t>；施工期不设施工营地和弃渣场</w:t>
            </w:r>
            <w:r>
              <w:rPr>
                <w:rFonts w:ascii="Times New Roman" w:hAnsi="Times New Roman" w:eastAsia="宋体" w:cs="Times New Roman"/>
                <w:bCs/>
                <w:color w:val="auto"/>
                <w:sz w:val="24"/>
                <w:lang w:eastAsia="zh-CN"/>
              </w:rPr>
              <w:t>。</w:t>
            </w:r>
          </w:p>
          <w:p w14:paraId="3C8EE2A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九</w:t>
            </w:r>
            <w:r>
              <w:rPr>
                <w:rFonts w:ascii="Times New Roman" w:hAnsi="Times New Roman" w:eastAsia="宋体" w:cs="Times New Roman"/>
                <w:b/>
                <w:bCs/>
                <w:color w:val="auto"/>
                <w:sz w:val="24"/>
                <w:szCs w:val="24"/>
                <w:lang w:eastAsia="zh-CN"/>
              </w:rPr>
              <w:t>、项目投资</w:t>
            </w:r>
          </w:p>
          <w:p w14:paraId="5099E8F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项目总投资为</w:t>
            </w:r>
            <w:r>
              <w:rPr>
                <w:rFonts w:hint="eastAsia" w:ascii="Times New Roman" w:hAnsi="Times New Roman" w:eastAsia="宋体" w:cs="Times New Roman"/>
                <w:color w:val="auto"/>
                <w:sz w:val="24"/>
                <w:szCs w:val="24"/>
                <w:lang w:eastAsia="zh-CN"/>
              </w:rPr>
              <w:t>1</w:t>
            </w:r>
            <w:r>
              <w:rPr>
                <w:rFonts w:hint="eastAsia" w:cs="Times New Roman"/>
                <w:color w:val="auto"/>
                <w:sz w:val="24"/>
                <w:szCs w:val="24"/>
                <w:lang w:val="en-US" w:eastAsia="zh-CN"/>
              </w:rPr>
              <w:t>1</w:t>
            </w:r>
            <w:r>
              <w:rPr>
                <w:rFonts w:ascii="Times New Roman" w:hAnsi="Times New Roman" w:eastAsia="宋体" w:cs="Times New Roman"/>
                <w:color w:val="auto"/>
                <w:sz w:val="24"/>
                <w:szCs w:val="24"/>
                <w:lang w:eastAsia="zh-CN"/>
              </w:rPr>
              <w:t>00万元，其中环保投资为</w:t>
            </w:r>
            <w:r>
              <w:rPr>
                <w:rFonts w:hint="eastAsia" w:ascii="Times New Roman" w:hAnsi="Times New Roman" w:eastAsia="宋体" w:cs="Times New Roman"/>
                <w:color w:val="auto"/>
                <w:sz w:val="24"/>
                <w:szCs w:val="24"/>
                <w:lang w:val="en-US" w:eastAsia="zh-CN"/>
              </w:rPr>
              <w:t>72</w:t>
            </w:r>
            <w:r>
              <w:rPr>
                <w:rFonts w:ascii="Times New Roman" w:hAnsi="Times New Roman" w:eastAsia="宋体" w:cs="Times New Roman"/>
                <w:color w:val="auto"/>
                <w:sz w:val="24"/>
                <w:szCs w:val="24"/>
                <w:lang w:eastAsia="zh-CN"/>
              </w:rPr>
              <w:t>万元，环保投资占总投资的</w:t>
            </w:r>
            <w:r>
              <w:rPr>
                <w:rFonts w:hint="eastAsia" w:cs="Times New Roman"/>
                <w:color w:val="auto"/>
                <w:sz w:val="24"/>
                <w:szCs w:val="24"/>
                <w:lang w:val="en-US" w:eastAsia="zh-CN"/>
              </w:rPr>
              <w:t>6.55</w:t>
            </w:r>
            <w:r>
              <w:rPr>
                <w:rFonts w:ascii="Times New Roman" w:hAnsi="Times New Roman" w:eastAsia="宋体" w:cs="Times New Roman"/>
                <w:color w:val="auto"/>
                <w:sz w:val="24"/>
                <w:szCs w:val="24"/>
                <w:lang w:eastAsia="zh-CN"/>
              </w:rPr>
              <w:t>%。环保投资情况详见下表。</w:t>
            </w:r>
          </w:p>
          <w:p w14:paraId="3B8B7D29">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表2-</w:t>
            </w:r>
            <w:r>
              <w:rPr>
                <w:rFonts w:hint="eastAsia" w:cs="Times New Roman"/>
                <w:b/>
                <w:bCs/>
                <w:color w:val="auto"/>
                <w:sz w:val="24"/>
                <w:szCs w:val="24"/>
                <w:lang w:val="en-US" w:eastAsia="zh-CN"/>
              </w:rPr>
              <w:t>15</w:t>
            </w:r>
            <w:r>
              <w:rPr>
                <w:rFonts w:hint="eastAsia" w:ascii="Times New Roman" w:hAnsi="Times New Roman" w:eastAsia="宋体" w:cs="Times New Roman"/>
                <w:b/>
                <w:bCs/>
                <w:color w:val="auto"/>
                <w:sz w:val="24"/>
                <w:szCs w:val="24"/>
                <w:lang w:eastAsia="zh-CN"/>
              </w:rPr>
              <w:t xml:space="preserve"> 项目环保投资一览表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2"/>
              <w:gridCol w:w="705"/>
              <w:gridCol w:w="4196"/>
              <w:gridCol w:w="1541"/>
              <w:gridCol w:w="1476"/>
            </w:tblGrid>
            <w:tr w14:paraId="28C8E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2" w:type="pct"/>
                  <w:gridSpan w:val="3"/>
                  <w:vAlign w:val="center"/>
                </w:tcPr>
                <w:p w14:paraId="714D6C87">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项目</w:t>
                  </w:r>
                </w:p>
              </w:tc>
              <w:tc>
                <w:tcPr>
                  <w:tcW w:w="918" w:type="pct"/>
                  <w:vAlign w:val="center"/>
                </w:tcPr>
                <w:p w14:paraId="424960B1">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金额（万元）</w:t>
                  </w:r>
                </w:p>
              </w:tc>
              <w:tc>
                <w:tcPr>
                  <w:tcW w:w="879" w:type="pct"/>
                  <w:vAlign w:val="center"/>
                </w:tcPr>
                <w:p w14:paraId="140F44A3">
                  <w:pPr>
                    <w:kinsoku/>
                    <w:overflowPunct w:val="0"/>
                    <w:autoSpaceDE/>
                    <w:autoSpaceDN/>
                    <w:adjustRightInd/>
                    <w:snapToGrid/>
                    <w:spacing w:line="276" w:lineRule="auto"/>
                    <w:jc w:val="center"/>
                    <w:rPr>
                      <w:rFonts w:ascii="Times New Roman" w:hAnsi="Times New Roman" w:eastAsia="宋体" w:cs="Times New Roman"/>
                      <w:b/>
                      <w:color w:val="auto"/>
                    </w:rPr>
                  </w:pPr>
                  <w:r>
                    <w:rPr>
                      <w:rFonts w:ascii="Times New Roman" w:hAnsi="Times New Roman" w:eastAsia="宋体" w:cs="Times New Roman"/>
                      <w:b/>
                      <w:color w:val="auto"/>
                    </w:rPr>
                    <w:t>备注</w:t>
                  </w:r>
                </w:p>
              </w:tc>
            </w:tr>
            <w:tr w14:paraId="0FEE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restart"/>
                  <w:vAlign w:val="center"/>
                </w:tcPr>
                <w:p w14:paraId="3F854E94">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施工期</w:t>
                  </w:r>
                </w:p>
              </w:tc>
              <w:tc>
                <w:tcPr>
                  <w:tcW w:w="420" w:type="pct"/>
                  <w:vAlign w:val="center"/>
                </w:tcPr>
                <w:p w14:paraId="78246877">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大气</w:t>
                  </w:r>
                </w:p>
              </w:tc>
              <w:tc>
                <w:tcPr>
                  <w:tcW w:w="2500" w:type="pct"/>
                  <w:vAlign w:val="center"/>
                </w:tcPr>
                <w:p w14:paraId="27C8A23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施工材料覆盖</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洒水降尘</w:t>
                  </w:r>
                  <w:r>
                    <w:rPr>
                      <w:rFonts w:hint="eastAsia" w:ascii="Times New Roman" w:hAnsi="Times New Roman" w:eastAsia="宋体" w:cs="Times New Roman"/>
                      <w:bCs/>
                      <w:color w:val="auto"/>
                      <w:lang w:eastAsia="zh-CN"/>
                    </w:rPr>
                    <w:t>、围挡</w:t>
                  </w:r>
                </w:p>
              </w:tc>
              <w:tc>
                <w:tcPr>
                  <w:tcW w:w="918" w:type="pct"/>
                  <w:vAlign w:val="center"/>
                </w:tcPr>
                <w:p w14:paraId="570474C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0.3</w:t>
                  </w:r>
                </w:p>
              </w:tc>
              <w:tc>
                <w:tcPr>
                  <w:tcW w:w="879" w:type="pct"/>
                  <w:vAlign w:val="center"/>
                </w:tcPr>
                <w:p w14:paraId="610174E6">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5E22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B56A72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5656CA2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废水</w:t>
                  </w:r>
                </w:p>
              </w:tc>
              <w:tc>
                <w:tcPr>
                  <w:tcW w:w="2500" w:type="pct"/>
                  <w:vAlign w:val="center"/>
                </w:tcPr>
                <w:p w14:paraId="5A95E4E0">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1个2m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的临时沉淀池</w:t>
                  </w:r>
                </w:p>
              </w:tc>
              <w:tc>
                <w:tcPr>
                  <w:tcW w:w="918" w:type="pct"/>
                  <w:vAlign w:val="center"/>
                </w:tcPr>
                <w:p w14:paraId="437A53B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6EB8F38">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39CF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EF6473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29178EB5">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固废</w:t>
                  </w:r>
                </w:p>
              </w:tc>
              <w:tc>
                <w:tcPr>
                  <w:tcW w:w="2500" w:type="pct"/>
                  <w:vAlign w:val="center"/>
                </w:tcPr>
                <w:p w14:paraId="07CA7B4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生活垃圾、废包装袋、废金属、</w:t>
                  </w:r>
                  <w:r>
                    <w:rPr>
                      <w:rFonts w:ascii="Times New Roman" w:hAnsi="Times New Roman" w:eastAsia="宋体" w:cs="Times New Roman"/>
                      <w:bCs/>
                      <w:color w:val="auto"/>
                      <w:lang w:eastAsia="zh-CN"/>
                    </w:rPr>
                    <w:t>建筑垃圾收集及处理</w:t>
                  </w:r>
                </w:p>
              </w:tc>
              <w:tc>
                <w:tcPr>
                  <w:tcW w:w="918" w:type="pct"/>
                  <w:vAlign w:val="center"/>
                </w:tcPr>
                <w:p w14:paraId="7DE88EEF">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0.</w:t>
                  </w:r>
                  <w:r>
                    <w:rPr>
                      <w:rFonts w:hint="eastAsia" w:ascii="Times New Roman" w:hAnsi="Times New Roman" w:eastAsia="宋体" w:cs="Times New Roman"/>
                      <w:bCs/>
                      <w:color w:val="auto"/>
                    </w:rPr>
                    <w:t>2</w:t>
                  </w:r>
                </w:p>
              </w:tc>
              <w:tc>
                <w:tcPr>
                  <w:tcW w:w="879" w:type="pct"/>
                  <w:vAlign w:val="center"/>
                </w:tcPr>
                <w:p w14:paraId="5DC06AD9">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7A99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restart"/>
                  <w:vAlign w:val="center"/>
                </w:tcPr>
                <w:p w14:paraId="773B7488">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运营期</w:t>
                  </w:r>
                </w:p>
              </w:tc>
              <w:tc>
                <w:tcPr>
                  <w:tcW w:w="420" w:type="pct"/>
                  <w:vMerge w:val="restart"/>
                  <w:vAlign w:val="center"/>
                </w:tcPr>
                <w:p w14:paraId="3EF284DC">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废气</w:t>
                  </w:r>
                </w:p>
              </w:tc>
              <w:tc>
                <w:tcPr>
                  <w:tcW w:w="2500" w:type="pct"/>
                  <w:vAlign w:val="center"/>
                </w:tcPr>
                <w:p w14:paraId="78DFC4B5">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布袋除尘器</w:t>
                  </w:r>
                </w:p>
              </w:tc>
              <w:tc>
                <w:tcPr>
                  <w:tcW w:w="918" w:type="pct"/>
                  <w:vAlign w:val="center"/>
                </w:tcPr>
                <w:p w14:paraId="3B8A5D5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8</w:t>
                  </w:r>
                </w:p>
              </w:tc>
              <w:tc>
                <w:tcPr>
                  <w:tcW w:w="879" w:type="pct"/>
                  <w:vAlign w:val="center"/>
                </w:tcPr>
                <w:p w14:paraId="462AFF8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E0A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AA70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1B395E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18B25F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脉冲布袋除尘器</w:t>
                  </w:r>
                </w:p>
              </w:tc>
              <w:tc>
                <w:tcPr>
                  <w:tcW w:w="918" w:type="pct"/>
                  <w:vAlign w:val="center"/>
                </w:tcPr>
                <w:p w14:paraId="423D885F">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DA56B1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计入设备投资</w:t>
                  </w:r>
                </w:p>
              </w:tc>
            </w:tr>
            <w:tr w14:paraId="06C4B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D82E5A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1B07F40">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5B0E765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集气罩（半密闭集气罩，收集率</w:t>
                  </w:r>
                  <w:r>
                    <w:rPr>
                      <w:rFonts w:hint="eastAsia" w:cs="Times New Roman"/>
                      <w:bCs/>
                      <w:color w:val="auto"/>
                      <w:lang w:val="en-US" w:eastAsia="zh-CN"/>
                    </w:rPr>
                    <w:t>7</w:t>
                  </w:r>
                  <w:r>
                    <w:rPr>
                      <w:rFonts w:hint="eastAsia" w:ascii="Times New Roman" w:hAnsi="Times New Roman" w:eastAsia="宋体" w:cs="Times New Roman"/>
                      <w:bCs/>
                      <w:color w:val="auto"/>
                      <w:lang w:eastAsia="zh-CN"/>
                    </w:rPr>
                    <w:t>0%）+废气管道</w:t>
                  </w:r>
                </w:p>
              </w:tc>
              <w:tc>
                <w:tcPr>
                  <w:tcW w:w="918" w:type="pct"/>
                  <w:vAlign w:val="center"/>
                </w:tcPr>
                <w:p w14:paraId="54DEDB5E">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w:t>
                  </w:r>
                </w:p>
              </w:tc>
              <w:tc>
                <w:tcPr>
                  <w:tcW w:w="879" w:type="pct"/>
                  <w:vAlign w:val="center"/>
                </w:tcPr>
                <w:p w14:paraId="0492975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3D8B3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3C278FC">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6A83072">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D57312C">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w:t>
                  </w:r>
                  <w:r>
                    <w:rPr>
                      <w:rFonts w:hint="eastAsia" w:ascii="Times New Roman" w:hAnsi="Times New Roman" w:eastAsia="宋体" w:cs="Times New Roman"/>
                      <w:bCs/>
                      <w:color w:val="auto"/>
                    </w:rPr>
                    <w:t>根15m高排气筒</w:t>
                  </w:r>
                </w:p>
              </w:tc>
              <w:tc>
                <w:tcPr>
                  <w:tcW w:w="918" w:type="pct"/>
                  <w:vAlign w:val="center"/>
                </w:tcPr>
                <w:p w14:paraId="250641D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w:t>
                  </w:r>
                </w:p>
              </w:tc>
              <w:tc>
                <w:tcPr>
                  <w:tcW w:w="879" w:type="pct"/>
                  <w:vAlign w:val="center"/>
                </w:tcPr>
                <w:p w14:paraId="7C17F126">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4575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5A064C8">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7B331177">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DD92F5D">
                  <w:pPr>
                    <w:kinsoku/>
                    <w:overflowPunct w:val="0"/>
                    <w:autoSpaceDE/>
                    <w:autoSpaceDN/>
                    <w:adjustRightInd/>
                    <w:snapToGrid/>
                    <w:spacing w:line="276" w:lineRule="auto"/>
                    <w:jc w:val="center"/>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w:t>
                  </w:r>
                  <w:r>
                    <w:rPr>
                      <w:rFonts w:hint="eastAsia" w:ascii="Times New Roman" w:hAnsi="Times New Roman" w:eastAsia="宋体" w:cs="Times New Roman"/>
                      <w:bCs/>
                      <w:color w:val="auto"/>
                    </w:rPr>
                    <w:t>根1m高排气筒</w:t>
                  </w:r>
                </w:p>
              </w:tc>
              <w:tc>
                <w:tcPr>
                  <w:tcW w:w="918" w:type="pct"/>
                  <w:vAlign w:val="center"/>
                </w:tcPr>
                <w:p w14:paraId="32EC002F">
                  <w:pPr>
                    <w:kinsoku/>
                    <w:overflowPunct w:val="0"/>
                    <w:autoSpaceDE/>
                    <w:autoSpaceDN/>
                    <w:adjustRightInd/>
                    <w:snapToGrid/>
                    <w:spacing w:after="100" w:afterAutospacing="1" w:line="276" w:lineRule="auto"/>
                    <w:jc w:val="center"/>
                    <w:rPr>
                      <w:rFonts w:hint="eastAsia" w:ascii="Times New Roman" w:hAnsi="Times New Roman" w:eastAsia="宋体" w:cs="Times New Roman"/>
                      <w:bCs/>
                      <w:color w:val="auto"/>
                      <w:lang w:eastAsia="zh-CN"/>
                    </w:rPr>
                  </w:pPr>
                  <w:r>
                    <w:rPr>
                      <w:rFonts w:hint="eastAsia" w:ascii="Times New Roman" w:hAnsi="Times New Roman" w:eastAsia="宋体" w:cs="Times New Roman"/>
                      <w:bCs/>
                      <w:color w:val="auto"/>
                      <w:lang w:val="en-US" w:eastAsia="zh-CN"/>
                    </w:rPr>
                    <w:t>0.5</w:t>
                  </w:r>
                </w:p>
              </w:tc>
              <w:tc>
                <w:tcPr>
                  <w:tcW w:w="879" w:type="pct"/>
                  <w:vAlign w:val="center"/>
                </w:tcPr>
                <w:p w14:paraId="4712B436">
                  <w:pPr>
                    <w:kinsoku/>
                    <w:overflowPunct w:val="0"/>
                    <w:autoSpaceDE/>
                    <w:autoSpaceDN/>
                    <w:adjustRightInd/>
                    <w:snapToGrid/>
                    <w:spacing w:after="100" w:afterAutospacing="1" w:line="276" w:lineRule="auto"/>
                    <w:jc w:val="center"/>
                    <w:rPr>
                      <w:rFonts w:hint="eastAsia"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6585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7ABD909A">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72B90496">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EF1F07E">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密闭皮带</w:t>
                  </w:r>
                </w:p>
              </w:tc>
              <w:tc>
                <w:tcPr>
                  <w:tcW w:w="918" w:type="pct"/>
                  <w:vAlign w:val="center"/>
                </w:tcPr>
                <w:p w14:paraId="62A3F14E">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66D2DE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计入设备投资</w:t>
                  </w:r>
                </w:p>
              </w:tc>
            </w:tr>
            <w:tr w14:paraId="6E17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824D13">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DD3C4EC">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0363E3F">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厂房封闭</w:t>
                  </w:r>
                </w:p>
              </w:tc>
              <w:tc>
                <w:tcPr>
                  <w:tcW w:w="918" w:type="pct"/>
                  <w:vAlign w:val="center"/>
                </w:tcPr>
                <w:p w14:paraId="0BFEA652">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433F4A7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计入建筑投资</w:t>
                  </w:r>
                </w:p>
              </w:tc>
            </w:tr>
            <w:tr w14:paraId="3FF0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1BCD4C78">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DFB61D9">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FE59BE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油烟净化装置+屋顶1.5米处排放</w:t>
                  </w:r>
                </w:p>
              </w:tc>
              <w:tc>
                <w:tcPr>
                  <w:tcW w:w="918" w:type="pct"/>
                  <w:vAlign w:val="center"/>
                </w:tcPr>
                <w:p w14:paraId="469A86C5">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w:t>
                  </w:r>
                </w:p>
              </w:tc>
              <w:tc>
                <w:tcPr>
                  <w:tcW w:w="879" w:type="pct"/>
                  <w:vAlign w:val="center"/>
                </w:tcPr>
                <w:p w14:paraId="3131009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3EA0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0BCD203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575A2BF5">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废水</w:t>
                  </w:r>
                </w:p>
              </w:tc>
              <w:tc>
                <w:tcPr>
                  <w:tcW w:w="2500" w:type="pct"/>
                  <w:vAlign w:val="center"/>
                </w:tcPr>
                <w:p w14:paraId="39553C82">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1个200m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的初期雨水收集池</w:t>
                  </w:r>
                </w:p>
              </w:tc>
              <w:tc>
                <w:tcPr>
                  <w:tcW w:w="918" w:type="pct"/>
                  <w:vAlign w:val="center"/>
                </w:tcPr>
                <w:p w14:paraId="15FF0D4A">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74AD7CFD">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3DE7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C4E737A">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8B0EB0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p>
              </w:tc>
              <w:tc>
                <w:tcPr>
                  <w:tcW w:w="2500" w:type="pct"/>
                  <w:vAlign w:val="center"/>
                </w:tcPr>
                <w:p w14:paraId="2635785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的隔油池</w:t>
                  </w:r>
                </w:p>
              </w:tc>
              <w:tc>
                <w:tcPr>
                  <w:tcW w:w="918" w:type="pct"/>
                  <w:vAlign w:val="center"/>
                </w:tcPr>
                <w:p w14:paraId="6C563A54">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308A678">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08F5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693B547E">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24254B01">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5BB280D">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1个5m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的化粪池</w:t>
                  </w:r>
                </w:p>
              </w:tc>
              <w:tc>
                <w:tcPr>
                  <w:tcW w:w="918" w:type="pct"/>
                  <w:vAlign w:val="center"/>
                </w:tcPr>
                <w:p w14:paraId="37FC4786">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6450C07C">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201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4FCDF22">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408E60E">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546E8498">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1个10m</w:t>
                  </w:r>
                  <w:r>
                    <w:rPr>
                      <w:rFonts w:hint="eastAsia" w:ascii="Times New Roman" w:hAnsi="Times New Roman" w:eastAsia="宋体" w:cs="Times New Roman"/>
                      <w:bCs/>
                      <w:color w:val="auto"/>
                      <w:vertAlign w:val="superscript"/>
                      <w:lang w:eastAsia="zh-CN"/>
                    </w:rPr>
                    <w:t>3</w:t>
                  </w:r>
                  <w:r>
                    <w:rPr>
                      <w:rFonts w:hint="eastAsia" w:ascii="Times New Roman" w:hAnsi="Times New Roman" w:eastAsia="宋体" w:cs="Times New Roman"/>
                      <w:bCs/>
                      <w:color w:val="auto"/>
                      <w:lang w:eastAsia="zh-CN"/>
                    </w:rPr>
                    <w:t>的中水池</w:t>
                  </w:r>
                </w:p>
              </w:tc>
              <w:tc>
                <w:tcPr>
                  <w:tcW w:w="918" w:type="pct"/>
                  <w:vAlign w:val="center"/>
                </w:tcPr>
                <w:p w14:paraId="2EE1AF6F">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3</w:t>
                  </w:r>
                </w:p>
              </w:tc>
              <w:tc>
                <w:tcPr>
                  <w:tcW w:w="879" w:type="pct"/>
                  <w:vAlign w:val="center"/>
                </w:tcPr>
                <w:p w14:paraId="2314049A">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62A12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15542445">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58002AD4">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1977F6F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1个一体化污水处理设施（</w:t>
                  </w:r>
                  <w:r>
                    <w:rPr>
                      <w:rFonts w:ascii="Times New Roman" w:hAnsi="Times New Roman" w:eastAsia="宋体" w:cs="Times New Roman"/>
                      <w:color w:val="auto"/>
                      <w:lang w:eastAsia="zh-CN"/>
                    </w:rPr>
                    <w:t>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O</w:t>
                  </w:r>
                  <w:r>
                    <w:rPr>
                      <w:rFonts w:hint="eastAsia" w:ascii="Times New Roman" w:hAnsi="Times New Roman" w:eastAsia="宋体" w:cs="Times New Roman"/>
                      <w:color w:val="auto"/>
                      <w:lang w:eastAsia="zh-CN"/>
                    </w:rPr>
                    <w:t>处理</w:t>
                  </w:r>
                  <w:r>
                    <w:rPr>
                      <w:rFonts w:ascii="Times New Roman" w:hAnsi="Times New Roman" w:eastAsia="宋体" w:cs="Times New Roman"/>
                      <w:color w:val="auto"/>
                      <w:lang w:eastAsia="zh-CN"/>
                    </w:rPr>
                    <w:t>工艺</w:t>
                  </w:r>
                  <w:r>
                    <w:rPr>
                      <w:rFonts w:hint="eastAsia" w:ascii="Times New Roman" w:hAnsi="Times New Roman" w:eastAsia="宋体" w:cs="Times New Roman"/>
                      <w:color w:val="auto"/>
                      <w:lang w:eastAsia="zh-CN"/>
                    </w:rPr>
                    <w:t>，处理规模2m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w:t>
                  </w:r>
                  <w:r>
                    <w:rPr>
                      <w:rFonts w:hint="eastAsia" w:ascii="Times New Roman" w:hAnsi="Times New Roman" w:eastAsia="宋体" w:cs="Times New Roman"/>
                      <w:bCs/>
                      <w:color w:val="auto"/>
                      <w:lang w:eastAsia="zh-CN"/>
                    </w:rPr>
                    <w:t>）</w:t>
                  </w:r>
                </w:p>
              </w:tc>
              <w:tc>
                <w:tcPr>
                  <w:tcW w:w="918" w:type="pct"/>
                  <w:vAlign w:val="center"/>
                </w:tcPr>
                <w:p w14:paraId="2A49FD15">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2.5</w:t>
                  </w:r>
                </w:p>
              </w:tc>
              <w:tc>
                <w:tcPr>
                  <w:tcW w:w="879" w:type="pct"/>
                  <w:vAlign w:val="center"/>
                </w:tcPr>
                <w:p w14:paraId="737ECD91">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76810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AE32C6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582BED05">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噪声</w:t>
                  </w:r>
                </w:p>
              </w:tc>
              <w:tc>
                <w:tcPr>
                  <w:tcW w:w="2500" w:type="pct"/>
                  <w:vAlign w:val="center"/>
                </w:tcPr>
                <w:p w14:paraId="2830C51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减振基础、厂房隔音</w:t>
                  </w:r>
                </w:p>
              </w:tc>
              <w:tc>
                <w:tcPr>
                  <w:tcW w:w="918" w:type="pct"/>
                  <w:vAlign w:val="center"/>
                </w:tcPr>
                <w:p w14:paraId="7205C8E3">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w:t>
                  </w:r>
                </w:p>
              </w:tc>
              <w:tc>
                <w:tcPr>
                  <w:tcW w:w="879" w:type="pct"/>
                  <w:vAlign w:val="center"/>
                </w:tcPr>
                <w:p w14:paraId="62F89BE2">
                  <w:pPr>
                    <w:kinsoku/>
                    <w:overflowPunct w:val="0"/>
                    <w:autoSpaceDE/>
                    <w:autoSpaceDN/>
                    <w:adjustRightInd/>
                    <w:snapToGrid/>
                    <w:spacing w:after="100" w:afterAutospacing="1"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计入建筑投资</w:t>
                  </w:r>
                </w:p>
              </w:tc>
            </w:tr>
            <w:tr w14:paraId="254B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F89967F">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6C5F6F8F">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固废</w:t>
                  </w:r>
                </w:p>
              </w:tc>
              <w:tc>
                <w:tcPr>
                  <w:tcW w:w="2500" w:type="pct"/>
                  <w:vAlign w:val="center"/>
                </w:tcPr>
                <w:p w14:paraId="2447B098">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1个10m</w:t>
                  </w:r>
                  <w:r>
                    <w:rPr>
                      <w:rFonts w:hint="eastAsia" w:ascii="Times New Roman" w:hAnsi="Times New Roman" w:eastAsia="宋体" w:cs="Times New Roman"/>
                      <w:bCs/>
                      <w:color w:val="auto"/>
                      <w:vertAlign w:val="superscript"/>
                      <w:lang w:eastAsia="zh-CN"/>
                    </w:rPr>
                    <w:t>2</w:t>
                  </w:r>
                  <w:r>
                    <w:rPr>
                      <w:rFonts w:hint="eastAsia" w:ascii="Times New Roman" w:hAnsi="Times New Roman" w:eastAsia="宋体" w:cs="Times New Roman"/>
                      <w:bCs/>
                      <w:color w:val="auto"/>
                      <w:lang w:eastAsia="zh-CN"/>
                    </w:rPr>
                    <w:t>的危废贮存库</w:t>
                  </w:r>
                </w:p>
              </w:tc>
              <w:tc>
                <w:tcPr>
                  <w:tcW w:w="918" w:type="pct"/>
                  <w:vAlign w:val="center"/>
                </w:tcPr>
                <w:p w14:paraId="6D4E8391">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10</w:t>
                  </w:r>
                </w:p>
              </w:tc>
              <w:tc>
                <w:tcPr>
                  <w:tcW w:w="879" w:type="pct"/>
                  <w:vAlign w:val="center"/>
                </w:tcPr>
                <w:p w14:paraId="781A5566">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rPr>
                    <w:t>拟投资</w:t>
                  </w:r>
                </w:p>
              </w:tc>
            </w:tr>
            <w:tr w14:paraId="534D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4BC42436">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3EAE0A2D">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35C9430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垃圾收集桶、生活垃圾委托环卫部门清运</w:t>
                  </w:r>
                </w:p>
              </w:tc>
              <w:tc>
                <w:tcPr>
                  <w:tcW w:w="918" w:type="pct"/>
                  <w:vAlign w:val="center"/>
                </w:tcPr>
                <w:p w14:paraId="051D45DA">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4F0D7BA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474C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6C29656D">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B24EA68">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2241492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餐厨废弃物委托第三方清运</w:t>
                  </w:r>
                </w:p>
              </w:tc>
              <w:tc>
                <w:tcPr>
                  <w:tcW w:w="918" w:type="pct"/>
                  <w:vAlign w:val="center"/>
                </w:tcPr>
                <w:p w14:paraId="3DA07845">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0.5</w:t>
                  </w:r>
                </w:p>
              </w:tc>
              <w:tc>
                <w:tcPr>
                  <w:tcW w:w="879" w:type="pct"/>
                  <w:vAlign w:val="center"/>
                </w:tcPr>
                <w:p w14:paraId="5032C8C1">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1FFA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5C92BF3F">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04BFC7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2500" w:type="pct"/>
                  <w:vAlign w:val="center"/>
                </w:tcPr>
                <w:p w14:paraId="4C5DFD5E">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危险废物委托第三方清运</w:t>
                  </w:r>
                </w:p>
              </w:tc>
              <w:tc>
                <w:tcPr>
                  <w:tcW w:w="918" w:type="pct"/>
                  <w:vAlign w:val="center"/>
                </w:tcPr>
                <w:p w14:paraId="4CCDCDF9">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3</w:t>
                  </w:r>
                </w:p>
              </w:tc>
              <w:tc>
                <w:tcPr>
                  <w:tcW w:w="879" w:type="pct"/>
                  <w:vAlign w:val="center"/>
                </w:tcPr>
                <w:p w14:paraId="0E63A699">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0032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776D12B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Align w:val="center"/>
                </w:tcPr>
                <w:p w14:paraId="2E749502">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绿化</w:t>
                  </w:r>
                </w:p>
              </w:tc>
              <w:tc>
                <w:tcPr>
                  <w:tcW w:w="2500" w:type="pct"/>
                  <w:vAlign w:val="center"/>
                </w:tcPr>
                <w:p w14:paraId="498537FB">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200m</w:t>
                  </w:r>
                  <w:r>
                    <w:rPr>
                      <w:rFonts w:hint="eastAsia" w:ascii="Times New Roman" w:hAnsi="Times New Roman" w:eastAsia="宋体" w:cs="Times New Roman"/>
                      <w:bCs/>
                      <w:color w:val="auto"/>
                      <w:vertAlign w:val="superscript"/>
                      <w:lang w:eastAsia="zh-CN"/>
                    </w:rPr>
                    <w:t>2</w:t>
                  </w:r>
                </w:p>
              </w:tc>
              <w:tc>
                <w:tcPr>
                  <w:tcW w:w="918" w:type="pct"/>
                  <w:vAlign w:val="center"/>
                </w:tcPr>
                <w:p w14:paraId="16C17240">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1.5</w:t>
                  </w:r>
                </w:p>
              </w:tc>
              <w:tc>
                <w:tcPr>
                  <w:tcW w:w="879" w:type="pct"/>
                  <w:vAlign w:val="center"/>
                </w:tcPr>
                <w:p w14:paraId="1648C177">
                  <w:pPr>
                    <w:kinsoku/>
                    <w:overflowPunct w:val="0"/>
                    <w:autoSpaceDE/>
                    <w:autoSpaceDN/>
                    <w:adjustRightInd/>
                    <w:snapToGrid/>
                    <w:spacing w:line="276" w:lineRule="auto"/>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拟投资</w:t>
                  </w:r>
                </w:p>
              </w:tc>
            </w:tr>
            <w:tr w14:paraId="0497C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5E01654">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restart"/>
                  <w:vAlign w:val="center"/>
                </w:tcPr>
                <w:p w14:paraId="70C555B4">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其他</w:t>
                  </w:r>
                </w:p>
              </w:tc>
              <w:tc>
                <w:tcPr>
                  <w:tcW w:w="2500" w:type="pct"/>
                  <w:vAlign w:val="center"/>
                </w:tcPr>
                <w:p w14:paraId="5D75C3AA">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环境管理费</w:t>
                  </w:r>
                </w:p>
              </w:tc>
              <w:tc>
                <w:tcPr>
                  <w:tcW w:w="918" w:type="pct"/>
                  <w:vAlign w:val="center"/>
                </w:tcPr>
                <w:p w14:paraId="09E0328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lang w:eastAsia="zh-CN"/>
                    </w:rPr>
                    <w:t>4</w:t>
                  </w:r>
                  <w:r>
                    <w:rPr>
                      <w:rFonts w:hint="eastAsia" w:ascii="Times New Roman" w:hAnsi="Times New Roman" w:eastAsia="宋体" w:cs="Times New Roman"/>
                      <w:bCs/>
                      <w:color w:val="auto"/>
                    </w:rPr>
                    <w:t>.5</w:t>
                  </w:r>
                </w:p>
              </w:tc>
              <w:tc>
                <w:tcPr>
                  <w:tcW w:w="879" w:type="pct"/>
                  <w:vAlign w:val="center"/>
                </w:tcPr>
                <w:p w14:paraId="78FFB38B">
                  <w:pPr>
                    <w:kinsoku/>
                    <w:overflowPunct w:val="0"/>
                    <w:autoSpaceDE/>
                    <w:autoSpaceDN/>
                    <w:adjustRightInd/>
                    <w:snapToGrid/>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bCs/>
                      <w:color w:val="auto"/>
                    </w:rPr>
                    <w:t>拟投资</w:t>
                  </w:r>
                </w:p>
              </w:tc>
            </w:tr>
            <w:tr w14:paraId="5879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 w:type="pct"/>
                  <w:vMerge w:val="continue"/>
                  <w:vAlign w:val="center"/>
                </w:tcPr>
                <w:p w14:paraId="3CC526CB">
                  <w:pPr>
                    <w:kinsoku/>
                    <w:overflowPunct w:val="0"/>
                    <w:autoSpaceDE/>
                    <w:autoSpaceDN/>
                    <w:adjustRightInd/>
                    <w:snapToGrid/>
                    <w:spacing w:line="276" w:lineRule="auto"/>
                    <w:jc w:val="center"/>
                    <w:rPr>
                      <w:rFonts w:ascii="Times New Roman" w:hAnsi="Times New Roman" w:eastAsia="宋体" w:cs="Times New Roman"/>
                      <w:bCs/>
                      <w:color w:val="auto"/>
                    </w:rPr>
                  </w:pPr>
                </w:p>
              </w:tc>
              <w:tc>
                <w:tcPr>
                  <w:tcW w:w="420" w:type="pct"/>
                  <w:vMerge w:val="continue"/>
                  <w:vAlign w:val="center"/>
                </w:tcPr>
                <w:p w14:paraId="10F8C929">
                  <w:pPr>
                    <w:kinsoku/>
                    <w:overflowPunct w:val="0"/>
                    <w:autoSpaceDE/>
                    <w:autoSpaceDN/>
                    <w:adjustRightInd/>
                    <w:snapToGrid/>
                    <w:spacing w:line="276" w:lineRule="auto"/>
                    <w:jc w:val="center"/>
                    <w:rPr>
                      <w:rFonts w:hint="eastAsia" w:ascii="Times New Roman" w:hAnsi="Times New Roman" w:eastAsia="宋体" w:cs="Times New Roman"/>
                      <w:bCs/>
                      <w:color w:val="auto"/>
                    </w:rPr>
                  </w:pPr>
                </w:p>
              </w:tc>
              <w:tc>
                <w:tcPr>
                  <w:tcW w:w="2500" w:type="pct"/>
                  <w:vAlign w:val="center"/>
                </w:tcPr>
                <w:p w14:paraId="6EBF9FF2">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环境风险防控措施、地下水土壤污染防控措施（包括地下水监测井建设）</w:t>
                  </w:r>
                </w:p>
              </w:tc>
              <w:tc>
                <w:tcPr>
                  <w:tcW w:w="918" w:type="pct"/>
                  <w:vAlign w:val="center"/>
                </w:tcPr>
                <w:p w14:paraId="7649AE0F">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15</w:t>
                  </w:r>
                </w:p>
              </w:tc>
              <w:tc>
                <w:tcPr>
                  <w:tcW w:w="879" w:type="pct"/>
                  <w:vAlign w:val="center"/>
                </w:tcPr>
                <w:p w14:paraId="4033BED6">
                  <w:pPr>
                    <w:kinsoku/>
                    <w:overflowPunct w:val="0"/>
                    <w:autoSpaceDE/>
                    <w:autoSpaceDN/>
                    <w:adjustRightInd/>
                    <w:snapToGrid/>
                    <w:spacing w:line="276" w:lineRule="auto"/>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拟投资</w:t>
                  </w:r>
                </w:p>
              </w:tc>
            </w:tr>
            <w:tr w14:paraId="4CB46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02" w:type="pct"/>
                  <w:gridSpan w:val="3"/>
                  <w:vAlign w:val="center"/>
                </w:tcPr>
                <w:p w14:paraId="4E89CE28">
                  <w:pPr>
                    <w:kinsoku/>
                    <w:overflowPunct w:val="0"/>
                    <w:autoSpaceDE/>
                    <w:autoSpaceDN/>
                    <w:adjustRightInd/>
                    <w:snapToGrid/>
                    <w:spacing w:line="276" w:lineRule="auto"/>
                    <w:jc w:val="center"/>
                    <w:rPr>
                      <w:rFonts w:ascii="Times New Roman" w:hAnsi="Times New Roman" w:eastAsia="宋体" w:cs="Times New Roman"/>
                      <w:bCs/>
                      <w:color w:val="auto"/>
                    </w:rPr>
                  </w:pPr>
                  <w:r>
                    <w:rPr>
                      <w:rFonts w:ascii="Times New Roman" w:hAnsi="Times New Roman" w:eastAsia="宋体" w:cs="Times New Roman"/>
                      <w:bCs/>
                      <w:color w:val="auto"/>
                    </w:rPr>
                    <w:t>合计</w:t>
                  </w:r>
                </w:p>
              </w:tc>
              <w:tc>
                <w:tcPr>
                  <w:tcW w:w="918" w:type="pct"/>
                  <w:vAlign w:val="center"/>
                </w:tcPr>
                <w:p w14:paraId="17B6B198">
                  <w:pPr>
                    <w:kinsoku/>
                    <w:overflowPunct w:val="0"/>
                    <w:autoSpaceDE/>
                    <w:autoSpaceDN/>
                    <w:adjustRightInd/>
                    <w:snapToGrid/>
                    <w:spacing w:line="276" w:lineRule="auto"/>
                    <w:jc w:val="center"/>
                    <w:rPr>
                      <w:rFonts w:hint="default"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72</w:t>
                  </w:r>
                </w:p>
              </w:tc>
              <w:tc>
                <w:tcPr>
                  <w:tcW w:w="879" w:type="pct"/>
                  <w:vAlign w:val="center"/>
                </w:tcPr>
                <w:p w14:paraId="56C7DE9F">
                  <w:pPr>
                    <w:kinsoku/>
                    <w:overflowPunct w:val="0"/>
                    <w:autoSpaceDE/>
                    <w:autoSpaceDN/>
                    <w:adjustRightInd/>
                    <w:snapToGrid/>
                    <w:spacing w:line="276" w:lineRule="auto"/>
                    <w:jc w:val="center"/>
                    <w:textAlignment w:val="center"/>
                    <w:rPr>
                      <w:rFonts w:ascii="Times New Roman" w:hAnsi="Times New Roman" w:eastAsia="宋体" w:cs="Times New Roman"/>
                      <w:color w:val="auto"/>
                      <w:lang w:bidi="ar"/>
                    </w:rPr>
                  </w:pPr>
                  <w:r>
                    <w:rPr>
                      <w:rFonts w:hint="eastAsia" w:ascii="Times New Roman" w:hAnsi="Times New Roman" w:eastAsia="宋体" w:cs="Times New Roman"/>
                      <w:bCs/>
                      <w:color w:val="auto"/>
                    </w:rPr>
                    <w:t>/</w:t>
                  </w:r>
                </w:p>
              </w:tc>
            </w:tr>
          </w:tbl>
          <w:p w14:paraId="3F17542D">
            <w:pPr>
              <w:pStyle w:val="30"/>
              <w:kinsoku/>
              <w:overflowPunct w:val="0"/>
              <w:autoSpaceDE/>
              <w:autoSpaceDN/>
              <w:adjustRightInd/>
              <w:snapToGrid/>
              <w:ind w:firstLine="480" w:firstLineChars="200"/>
              <w:rPr>
                <w:rFonts w:ascii="Times New Roman" w:hAnsi="Times New Roman" w:eastAsia="宋体" w:cs="Times New Roman"/>
                <w:color w:val="auto"/>
                <w:sz w:val="24"/>
                <w:szCs w:val="24"/>
              </w:rPr>
            </w:pPr>
          </w:p>
          <w:p w14:paraId="7D05101F">
            <w:pPr>
              <w:pStyle w:val="30"/>
              <w:kinsoku/>
              <w:overflowPunct w:val="0"/>
              <w:autoSpaceDE/>
              <w:autoSpaceDN/>
              <w:adjustRightInd/>
              <w:snapToGrid/>
              <w:spacing w:line="206" w:lineRule="auto"/>
              <w:ind w:left="3094"/>
              <w:rPr>
                <w:rFonts w:ascii="Times New Roman" w:hAnsi="Times New Roman" w:eastAsia="宋体" w:cs="Times New Roman"/>
                <w:color w:val="auto"/>
              </w:rPr>
            </w:pPr>
          </w:p>
        </w:tc>
      </w:tr>
      <w:tr w14:paraId="284BD2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622E863D">
            <w:pPr>
              <w:pStyle w:val="30"/>
              <w:kinsoku/>
              <w:overflowPunct w:val="0"/>
              <w:autoSpaceDE/>
              <w:autoSpaceDN/>
              <w:adjustRightInd/>
              <w:snapToGrid/>
              <w:spacing w:line="360" w:lineRule="auto"/>
              <w:jc w:val="center"/>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工艺流程和产排污环节</w:t>
            </w:r>
          </w:p>
        </w:tc>
        <w:tc>
          <w:tcPr>
            <w:tcW w:w="8588" w:type="dxa"/>
            <w:tcBorders>
              <w:tl2br w:val="nil"/>
              <w:tr2bl w:val="nil"/>
            </w:tcBorders>
            <w:vAlign w:val="center"/>
          </w:tcPr>
          <w:p w14:paraId="2DE0B7C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val="en-US" w:eastAsia="zh-CN"/>
              </w:rPr>
              <w:t>十</w:t>
            </w:r>
            <w:r>
              <w:rPr>
                <w:rFonts w:ascii="Times New Roman" w:hAnsi="Times New Roman" w:eastAsia="宋体" w:cs="Times New Roman"/>
                <w:b/>
                <w:bCs/>
                <w:color w:val="auto"/>
                <w:sz w:val="24"/>
                <w:szCs w:val="24"/>
                <w:lang w:eastAsia="zh-CN"/>
              </w:rPr>
              <w:t>、工艺流程简述</w:t>
            </w:r>
          </w:p>
          <w:p w14:paraId="20F6995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2F6689B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项目施工期主要进行</w:t>
            </w:r>
            <w:r>
              <w:rPr>
                <w:rFonts w:hint="eastAsia" w:ascii="Times New Roman" w:hAnsi="Times New Roman" w:eastAsia="宋体" w:cs="Times New Roman"/>
                <w:color w:val="auto"/>
                <w:sz w:val="24"/>
                <w:szCs w:val="24"/>
                <w:lang w:eastAsia="zh-CN"/>
              </w:rPr>
              <w:t>原有厂房改造、场地清理平整、基础建设、厂房建设、防渗、设备安装</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产生</w:t>
            </w:r>
            <w:r>
              <w:rPr>
                <w:rFonts w:ascii="Times New Roman" w:hAnsi="Times New Roman" w:eastAsia="宋体" w:cs="Times New Roman"/>
                <w:color w:val="auto"/>
                <w:sz w:val="24"/>
                <w:szCs w:val="24"/>
                <w:lang w:eastAsia="zh-CN"/>
              </w:rPr>
              <w:t>施工废水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噪声</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生活垃圾、建筑垃圾、废包装材料等。</w:t>
            </w:r>
          </w:p>
          <w:p w14:paraId="0BBDC770">
            <w:pPr>
              <w:pStyle w:val="30"/>
              <w:kinsoku/>
              <w:overflowPunct w:val="0"/>
              <w:autoSpaceDE/>
              <w:autoSpaceDN/>
              <w:adjustRightInd/>
              <w:snapToGrid/>
              <w:spacing w:line="360" w:lineRule="auto"/>
              <w:jc w:val="center"/>
              <w:rPr>
                <w:rFonts w:ascii="Times New Roman" w:hAnsi="Times New Roman" w:eastAsia="宋体" w:cs="Times New Roman"/>
                <w:b/>
                <w:bCs/>
                <w:color w:val="auto"/>
              </w:rPr>
            </w:pPr>
            <w:r>
              <w:rPr>
                <w:rFonts w:hint="eastAsia" w:ascii="Times New Roman" w:hAnsi="Times New Roman" w:eastAsia="宋体" w:cs="Times New Roman"/>
                <w:color w:val="auto"/>
              </w:rPr>
              <w:object>
                <v:shape id="_x0000_i1029" o:spt="75" type="#_x0000_t75" style="height:184.8pt;width:261.05pt;" o:ole="t" filled="f" o:preferrelative="t" stroked="f" coordsize="21600,21600">
                  <v:path/>
                  <v:fill on="f" focussize="0,0"/>
                  <v:stroke on="f" joinstyle="miter"/>
                  <v:imagedata r:id="rId26" o:title=""/>
                  <o:lock v:ext="edit" aspectratio="f"/>
                  <w10:wrap type="none"/>
                  <w10:anchorlock/>
                </v:shape>
                <o:OLEObject Type="Embed" ProgID="Visio.Drawing.11" ShapeID="_x0000_i1029" DrawAspect="Content" ObjectID="_1468075729" r:id="rId25">
                  <o:LockedField>false</o:LockedField>
                </o:OLEObject>
              </w:object>
            </w:r>
          </w:p>
          <w:p w14:paraId="0A98CFA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图2-5 施工期工艺流程</w:t>
            </w:r>
          </w:p>
          <w:p w14:paraId="2362395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施工工艺流程及产排污节点：</w:t>
            </w:r>
          </w:p>
          <w:p w14:paraId="0A3DAC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①原有厂房改造</w:t>
            </w:r>
          </w:p>
          <w:p w14:paraId="7B0F56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项目用地上留存有一个封闭厂房，原用于堆放散煤，本项目将进行利用，需对其进行改造，此过程产生废气、噪声、施工废水、建设垃圾。</w:t>
            </w:r>
          </w:p>
          <w:p w14:paraId="166FDEB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②场地清理平整</w:t>
            </w:r>
          </w:p>
          <w:p w14:paraId="5CBEB75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对项目用地进行平整，此过程产生废气、噪声、施工废水、建设垃圾。</w:t>
            </w:r>
          </w:p>
          <w:p w14:paraId="1B8B6CC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③基础建设</w:t>
            </w:r>
          </w:p>
          <w:p w14:paraId="4ED9CE2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对项目土地进行夯实，进行混凝土桩基建设，进行厂区地面硬化建设，此过程产生废气、噪声、施工废水、建设垃圾。</w:t>
            </w:r>
          </w:p>
          <w:p w14:paraId="14C6E4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④厂房建设</w:t>
            </w:r>
          </w:p>
          <w:p w14:paraId="2D4BC5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在厂区内建设本项目的主体工程以及配套的辅助工程、公用工程及环保工程，此过程产生废气、噪声、施工废水、建设垃圾。</w:t>
            </w:r>
          </w:p>
          <w:p w14:paraId="4EF42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⑤防渗</w:t>
            </w:r>
          </w:p>
          <w:p w14:paraId="06E63F4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对建设完成的厂房地面及环保设施按照相关技术要求及规范进行防渗，此过程产生废气、噪声、施工废水、建设垃圾。</w:t>
            </w:r>
          </w:p>
          <w:p w14:paraId="4A162F4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⑥设备安装</w:t>
            </w:r>
          </w:p>
          <w:p w14:paraId="501FADC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生产设备、环保设备安装，此过程产生废气、噪声、施工废水、废包装。</w:t>
            </w:r>
          </w:p>
          <w:p w14:paraId="6A59701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042F39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根据建设单位提供，生产中用到的原料改性磷石膏需要</w:t>
            </w:r>
            <w:r>
              <w:rPr>
                <w:rFonts w:hint="eastAsia" w:ascii="Times New Roman" w:hAnsi="Times New Roman" w:eastAsia="宋体" w:cs="Times New Roman"/>
                <w:color w:val="auto"/>
                <w:sz w:val="24"/>
                <w:szCs w:val="24"/>
                <w:lang w:eastAsia="zh-CN"/>
              </w:rPr>
              <w:t>中化云龙有限公司</w:t>
            </w:r>
            <w:r>
              <w:rPr>
                <w:rFonts w:ascii="Times New Roman" w:hAnsi="Times New Roman" w:eastAsia="宋体" w:cs="Times New Roman"/>
                <w:color w:val="auto"/>
                <w:sz w:val="24"/>
                <w:szCs w:val="24"/>
                <w:lang w:eastAsia="zh-CN"/>
              </w:rPr>
              <w:t>按批次检验，确保本项目的原料改性磷石膏属于第</w:t>
            </w:r>
            <w:r>
              <w:rPr>
                <w:rFonts w:hint="eastAsia" w:ascii="Times New Roman" w:hAnsi="Times New Roman" w:eastAsia="宋体" w:cs="Times New Roman"/>
                <w:color w:val="auto"/>
                <w:sz w:val="24"/>
                <w:szCs w:val="24"/>
                <w:lang w:eastAsia="zh-CN"/>
              </w:rPr>
              <w:t>Ⅰ</w:t>
            </w:r>
            <w:r>
              <w:rPr>
                <w:rFonts w:ascii="Times New Roman" w:hAnsi="Times New Roman" w:eastAsia="宋体" w:cs="Times New Roman"/>
                <w:color w:val="auto"/>
                <w:sz w:val="24"/>
                <w:szCs w:val="24"/>
                <w:lang w:eastAsia="zh-CN"/>
              </w:rPr>
              <w:t>类一般工业固体废物，在此基础上添加其他辅料，通过</w:t>
            </w:r>
            <w:r>
              <w:rPr>
                <w:rFonts w:hint="eastAsia" w:cs="Times New Roman"/>
                <w:color w:val="auto"/>
                <w:sz w:val="24"/>
                <w:szCs w:val="24"/>
                <w:lang w:eastAsia="zh-CN"/>
              </w:rPr>
              <w:t>拌和</w:t>
            </w:r>
            <w:r>
              <w:rPr>
                <w:rFonts w:hint="eastAsia" w:ascii="Times New Roman" w:hAnsi="Times New Roman" w:eastAsia="宋体" w:cs="Times New Roman"/>
                <w:color w:val="auto"/>
                <w:sz w:val="24"/>
                <w:szCs w:val="24"/>
                <w:lang w:eastAsia="zh-CN"/>
              </w:rPr>
              <w:t>制成</w:t>
            </w:r>
            <w:r>
              <w:rPr>
                <w:rFonts w:ascii="Times New Roman" w:hAnsi="Times New Roman" w:eastAsia="宋体" w:cs="Times New Roman"/>
                <w:color w:val="auto"/>
                <w:sz w:val="24"/>
                <w:szCs w:val="24"/>
                <w:lang w:eastAsia="zh-CN"/>
              </w:rPr>
              <w:t>成品；项目成品出厂前按批次检测，确保环境安全。生产过程中不涉及用水。</w:t>
            </w:r>
          </w:p>
          <w:p w14:paraId="22AFF8C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主要</w:t>
            </w:r>
            <w:r>
              <w:rPr>
                <w:rFonts w:ascii="Times New Roman" w:hAnsi="Times New Roman" w:eastAsia="宋体" w:cs="Times New Roman"/>
                <w:color w:val="auto"/>
                <w:sz w:val="24"/>
                <w:szCs w:val="24"/>
                <w:lang w:eastAsia="zh-CN"/>
              </w:rPr>
              <w:t>建设一条</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能力为</w:t>
            </w:r>
            <w:r>
              <w:rPr>
                <w:rFonts w:hint="eastAsia" w:ascii="Times New Roman" w:hAnsi="Times New Roman" w:eastAsia="宋体" w:cs="Times New Roman"/>
                <w:color w:val="auto"/>
                <w:sz w:val="24"/>
                <w:szCs w:val="24"/>
                <w:lang w:eastAsia="zh-CN"/>
              </w:rPr>
              <w:t>10</w:t>
            </w:r>
            <w:r>
              <w:rPr>
                <w:rFonts w:ascii="Times New Roman" w:hAnsi="Times New Roman" w:eastAsia="宋体" w:cs="Times New Roman"/>
                <w:color w:val="auto"/>
                <w:sz w:val="24"/>
                <w:szCs w:val="24"/>
                <w:lang w:eastAsia="zh-CN"/>
              </w:rPr>
              <w:t>万吨/年的</w:t>
            </w:r>
            <w:r>
              <w:rPr>
                <w:rFonts w:hint="eastAsia" w:ascii="Times New Roman" w:hAnsi="Times New Roman" w:eastAsia="宋体" w:cs="Times New Roman"/>
                <w:color w:val="auto"/>
                <w:sz w:val="24"/>
                <w:szCs w:val="24"/>
                <w:lang w:eastAsia="zh-CN"/>
              </w:rPr>
              <w:t>路基材料</w:t>
            </w:r>
            <w:r>
              <w:rPr>
                <w:rFonts w:ascii="Times New Roman" w:hAnsi="Times New Roman" w:eastAsia="宋体" w:cs="Times New Roman"/>
                <w:color w:val="auto"/>
                <w:sz w:val="24"/>
                <w:szCs w:val="24"/>
                <w:lang w:eastAsia="zh-CN"/>
              </w:rPr>
              <w:t>产线；项目运营期生产工艺及产排污节点图如下：</w:t>
            </w:r>
          </w:p>
          <w:p w14:paraId="2DAEAE21">
            <w:pPr>
              <w:pStyle w:val="30"/>
              <w:kinsoku/>
              <w:overflowPunct w:val="0"/>
              <w:autoSpaceDE/>
              <w:autoSpaceDN/>
              <w:adjustRightInd/>
              <w:snapToGrid/>
              <w:spacing w:line="360" w:lineRule="auto"/>
              <w:jc w:val="center"/>
              <w:rPr>
                <w:rFonts w:ascii="Times New Roman" w:hAnsi="Times New Roman" w:eastAsia="宋体" w:cs="Times New Roman"/>
                <w:b/>
                <w:bCs/>
                <w:color w:val="auto"/>
                <w:sz w:val="24"/>
                <w:szCs w:val="24"/>
              </w:rPr>
            </w:pPr>
            <w:r>
              <w:rPr>
                <w:rFonts w:hint="eastAsia" w:ascii="Times New Roman" w:hAnsi="Times New Roman" w:eastAsia="宋体" w:cs="Times New Roman"/>
                <w:color w:val="auto"/>
              </w:rPr>
              <w:object>
                <v:shape id="_x0000_i1030" o:spt="75" type="#_x0000_t75" style="height:412.7pt;width:288.05pt;" o:ole="t" filled="f" o:preferrelative="t" stroked="f" coordsize="21600,21600">
                  <v:path/>
                  <v:fill on="f" focussize="0,0"/>
                  <v:stroke on="f"/>
                  <v:imagedata r:id="rId28" o:title=""/>
                  <o:lock v:ext="edit" aspectratio="f"/>
                  <w10:wrap type="none"/>
                  <w10:anchorlock/>
                </v:shape>
                <o:OLEObject Type="Embed" ProgID="Visio.Drawing.11" ShapeID="_x0000_i1030" DrawAspect="Content" ObjectID="_1468075730" r:id="rId27">
                  <o:LockedField>false</o:LockedField>
                </o:OLEObject>
              </w:object>
            </w:r>
          </w:p>
          <w:p w14:paraId="215AFCBC">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图2-7 路基材料生产工艺流程产污节点图</w:t>
            </w:r>
          </w:p>
          <w:p w14:paraId="3A9E7C7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工艺</w:t>
            </w:r>
            <w:r>
              <w:rPr>
                <w:rFonts w:ascii="Times New Roman" w:hAnsi="Times New Roman" w:eastAsia="宋体" w:cs="Times New Roman"/>
                <w:b/>
                <w:bCs/>
                <w:color w:val="auto"/>
                <w:sz w:val="24"/>
                <w:szCs w:val="24"/>
                <w:lang w:eastAsia="zh-CN"/>
              </w:rPr>
              <w:t>简述：</w:t>
            </w:r>
          </w:p>
          <w:p w14:paraId="6D1A5F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运输</w:t>
            </w:r>
          </w:p>
          <w:p w14:paraId="27D896F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w:t>
            </w:r>
            <w:r>
              <w:rPr>
                <w:rFonts w:ascii="Times New Roman" w:hAnsi="Times New Roman" w:eastAsia="宋体" w:cs="Times New Roman"/>
                <w:color w:val="auto"/>
                <w:sz w:val="24"/>
                <w:szCs w:val="24"/>
                <w:lang w:eastAsia="zh-CN"/>
              </w:rPr>
              <w:t>用货车</w:t>
            </w:r>
            <w:r>
              <w:rPr>
                <w:rFonts w:hint="eastAsia" w:ascii="Times New Roman" w:hAnsi="Times New Roman" w:eastAsia="宋体" w:cs="Times New Roman"/>
                <w:color w:val="auto"/>
                <w:sz w:val="24"/>
                <w:szCs w:val="24"/>
                <w:lang w:eastAsia="zh-CN"/>
              </w:rPr>
              <w:t>运输至原料堆场</w:t>
            </w:r>
            <w:r>
              <w:rPr>
                <w:rFonts w:ascii="Times New Roman" w:hAnsi="Times New Roman" w:eastAsia="宋体" w:cs="Times New Roman"/>
                <w:color w:val="auto"/>
                <w:sz w:val="24"/>
                <w:szCs w:val="24"/>
                <w:lang w:eastAsia="zh-CN"/>
              </w:rPr>
              <w:t>堆放</w:t>
            </w:r>
            <w:r>
              <w:rPr>
                <w:rFonts w:hint="eastAsia" w:ascii="Times New Roman" w:hAnsi="Times New Roman" w:eastAsia="宋体" w:cs="Times New Roman"/>
                <w:color w:val="auto"/>
                <w:sz w:val="24"/>
                <w:szCs w:val="24"/>
                <w:lang w:eastAsia="zh-CN"/>
              </w:rPr>
              <w:t>，粉煤灰用罐车运输至筒仓储存，产生车辆废气G1和运输扬尘G2</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1#原料堆场</w:t>
            </w:r>
            <w:r>
              <w:rPr>
                <w:rFonts w:ascii="Times New Roman" w:hAnsi="Times New Roman" w:eastAsia="宋体" w:cs="Times New Roman"/>
                <w:color w:val="auto"/>
                <w:sz w:val="24"/>
                <w:szCs w:val="24"/>
                <w:lang w:eastAsia="zh-CN"/>
              </w:rPr>
              <w:t>设置在项目</w:t>
            </w:r>
            <w:r>
              <w:rPr>
                <w:rFonts w:hint="eastAsia" w:ascii="Times New Roman" w:hAnsi="Times New Roman" w:eastAsia="宋体" w:cs="Times New Roman"/>
                <w:color w:val="auto"/>
                <w:sz w:val="24"/>
                <w:szCs w:val="24"/>
                <w:lang w:eastAsia="zh-CN"/>
              </w:rPr>
              <w:t>生产</w:t>
            </w:r>
            <w:r>
              <w:rPr>
                <w:rFonts w:ascii="Times New Roman" w:hAnsi="Times New Roman" w:eastAsia="宋体" w:cs="Times New Roman"/>
                <w:color w:val="auto"/>
                <w:sz w:val="24"/>
                <w:szCs w:val="24"/>
                <w:lang w:eastAsia="zh-CN"/>
              </w:rPr>
              <w:t>厂房，</w:t>
            </w:r>
            <w:r>
              <w:rPr>
                <w:rFonts w:hint="eastAsia" w:ascii="Times New Roman" w:hAnsi="Times New Roman" w:eastAsia="宋体" w:cs="Times New Roman"/>
                <w:color w:val="auto"/>
                <w:sz w:val="24"/>
                <w:szCs w:val="24"/>
                <w:lang w:eastAsia="zh-CN"/>
              </w:rPr>
              <w:t>2#原料堆场单独设置在厂区南部，均为封闭厂房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，筒仓设置于生产厂房旁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运输扬尘通过洒水降尘进行控制。</w:t>
            </w:r>
          </w:p>
          <w:p w14:paraId="3B23E3A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卸料及堆放</w:t>
            </w:r>
          </w:p>
          <w:p w14:paraId="6AE290A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原料运输至原料堆场</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卸料</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分区进行堆放</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过程产生</w:t>
            </w:r>
            <w:r>
              <w:rPr>
                <w:rFonts w:hint="eastAsia" w:cs="Times New Roman"/>
                <w:color w:val="auto"/>
                <w:sz w:val="24"/>
                <w:szCs w:val="24"/>
                <w:lang w:eastAsia="zh-CN"/>
              </w:rPr>
              <w:t>堆场扬尘</w:t>
            </w:r>
            <w:r>
              <w:rPr>
                <w:rFonts w:hint="eastAsia" w:ascii="Times New Roman" w:hAnsi="Times New Roman" w:eastAsia="宋体" w:cs="Times New Roman"/>
                <w:color w:val="auto"/>
                <w:sz w:val="24"/>
                <w:szCs w:val="24"/>
                <w:lang w:eastAsia="zh-CN"/>
              </w:rPr>
              <w:t>G3；粉煤灰通过罐车管道直接注入筒仓，产生筒仓粉尘G8，经筒仓自带的脉冲布袋除尘器处理后</w:t>
            </w:r>
            <w:r>
              <w:rPr>
                <w:rFonts w:hint="eastAsia" w:cs="Times New Roman"/>
                <w:color w:val="auto"/>
                <w:sz w:val="24"/>
                <w:szCs w:val="24"/>
                <w:lang w:val="en-US" w:eastAsia="zh-CN"/>
              </w:rPr>
              <w:t>由排气筒（DA002）</w:t>
            </w:r>
            <w:r>
              <w:rPr>
                <w:rFonts w:hint="eastAsia" w:ascii="Times New Roman" w:hAnsi="Times New Roman" w:eastAsia="宋体" w:cs="Times New Roman"/>
                <w:color w:val="auto"/>
                <w:sz w:val="24"/>
                <w:szCs w:val="24"/>
                <w:lang w:eastAsia="zh-CN"/>
              </w:rPr>
              <w:t>排放。原料堆场均为封闭厂房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eastAsia="zh-CN"/>
              </w:rPr>
              <w:t>堆场扬尘</w:t>
            </w:r>
            <w:r>
              <w:rPr>
                <w:rFonts w:ascii="Times New Roman" w:hAnsi="Times New Roman" w:eastAsia="宋体" w:cs="Times New Roman"/>
                <w:color w:val="auto"/>
                <w:sz w:val="24"/>
                <w:szCs w:val="24"/>
                <w:lang w:eastAsia="zh-CN"/>
              </w:rPr>
              <w:t>呈无组织排放</w:t>
            </w:r>
            <w:r>
              <w:rPr>
                <w:rFonts w:hint="eastAsia" w:ascii="Times New Roman" w:hAnsi="Times New Roman" w:eastAsia="宋体" w:cs="Times New Roman"/>
                <w:color w:val="auto"/>
                <w:sz w:val="24"/>
                <w:szCs w:val="24"/>
                <w:lang w:eastAsia="zh-CN"/>
              </w:rPr>
              <w:t>，厂房出入口及顶棚出气口设置喷雾降尘设施</w:t>
            </w:r>
            <w:r>
              <w:rPr>
                <w:rFonts w:ascii="Times New Roman" w:hAnsi="Times New Roman" w:eastAsia="宋体" w:cs="Times New Roman"/>
                <w:color w:val="auto"/>
                <w:sz w:val="24"/>
                <w:szCs w:val="24"/>
                <w:lang w:eastAsia="zh-CN"/>
              </w:rPr>
              <w:t>。</w:t>
            </w:r>
          </w:p>
          <w:p w14:paraId="10D36B7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③计量</w:t>
            </w:r>
          </w:p>
          <w:p w14:paraId="19CDD11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砂石骨料通过装载机上料进入计量系统，产生车辆废气G1，粉煤灰通过密闭皮带进入计量系统，产生皮带输送粉尘G5，将</w:t>
            </w:r>
            <w:r>
              <w:rPr>
                <w:rFonts w:ascii="Times New Roman" w:hAnsi="Times New Roman" w:eastAsia="宋体" w:cs="Times New Roman"/>
                <w:color w:val="auto"/>
                <w:sz w:val="24"/>
                <w:szCs w:val="24"/>
                <w:lang w:eastAsia="zh-CN"/>
              </w:rPr>
              <w:t>改性磷石膏、</w:t>
            </w:r>
            <w:r>
              <w:rPr>
                <w:rFonts w:hint="eastAsia" w:ascii="Times New Roman" w:hAnsi="Times New Roman" w:eastAsia="宋体" w:cs="Times New Roman"/>
                <w:color w:val="auto"/>
                <w:sz w:val="24"/>
                <w:szCs w:val="24"/>
                <w:lang w:eastAsia="zh-CN"/>
              </w:rPr>
              <w:t>砂石骨料、粉煤灰按照2：6：2的比例进行配料，该工段产生上料粉尘G4，上料粉尘经集气罩（半密闭集气罩，收集率</w:t>
            </w:r>
            <w:r>
              <w:rPr>
                <w:rFonts w:hint="eastAsia" w:cs="Times New Roman"/>
                <w:color w:val="auto"/>
                <w:sz w:val="24"/>
                <w:szCs w:val="24"/>
                <w:lang w:val="en-US" w:eastAsia="zh-CN"/>
              </w:rPr>
              <w:t>70</w:t>
            </w:r>
            <w:r>
              <w:rPr>
                <w:rFonts w:hint="eastAsia" w:ascii="Times New Roman" w:hAnsi="Times New Roman" w:eastAsia="宋体" w:cs="Times New Roman"/>
                <w:color w:val="auto"/>
                <w:sz w:val="24"/>
                <w:szCs w:val="24"/>
                <w:lang w:eastAsia="zh-CN"/>
              </w:rPr>
              <w:t>%）收集后引至布袋除尘器处理后通过DA001排气筒排放。</w:t>
            </w:r>
          </w:p>
          <w:p w14:paraId="07DBA06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④进料</w:t>
            </w:r>
          </w:p>
          <w:p w14:paraId="0FA43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原料通过密闭皮带输送至双轴搅拌机，在厂内运输时产生皮带输送粉尘G5。</w:t>
            </w:r>
          </w:p>
          <w:p w14:paraId="293BF29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⑤搅拌</w:t>
            </w:r>
          </w:p>
          <w:p w14:paraId="7BD5D0C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原料经双轴搅拌机搅拌混合均匀制成成品，过程中产生搅拌粉尘G6，废气经管道引至布袋除尘器处理后通过DA001排气筒排放。</w:t>
            </w:r>
          </w:p>
          <w:p w14:paraId="54B791A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⑥成品</w:t>
            </w:r>
          </w:p>
          <w:p w14:paraId="215A82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采用订单式生产，原料经搅拌生产出成品，成品从搅拌机出料后，即装车运输至产品购买方。出料过程产生出料粉尘G7，在厂房内呈无组织排放。</w:t>
            </w:r>
          </w:p>
        </w:tc>
      </w:tr>
      <w:tr w14:paraId="3BB9F7C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483" w:type="dxa"/>
            <w:tcBorders>
              <w:tl2br w:val="nil"/>
              <w:tr2bl w:val="nil"/>
            </w:tcBorders>
            <w:vAlign w:val="center"/>
          </w:tcPr>
          <w:p w14:paraId="7FE36F9E">
            <w:pPr>
              <w:pStyle w:val="30"/>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z w:val="24"/>
                <w:szCs w:val="24"/>
                <w:lang w:eastAsia="zh-CN"/>
              </w:rPr>
              <w:t>与项</w:t>
            </w:r>
            <w:r>
              <w:rPr>
                <w:rFonts w:ascii="Times New Roman" w:hAnsi="Times New Roman" w:eastAsia="宋体" w:cs="Times New Roman"/>
                <w:color w:val="auto"/>
                <w:position w:val="1"/>
                <w:sz w:val="24"/>
                <w:szCs w:val="24"/>
                <w:lang w:eastAsia="zh-CN"/>
              </w:rPr>
              <w:t>目</w:t>
            </w:r>
            <w:r>
              <w:rPr>
                <w:rFonts w:ascii="Times New Roman" w:hAnsi="Times New Roman" w:eastAsia="宋体" w:cs="Times New Roman"/>
                <w:color w:val="auto"/>
                <w:sz w:val="24"/>
                <w:szCs w:val="24"/>
                <w:lang w:eastAsia="zh-CN"/>
              </w:rPr>
              <w:t>有关的原有环境污染问题</w:t>
            </w:r>
          </w:p>
        </w:tc>
        <w:tc>
          <w:tcPr>
            <w:tcW w:w="8588" w:type="dxa"/>
            <w:tcBorders>
              <w:tl2br w:val="nil"/>
              <w:tr2bl w:val="nil"/>
            </w:tcBorders>
            <w:vAlign w:val="center"/>
          </w:tcPr>
          <w:p w14:paraId="533DFC7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项目位于</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属于新建项目</w:t>
            </w:r>
            <w:r>
              <w:rPr>
                <w:rFonts w:ascii="Times New Roman" w:hAnsi="Times New Roman" w:eastAsia="宋体" w:cs="Times New Roman"/>
                <w:color w:val="auto"/>
                <w:sz w:val="24"/>
                <w:szCs w:val="24"/>
                <w:lang w:eastAsia="zh-CN"/>
              </w:rPr>
              <w:t>。本项目租用金所街道办事处泽铁社区居委会栽开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w:t>
            </w:r>
            <w:r>
              <w:rPr>
                <w:rFonts w:hint="eastAsia" w:ascii="Times New Roman" w:hAnsi="Times New Roman" w:eastAsia="宋体" w:cs="Times New Roman"/>
                <w:color w:val="auto"/>
                <w:sz w:val="24"/>
                <w:szCs w:val="24"/>
                <w:lang w:eastAsia="zh-CN"/>
              </w:rPr>
              <w:t>该地块</w:t>
            </w:r>
            <w:r>
              <w:rPr>
                <w:rFonts w:hint="eastAsia" w:ascii="Times New Roman" w:hAnsi="Times New Roman" w:eastAsia="宋体" w:cs="Times New Roman"/>
                <w:color w:val="auto"/>
                <w:sz w:val="24"/>
                <w:szCs w:val="24"/>
                <w:lang w:val="en-US" w:eastAsia="zh-CN"/>
              </w:rPr>
              <w:t>部分建设</w:t>
            </w:r>
            <w:r>
              <w:rPr>
                <w:rFonts w:hint="eastAsia" w:ascii="Times New Roman" w:hAnsi="Times New Roman" w:eastAsia="宋体" w:cs="Times New Roman"/>
                <w:color w:val="auto"/>
                <w:sz w:val="24"/>
                <w:szCs w:val="24"/>
                <w:lang w:eastAsia="zh-CN"/>
              </w:rPr>
              <w:t>有一个封闭厂房，</w:t>
            </w:r>
            <w:r>
              <w:rPr>
                <w:rFonts w:hint="eastAsia" w:ascii="Times New Roman" w:hAnsi="Times New Roman" w:eastAsia="宋体" w:cs="Times New Roman"/>
                <w:color w:val="auto"/>
                <w:sz w:val="24"/>
                <w:szCs w:val="24"/>
                <w:lang w:val="en-US" w:eastAsia="zh-CN"/>
              </w:rPr>
              <w:t>原用于堆放</w:t>
            </w:r>
            <w:r>
              <w:rPr>
                <w:rFonts w:hint="eastAsia" w:ascii="Times New Roman" w:hAnsi="Times New Roman" w:eastAsia="宋体" w:cs="Times New Roman"/>
                <w:color w:val="auto"/>
                <w:sz w:val="24"/>
                <w:szCs w:val="24"/>
                <w:lang w:eastAsia="zh-CN"/>
              </w:rPr>
              <w:t>散煤，</w:t>
            </w:r>
            <w:r>
              <w:rPr>
                <w:rFonts w:hint="eastAsia" w:ascii="Times New Roman" w:hAnsi="Times New Roman" w:eastAsia="宋体" w:cs="Times New Roman"/>
                <w:color w:val="auto"/>
                <w:sz w:val="24"/>
                <w:szCs w:val="24"/>
                <w:lang w:val="en-US" w:eastAsia="zh-CN"/>
              </w:rPr>
              <w:t>未进行其他生产</w:t>
            </w:r>
            <w:r>
              <w:rPr>
                <w:rFonts w:hint="eastAsia" w:ascii="Times New Roman" w:hAnsi="Times New Roman" w:eastAsia="宋体" w:cs="Times New Roman"/>
                <w:color w:val="auto"/>
                <w:sz w:val="24"/>
                <w:szCs w:val="24"/>
                <w:lang w:eastAsia="zh-CN"/>
              </w:rPr>
              <w:t>，其余部分为空闲场地，</w:t>
            </w:r>
            <w:r>
              <w:rPr>
                <w:rFonts w:hint="eastAsia" w:ascii="Times New Roman" w:hAnsi="Times New Roman" w:eastAsia="宋体" w:cs="Times New Roman"/>
                <w:color w:val="auto"/>
                <w:sz w:val="24"/>
                <w:szCs w:val="24"/>
                <w:lang w:val="en-US" w:eastAsia="zh-CN"/>
              </w:rPr>
              <w:t>建设单位与村委会签订租用合同前，村民已停止继续堆放行为，但留存有少量未清运散煤</w:t>
            </w:r>
            <w:r>
              <w:rPr>
                <w:rFonts w:hint="eastAsia" w:ascii="Times New Roman" w:hAnsi="Times New Roman" w:eastAsia="宋体" w:cs="Times New Roman"/>
                <w:color w:val="auto"/>
                <w:sz w:val="24"/>
                <w:szCs w:val="24"/>
                <w:lang w:eastAsia="zh-CN"/>
              </w:rPr>
              <w:t>。该地块未发生过环境污染事件，未出现周围村民投诉的情况，但封闭厂房内的散煤在大风天气会产生少量扬尘，对周围环境有一定影响，本评价建议在项目建设前尽快将散煤清运处理。</w:t>
            </w:r>
            <w:r>
              <w:rPr>
                <w:rFonts w:ascii="Times New Roman" w:hAnsi="Times New Roman" w:eastAsia="宋体" w:cs="Times New Roman"/>
                <w:color w:val="auto"/>
                <w:sz w:val="24"/>
                <w:szCs w:val="24"/>
                <w:lang w:eastAsia="zh-CN"/>
              </w:rPr>
              <w:t>为了解项目所在地区域环境质量，本次对项目区内土壤和地下水进行监测</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根据监测结果，项目区内土壤监测指标均低于《土壤环境质量</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建设用地土壤污染风险管控标准》（GB36600-2018）中的风险筛选值</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项目区域土壤环境良好。项目</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水井的水质能达到《地下水质量标准》（GB/T14848-2017）中的Ⅲ类标准。项目区域地下水环境良好。</w:t>
            </w:r>
          </w:p>
          <w:p w14:paraId="0C0BCCB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项目区域内土壤和地下水均未受到污染，本项目实际用地范围内不存在原有环境污染问题。</w:t>
            </w:r>
          </w:p>
        </w:tc>
      </w:tr>
    </w:tbl>
    <w:p w14:paraId="68645374">
      <w:pPr>
        <w:rPr>
          <w:rFonts w:ascii="Times New Roman" w:hAnsi="Times New Roman" w:eastAsia="宋体" w:cs="Times New Roman"/>
          <w:color w:val="auto"/>
          <w:lang w:eastAsia="zh-CN"/>
        </w:rPr>
      </w:pPr>
    </w:p>
    <w:p w14:paraId="4748D61B">
      <w:pPr>
        <w:rPr>
          <w:rFonts w:ascii="Times New Roman" w:hAnsi="Times New Roman" w:eastAsia="宋体" w:cs="Times New Roman"/>
          <w:color w:val="auto"/>
          <w:lang w:eastAsia="zh-CN"/>
        </w:rPr>
        <w:sectPr>
          <w:footerReference r:id="rId6" w:type="default"/>
          <w:pgSz w:w="11906" w:h="16839"/>
          <w:pgMar w:top="1440" w:right="1800" w:bottom="1440" w:left="1800" w:header="0" w:footer="852" w:gutter="0"/>
          <w:cols w:space="720" w:num="1"/>
        </w:sectPr>
      </w:pPr>
    </w:p>
    <w:p w14:paraId="6AE73BB8">
      <w:pPr>
        <w:pStyle w:val="7"/>
        <w:snapToGrid/>
        <w:jc w:val="center"/>
        <w:outlineLvl w:val="0"/>
        <w:rPr>
          <w:rFonts w:ascii="Times New Roman" w:hAnsi="Times New Roman" w:eastAsia="宋体" w:cs="Times New Roman"/>
          <w:b/>
          <w:bCs/>
          <w:color w:val="auto"/>
          <w:sz w:val="28"/>
          <w:szCs w:val="28"/>
          <w:lang w:eastAsia="zh-CN"/>
        </w:rPr>
      </w:pPr>
      <w:bookmarkStart w:id="11" w:name="_Toc568"/>
      <w:r>
        <w:rPr>
          <w:rFonts w:ascii="Times New Roman" w:hAnsi="Times New Roman" w:eastAsia="宋体" w:cs="Times New Roman"/>
          <w:b/>
          <w:bCs/>
          <w:color w:val="auto"/>
          <w:sz w:val="28"/>
          <w:szCs w:val="28"/>
          <w:lang w:eastAsia="zh-CN"/>
        </w:rPr>
        <w:t>三、区域环境质量现状、环境保护目标及评价标准</w:t>
      </w:r>
      <w:bookmarkEnd w:id="11"/>
    </w:p>
    <w:tbl>
      <w:tblPr>
        <w:tblStyle w:val="29"/>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2"/>
        <w:gridCol w:w="8589"/>
      </w:tblGrid>
      <w:tr w14:paraId="31463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bottom w:val="single" w:color="auto" w:sz="4" w:space="0"/>
              <w:right w:val="single" w:color="000000" w:sz="2" w:space="0"/>
            </w:tcBorders>
            <w:vAlign w:val="center"/>
          </w:tcPr>
          <w:p w14:paraId="43EAEEDD">
            <w:pPr>
              <w:pStyle w:val="30"/>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4"/>
                <w:szCs w:val="24"/>
              </w:rPr>
              <w:t>区域环境质量现状</w:t>
            </w:r>
          </w:p>
        </w:tc>
        <w:tc>
          <w:tcPr>
            <w:tcW w:w="8589" w:type="dxa"/>
            <w:tcBorders>
              <w:left w:val="single" w:color="000000" w:sz="2" w:space="0"/>
            </w:tcBorders>
          </w:tcPr>
          <w:p w14:paraId="26DA793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1、大气环境质量现状</w:t>
            </w:r>
          </w:p>
          <w:p w14:paraId="2669002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项目建设于云南省昆明市寻甸回族彝族自治县金所街道办事处泽铁村委会栽开居民小组，该区域大</w:t>
            </w:r>
            <w:r>
              <w:rPr>
                <w:rFonts w:ascii="Times New Roman" w:hAnsi="Times New Roman" w:eastAsia="宋体" w:cs="Times New Roman"/>
                <w:color w:val="auto"/>
                <w:lang w:eastAsia="zh-CN"/>
              </w:rPr>
              <w:t>气环境功能区划为二类区，执行《环境空气质量标准》（GB3095-20</w:t>
            </w:r>
            <w:r>
              <w:rPr>
                <w:rFonts w:hint="eastAsia" w:ascii="Times New Roman" w:hAnsi="Times New Roman" w:eastAsia="宋体" w:cs="Times New Roman"/>
                <w:color w:val="auto"/>
                <w:lang w:val="en-US" w:eastAsia="zh-CN"/>
              </w:rPr>
              <w:t>26</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过渡阶段</w:t>
            </w:r>
            <w:r>
              <w:rPr>
                <w:rFonts w:ascii="Times New Roman" w:hAnsi="Times New Roman" w:eastAsia="宋体" w:cs="Times New Roman"/>
                <w:color w:val="auto"/>
                <w:lang w:eastAsia="zh-CN"/>
              </w:rPr>
              <w:t>二</w:t>
            </w:r>
            <w:r>
              <w:rPr>
                <w:rFonts w:ascii="Times New Roman" w:hAnsi="Times New Roman" w:eastAsia="宋体" w:cs="Times New Roman"/>
                <w:color w:val="auto"/>
                <w:sz w:val="24"/>
                <w:szCs w:val="24"/>
                <w:lang w:eastAsia="zh-CN"/>
              </w:rPr>
              <w:t>级标准。</w:t>
            </w:r>
          </w:p>
          <w:p w14:paraId="2537DBD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1.1达标区判定</w:t>
            </w:r>
          </w:p>
          <w:p w14:paraId="6AF8C03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寻甸县环境空气质量能达到《环境空气质量标准》（GB3095-20</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）中二级标准，</w:t>
            </w:r>
            <w:r>
              <w:rPr>
                <w:rFonts w:hint="eastAsia" w:ascii="Times New Roman" w:hAnsi="Times New Roman" w:eastAsia="宋体" w:cs="Times New Roman"/>
                <w:color w:val="auto"/>
                <w:sz w:val="24"/>
                <w:szCs w:val="24"/>
                <w:lang w:eastAsia="zh-CN"/>
              </w:rPr>
              <w:t>详见下表。</w:t>
            </w:r>
          </w:p>
          <w:p w14:paraId="63F3996F">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年环境质量公报环境空气质量数据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96"/>
              <w:gridCol w:w="2711"/>
              <w:gridCol w:w="750"/>
              <w:gridCol w:w="1521"/>
              <w:gridCol w:w="1305"/>
              <w:gridCol w:w="701"/>
            </w:tblGrid>
            <w:tr w14:paraId="29C6C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13521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407" w:type="dxa"/>
                  <w:gridSpan w:val="2"/>
                  <w:vAlign w:val="center"/>
                </w:tcPr>
                <w:p w14:paraId="4F43C0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750" w:type="dxa"/>
                  <w:vMerge w:val="restart"/>
                  <w:vAlign w:val="center"/>
                </w:tcPr>
                <w:p w14:paraId="752D78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优良天数</w:t>
                  </w:r>
                </w:p>
              </w:tc>
              <w:tc>
                <w:tcPr>
                  <w:tcW w:w="1521" w:type="dxa"/>
                  <w:vMerge w:val="restart"/>
                  <w:vAlign w:val="center"/>
                </w:tcPr>
                <w:p w14:paraId="6C7630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优良天数占总天数的百分比</w:t>
                  </w:r>
                </w:p>
              </w:tc>
              <w:tc>
                <w:tcPr>
                  <w:tcW w:w="1305" w:type="dxa"/>
                  <w:vMerge w:val="restart"/>
                  <w:vAlign w:val="center"/>
                </w:tcPr>
                <w:p w14:paraId="0D3C28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执行标准</w:t>
                  </w:r>
                </w:p>
              </w:tc>
              <w:tc>
                <w:tcPr>
                  <w:tcW w:w="701" w:type="dxa"/>
                  <w:vMerge w:val="restart"/>
                  <w:vAlign w:val="center"/>
                </w:tcPr>
                <w:p w14:paraId="57D88D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r>
            <w:tr w14:paraId="4946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48E54B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1F9D88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2711" w:type="dxa"/>
                  <w:vAlign w:val="center"/>
                </w:tcPr>
                <w:p w14:paraId="799131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750" w:type="dxa"/>
                  <w:vMerge w:val="continue"/>
                  <w:vAlign w:val="center"/>
                </w:tcPr>
                <w:p w14:paraId="522BE2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521" w:type="dxa"/>
                  <w:vMerge w:val="continue"/>
                  <w:vAlign w:val="center"/>
                </w:tcPr>
                <w:p w14:paraId="789AB0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305" w:type="dxa"/>
                  <w:vMerge w:val="continue"/>
                  <w:vAlign w:val="center"/>
                </w:tcPr>
                <w:p w14:paraId="617EE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5D52B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553F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276C20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环境监测站楼顶（空气自动站）</w:t>
                  </w:r>
                </w:p>
              </w:tc>
              <w:tc>
                <w:tcPr>
                  <w:tcW w:w="696" w:type="dxa"/>
                  <w:vAlign w:val="center"/>
                </w:tcPr>
                <w:p w14:paraId="7A197C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2711" w:type="dxa"/>
                  <w:vAlign w:val="center"/>
                </w:tcPr>
                <w:p w14:paraId="3EDCB8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750" w:type="dxa"/>
                  <w:vAlign w:val="center"/>
                </w:tcPr>
                <w:p w14:paraId="348E73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85</w:t>
                  </w:r>
                </w:p>
              </w:tc>
              <w:tc>
                <w:tcPr>
                  <w:tcW w:w="1521" w:type="dxa"/>
                  <w:vAlign w:val="center"/>
                </w:tcPr>
                <w:p w14:paraId="57EC95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96.6%</w:t>
                  </w:r>
                </w:p>
              </w:tc>
              <w:tc>
                <w:tcPr>
                  <w:tcW w:w="1305" w:type="dxa"/>
                  <w:vMerge w:val="restart"/>
                  <w:vAlign w:val="center"/>
                </w:tcPr>
                <w:p w14:paraId="2A1EB4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《环境空气质量标准》（GB3095-20</w:t>
                  </w:r>
                  <w:r>
                    <w:rPr>
                      <w:rFonts w:hint="eastAsia" w:ascii="Times New Roman" w:hAnsi="Times New Roman" w:eastAsia="宋体" w:cs="Times New Roman"/>
                      <w:color w:val="auto"/>
                      <w:lang w:eastAsia="zh-CN"/>
                    </w:rPr>
                    <w:t>12</w:t>
                  </w:r>
                  <w:r>
                    <w:rPr>
                      <w:rFonts w:ascii="Times New Roman" w:hAnsi="Times New Roman" w:eastAsia="宋体" w:cs="Times New Roman"/>
                      <w:color w:val="auto"/>
                      <w:lang w:eastAsia="zh-CN"/>
                    </w:rPr>
                    <w:t>）中二级标准</w:t>
                  </w:r>
                </w:p>
              </w:tc>
              <w:tc>
                <w:tcPr>
                  <w:tcW w:w="701" w:type="dxa"/>
                  <w:vAlign w:val="center"/>
                </w:tcPr>
                <w:p w14:paraId="76F2A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基本</w:t>
                  </w:r>
                  <w:r>
                    <w:rPr>
                      <w:rFonts w:hint="eastAsia" w:ascii="Times New Roman" w:hAnsi="Times New Roman" w:eastAsia="宋体" w:cs="Times New Roman"/>
                      <w:color w:val="auto"/>
                      <w:lang w:eastAsia="zh-CN"/>
                    </w:rPr>
                    <w:t>达标</w:t>
                  </w:r>
                </w:p>
              </w:tc>
            </w:tr>
            <w:tr w14:paraId="6EA0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1B864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19E7A4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2711" w:type="dxa"/>
                  <w:vAlign w:val="center"/>
                </w:tcPr>
                <w:p w14:paraId="669DDA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750" w:type="dxa"/>
                  <w:vAlign w:val="center"/>
                </w:tcPr>
                <w:p w14:paraId="50E2A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r>
                    <w:rPr>
                      <w:rFonts w:hint="eastAsia" w:ascii="Times New Roman" w:hAnsi="Times New Roman" w:eastAsia="宋体" w:cs="Times New Roman"/>
                      <w:color w:val="auto"/>
                      <w:lang w:val="en-US" w:eastAsia="zh-CN"/>
                    </w:rPr>
                    <w:t>1</w:t>
                  </w:r>
                </w:p>
              </w:tc>
              <w:tc>
                <w:tcPr>
                  <w:tcW w:w="1521" w:type="dxa"/>
                  <w:vAlign w:val="center"/>
                </w:tcPr>
                <w:p w14:paraId="22F4FE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2BDF52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3160EE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5B4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CE22A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5B7A3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2711" w:type="dxa"/>
                  <w:vAlign w:val="center"/>
                </w:tcPr>
                <w:p w14:paraId="79CFE4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750" w:type="dxa"/>
                  <w:vAlign w:val="center"/>
                </w:tcPr>
                <w:p w14:paraId="377567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89</w:t>
                  </w:r>
                </w:p>
              </w:tc>
              <w:tc>
                <w:tcPr>
                  <w:tcW w:w="1521" w:type="dxa"/>
                  <w:vAlign w:val="center"/>
                </w:tcPr>
                <w:p w14:paraId="2E0B20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7BDB13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1E7DA8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32EA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058302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0DF3F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2711" w:type="dxa"/>
                  <w:vAlign w:val="center"/>
                </w:tcPr>
                <w:p w14:paraId="63E3D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750" w:type="dxa"/>
                  <w:vAlign w:val="center"/>
                </w:tcPr>
                <w:p w14:paraId="35F2A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r>
                    <w:rPr>
                      <w:rFonts w:hint="eastAsia" w:ascii="Times New Roman" w:hAnsi="Times New Roman" w:eastAsia="宋体" w:cs="Times New Roman"/>
                      <w:color w:val="auto"/>
                      <w:lang w:val="en-US" w:eastAsia="zh-CN"/>
                    </w:rPr>
                    <w:t>2</w:t>
                  </w:r>
                </w:p>
              </w:tc>
              <w:tc>
                <w:tcPr>
                  <w:tcW w:w="1521" w:type="dxa"/>
                  <w:vAlign w:val="center"/>
                </w:tcPr>
                <w:p w14:paraId="38162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1305" w:type="dxa"/>
                  <w:vMerge w:val="continue"/>
                  <w:vAlign w:val="center"/>
                </w:tcPr>
                <w:p w14:paraId="4589EC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Align w:val="center"/>
                </w:tcPr>
                <w:p w14:paraId="574A29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4B41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Align w:val="center"/>
                </w:tcPr>
                <w:p w14:paraId="7906BA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备注</w:t>
                  </w:r>
                </w:p>
              </w:tc>
              <w:tc>
                <w:tcPr>
                  <w:tcW w:w="7684" w:type="dxa"/>
                  <w:gridSpan w:val="6"/>
                  <w:vAlign w:val="center"/>
                </w:tcPr>
                <w:p w14:paraId="5051C4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达标判断依据环境质量公报发布时执行的环境空气质量标准。</w:t>
                  </w:r>
                </w:p>
              </w:tc>
            </w:tr>
          </w:tbl>
          <w:p w14:paraId="4070175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综上，项目所在区域属于大气环境质量达标区。</w:t>
            </w:r>
          </w:p>
          <w:p w14:paraId="273C9D01">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1.2补充监测</w:t>
            </w:r>
          </w:p>
          <w:p w14:paraId="5B6009E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为了解项目区域环境质量，</w:t>
            </w:r>
            <w:r>
              <w:rPr>
                <w:rFonts w:hint="eastAsia" w:ascii="Times New Roman" w:hAnsi="Times New Roman" w:eastAsia="宋体" w:cs="Times New Roman"/>
                <w:color w:val="auto"/>
                <w:sz w:val="24"/>
                <w:szCs w:val="24"/>
                <w:lang w:eastAsia="zh-CN"/>
              </w:rPr>
              <w:t>云南赛农农业科技有限公司</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于202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进行现状监测。</w:t>
            </w:r>
          </w:p>
          <w:p w14:paraId="0E67C067">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①检测项目：TSP</w:t>
            </w:r>
          </w:p>
          <w:p w14:paraId="3D4CE3B8">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②检测点位：</w:t>
            </w:r>
            <w:r>
              <w:rPr>
                <w:rFonts w:hint="eastAsia" w:ascii="Times New Roman" w:hAnsi="Times New Roman" w:eastAsia="宋体" w:cs="Times New Roman"/>
                <w:color w:val="auto"/>
                <w:sz w:val="24"/>
                <w:szCs w:val="24"/>
                <w:lang w:eastAsia="zh-CN"/>
              </w:rPr>
              <w:t>G1项目东北侧泽铁社区</w:t>
            </w:r>
            <w:r>
              <w:rPr>
                <w:rFonts w:ascii="Times New Roman" w:hAnsi="Times New Roman" w:eastAsia="宋体" w:cs="Times New Roman"/>
                <w:color w:val="auto"/>
                <w:sz w:val="24"/>
                <w:szCs w:val="24"/>
                <w:lang w:eastAsia="zh-CN"/>
              </w:rPr>
              <w:t>。</w:t>
            </w:r>
          </w:p>
          <w:p w14:paraId="49C8DB71">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③检测频率：连续检测3天，</w:t>
            </w:r>
            <w:r>
              <w:rPr>
                <w:rFonts w:hint="eastAsia" w:ascii="Times New Roman" w:hAnsi="Times New Roman" w:eastAsia="宋体" w:cs="Times New Roman"/>
                <w:color w:val="auto"/>
                <w:sz w:val="24"/>
                <w:szCs w:val="24"/>
                <w:lang w:eastAsia="zh-CN"/>
              </w:rPr>
              <w:t>TSP</w:t>
            </w:r>
            <w:r>
              <w:rPr>
                <w:rFonts w:ascii="Times New Roman" w:hAnsi="Times New Roman" w:eastAsia="宋体" w:cs="Times New Roman"/>
                <w:color w:val="auto"/>
                <w:sz w:val="24"/>
                <w:szCs w:val="24"/>
                <w:lang w:eastAsia="zh-CN"/>
              </w:rPr>
              <w:t>（24小时平均）。</w:t>
            </w:r>
          </w:p>
          <w:p w14:paraId="39975079">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④监测结果如下。</w:t>
            </w:r>
          </w:p>
          <w:p w14:paraId="7CF7044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 评价区域环境空气质量现状监测结果表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9"/>
              <w:gridCol w:w="1595"/>
              <w:gridCol w:w="1814"/>
              <w:gridCol w:w="1022"/>
              <w:gridCol w:w="1413"/>
              <w:gridCol w:w="1297"/>
            </w:tblGrid>
            <w:tr w14:paraId="3CC7B1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1187" w:type="dxa"/>
                  <w:vAlign w:val="center"/>
                </w:tcPr>
                <w:p w14:paraId="2B6CEFB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检测点位</w:t>
                  </w:r>
                </w:p>
              </w:tc>
              <w:tc>
                <w:tcPr>
                  <w:tcW w:w="1517" w:type="dxa"/>
                  <w:vAlign w:val="center"/>
                </w:tcPr>
                <w:p w14:paraId="0D350F2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检测因子</w:t>
                  </w:r>
                </w:p>
              </w:tc>
              <w:tc>
                <w:tcPr>
                  <w:tcW w:w="1725" w:type="dxa"/>
                  <w:vAlign w:val="center"/>
                </w:tcPr>
                <w:p w14:paraId="4792420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rPr>
                    <w:t>浓度范围</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rPr>
                    <w:t>μg/m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972" w:type="dxa"/>
                  <w:vAlign w:val="center"/>
                </w:tcPr>
                <w:p w14:paraId="50FCB72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超标率</w:t>
                  </w:r>
                </w:p>
                <w:p w14:paraId="0A0A2EA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w:t>
                  </w:r>
                </w:p>
              </w:tc>
              <w:tc>
                <w:tcPr>
                  <w:tcW w:w="1344" w:type="dxa"/>
                  <w:vAlign w:val="center"/>
                </w:tcPr>
                <w:p w14:paraId="43AB8E7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标准值</w:t>
                  </w:r>
                </w:p>
                <w:p w14:paraId="278512A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rPr>
                    <w:t>μg/m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1233" w:type="dxa"/>
                  <w:vAlign w:val="center"/>
                </w:tcPr>
                <w:p w14:paraId="37290C4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达标情况</w:t>
                  </w:r>
                </w:p>
              </w:tc>
            </w:tr>
            <w:tr w14:paraId="2466DA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9" w:hRule="atLeast"/>
                <w:jc w:val="center"/>
              </w:trPr>
              <w:tc>
                <w:tcPr>
                  <w:tcW w:w="1187" w:type="dxa"/>
                  <w:vAlign w:val="center"/>
                </w:tcPr>
                <w:p w14:paraId="53F4CC7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G1项目东北侧泽铁社区</w:t>
                  </w:r>
                </w:p>
              </w:tc>
              <w:tc>
                <w:tcPr>
                  <w:tcW w:w="1517" w:type="dxa"/>
                  <w:vAlign w:val="center"/>
                </w:tcPr>
                <w:p w14:paraId="7155C10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TSP</w:t>
                  </w:r>
                  <w:r>
                    <w:rPr>
                      <w:rFonts w:ascii="Times New Roman" w:hAnsi="Times New Roman" w:eastAsia="宋体" w:cs="Times New Roman"/>
                      <w:color w:val="auto"/>
                      <w:sz w:val="21"/>
                      <w:szCs w:val="21"/>
                    </w:rPr>
                    <w:t>24h值</w:t>
                  </w:r>
                </w:p>
              </w:tc>
              <w:tc>
                <w:tcPr>
                  <w:tcW w:w="1725" w:type="dxa"/>
                  <w:vAlign w:val="center"/>
                </w:tcPr>
                <w:p w14:paraId="01DC3AA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1</w:t>
                  </w:r>
                  <w:r>
                    <w:rPr>
                      <w:rFonts w:hint="eastAsia" w:ascii="Times New Roman" w:hAnsi="Times New Roman" w:eastAsia="宋体" w:cs="Times New Roman"/>
                      <w:color w:val="auto"/>
                      <w:lang w:eastAsia="zh-CN"/>
                    </w:rPr>
                    <w:t>74~</w:t>
                  </w:r>
                  <w:r>
                    <w:rPr>
                      <w:rFonts w:ascii="Times New Roman" w:hAnsi="Times New Roman" w:eastAsia="宋体" w:cs="Times New Roman"/>
                      <w:color w:val="auto"/>
                    </w:rPr>
                    <w:t>1</w:t>
                  </w:r>
                  <w:r>
                    <w:rPr>
                      <w:rFonts w:hint="eastAsia" w:ascii="Times New Roman" w:hAnsi="Times New Roman" w:eastAsia="宋体" w:cs="Times New Roman"/>
                      <w:color w:val="auto"/>
                      <w:lang w:eastAsia="zh-CN"/>
                    </w:rPr>
                    <w:t>81</w:t>
                  </w:r>
                </w:p>
              </w:tc>
              <w:tc>
                <w:tcPr>
                  <w:tcW w:w="972" w:type="dxa"/>
                  <w:vAlign w:val="center"/>
                </w:tcPr>
                <w:p w14:paraId="78C23F2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p>
              </w:tc>
              <w:tc>
                <w:tcPr>
                  <w:tcW w:w="1344" w:type="dxa"/>
                  <w:vAlign w:val="center"/>
                </w:tcPr>
                <w:p w14:paraId="4EFCAC8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300</w:t>
                  </w:r>
                </w:p>
              </w:tc>
              <w:tc>
                <w:tcPr>
                  <w:tcW w:w="1233" w:type="dxa"/>
                  <w:vAlign w:val="center"/>
                </w:tcPr>
                <w:p w14:paraId="4E72C7C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达标</w:t>
                  </w:r>
                </w:p>
              </w:tc>
            </w:tr>
            <w:tr w14:paraId="15CCB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jc w:val="center"/>
              </w:trPr>
              <w:tc>
                <w:tcPr>
                  <w:tcW w:w="7978" w:type="dxa"/>
                  <w:gridSpan w:val="6"/>
                  <w:vAlign w:val="center"/>
                </w:tcPr>
                <w:p w14:paraId="18E7F5C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注：“检出限+L”表示检测结果低于方法检出限</w:t>
                  </w:r>
                </w:p>
              </w:tc>
            </w:tr>
          </w:tbl>
          <w:p w14:paraId="6AE682D2">
            <w:pPr>
              <w:pStyle w:val="30"/>
              <w:kinsoku/>
              <w:overflowPunct w:val="0"/>
              <w:autoSpaceDE/>
              <w:autoSpaceDN/>
              <w:adjustRightInd/>
              <w:snapToGrid/>
              <w:spacing w:line="360" w:lineRule="auto"/>
              <w:ind w:firstLine="480" w:firstLineChars="200"/>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根据上表监测结果，项目所在区域颗粒物24小时</w:t>
            </w:r>
            <w:r>
              <w:rPr>
                <w:rFonts w:hint="eastAsia" w:ascii="Times New Roman" w:hAnsi="Times New Roman" w:eastAsia="宋体" w:cs="Times New Roman"/>
                <w:color w:val="auto"/>
                <w:sz w:val="24"/>
                <w:szCs w:val="24"/>
                <w:lang w:eastAsia="zh-CN"/>
              </w:rPr>
              <w:t>平均</w:t>
            </w:r>
            <w:r>
              <w:rPr>
                <w:rFonts w:ascii="Times New Roman" w:hAnsi="Times New Roman" w:eastAsia="宋体" w:cs="Times New Roman"/>
                <w:color w:val="auto"/>
                <w:sz w:val="24"/>
                <w:szCs w:val="24"/>
                <w:lang w:eastAsia="zh-CN"/>
              </w:rPr>
              <w:t>浓度均能满足《环境空气质量标准》（GB3095-20</w:t>
            </w:r>
            <w:r>
              <w:rPr>
                <w:rFonts w:hint="eastAsia" w:ascii="Times New Roman" w:hAnsi="Times New Roman" w:eastAsia="宋体" w:cs="Times New Roman"/>
                <w:color w:val="auto"/>
                <w:sz w:val="24"/>
                <w:szCs w:val="24"/>
                <w:lang w:val="en-US" w:eastAsia="zh-CN"/>
              </w:rPr>
              <w:t>26</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过渡阶段</w:t>
            </w:r>
            <w:r>
              <w:rPr>
                <w:rFonts w:ascii="Times New Roman" w:hAnsi="Times New Roman" w:eastAsia="宋体" w:cs="Times New Roman"/>
                <w:color w:val="auto"/>
                <w:sz w:val="24"/>
                <w:szCs w:val="24"/>
                <w:lang w:eastAsia="zh-CN"/>
              </w:rPr>
              <w:t>二级标准，</w:t>
            </w:r>
            <w:r>
              <w:rPr>
                <w:rFonts w:hint="eastAsia" w:ascii="Times New Roman" w:hAnsi="Times New Roman" w:eastAsia="宋体" w:cs="Times New Roman"/>
                <w:color w:val="auto"/>
                <w:sz w:val="24"/>
                <w:szCs w:val="24"/>
                <w:lang w:eastAsia="zh-CN"/>
              </w:rPr>
              <w:t>大气环境质量达标。</w:t>
            </w:r>
          </w:p>
          <w:p w14:paraId="28359559">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2、地表水环境质量现状</w:t>
            </w:r>
          </w:p>
          <w:p w14:paraId="2AAF2F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涉及地表水为东北侧1050m的潘所海，部分水流经地下溶洞汇入三月三水库，部分水流汇入果马河，属金沙江水系牛栏江流域，根据《云南省水功能区划》（云南省水利厅2014年修订），潘所海属于牛栏江-滇池补水水源保护区：由源头起始至德泽水库，全长161.5km，现状水质为Ⅲ类，2030年水质目标为Ⅲ类，执行《地表水环境质量标准》（GB3838-2002）Ⅲ类水质标准。</w:t>
            </w:r>
          </w:p>
          <w:p w14:paraId="1DCD901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根据寻甸县人民政府生态环境信息公开的寻甸县202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w:t>
            </w:r>
            <w:r>
              <w:rPr>
                <w:rFonts w:hint="eastAsia" w:ascii="Times New Roman" w:hAnsi="Times New Roman" w:eastAsia="宋体" w:cs="Times New Roman"/>
                <w:color w:val="auto"/>
                <w:sz w:val="24"/>
                <w:szCs w:val="24"/>
                <w:lang w:eastAsia="zh-CN"/>
              </w:rPr>
              <w:t>潘所海水质不能达到</w:t>
            </w:r>
            <w:r>
              <w:rPr>
                <w:rFonts w:ascii="Times New Roman" w:hAnsi="Times New Roman" w:eastAsia="宋体" w:cs="Times New Roman"/>
                <w:color w:val="auto"/>
                <w:sz w:val="24"/>
                <w:szCs w:val="24"/>
                <w:lang w:eastAsia="zh-CN"/>
              </w:rPr>
              <w:t>《地表水环境质量标准》</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GB3838-2002</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Ⅲ类水质标准，</w:t>
            </w:r>
            <w:r>
              <w:rPr>
                <w:rFonts w:hint="eastAsia" w:ascii="Times New Roman" w:hAnsi="Times New Roman" w:eastAsia="宋体" w:cs="Times New Roman"/>
                <w:color w:val="auto"/>
                <w:sz w:val="24"/>
                <w:szCs w:val="24"/>
                <w:lang w:eastAsia="zh-CN"/>
              </w:rPr>
              <w:t>详见下表。</w:t>
            </w:r>
          </w:p>
          <w:p w14:paraId="721D1CF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表3-3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年环境质量公报潘所海水质数据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1091"/>
              <w:gridCol w:w="2052"/>
              <w:gridCol w:w="777"/>
              <w:gridCol w:w="1073"/>
              <w:gridCol w:w="1139"/>
              <w:gridCol w:w="1820"/>
            </w:tblGrid>
            <w:tr w14:paraId="16987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restart"/>
                  <w:vAlign w:val="center"/>
                </w:tcPr>
                <w:p w14:paraId="61ED17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143" w:type="dxa"/>
                  <w:gridSpan w:val="2"/>
                  <w:vAlign w:val="center"/>
                </w:tcPr>
                <w:p w14:paraId="5FA8BF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777" w:type="dxa"/>
                  <w:vMerge w:val="restart"/>
                  <w:vAlign w:val="center"/>
                </w:tcPr>
                <w:p w14:paraId="67D26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水质类别</w:t>
                  </w:r>
                </w:p>
              </w:tc>
              <w:tc>
                <w:tcPr>
                  <w:tcW w:w="1073" w:type="dxa"/>
                  <w:vMerge w:val="restart"/>
                  <w:vAlign w:val="center"/>
                </w:tcPr>
                <w:p w14:paraId="0CC470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执行标准</w:t>
                  </w:r>
                </w:p>
              </w:tc>
              <w:tc>
                <w:tcPr>
                  <w:tcW w:w="1139" w:type="dxa"/>
                  <w:vMerge w:val="restart"/>
                  <w:vAlign w:val="center"/>
                </w:tcPr>
                <w:p w14:paraId="672E80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c>
                <w:tcPr>
                  <w:tcW w:w="1820" w:type="dxa"/>
                  <w:vMerge w:val="restart"/>
                  <w:vAlign w:val="center"/>
                </w:tcPr>
                <w:p w14:paraId="7DF762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富营养情况</w:t>
                  </w:r>
                </w:p>
              </w:tc>
            </w:tr>
            <w:tr w14:paraId="7817F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71A9F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211AC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2052" w:type="dxa"/>
                  <w:vAlign w:val="center"/>
                </w:tcPr>
                <w:p w14:paraId="1BB44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777" w:type="dxa"/>
                  <w:vMerge w:val="continue"/>
                  <w:vAlign w:val="center"/>
                </w:tcPr>
                <w:p w14:paraId="6E5B80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73" w:type="dxa"/>
                  <w:vMerge w:val="continue"/>
                  <w:vAlign w:val="center"/>
                </w:tcPr>
                <w:p w14:paraId="474A71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Merge w:val="continue"/>
                  <w:vAlign w:val="center"/>
                </w:tcPr>
                <w:p w14:paraId="0DF775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820" w:type="dxa"/>
                  <w:vMerge w:val="continue"/>
                  <w:vAlign w:val="center"/>
                </w:tcPr>
                <w:p w14:paraId="696C3A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465C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restart"/>
                  <w:vAlign w:val="center"/>
                </w:tcPr>
                <w:p w14:paraId="4BA4F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潘所海</w:t>
                  </w:r>
                </w:p>
              </w:tc>
              <w:tc>
                <w:tcPr>
                  <w:tcW w:w="1091" w:type="dxa"/>
                  <w:vAlign w:val="center"/>
                </w:tcPr>
                <w:p w14:paraId="13F4F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2052" w:type="dxa"/>
                  <w:vAlign w:val="center"/>
                </w:tcPr>
                <w:p w14:paraId="37FA32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777" w:type="dxa"/>
                  <w:vAlign w:val="center"/>
                </w:tcPr>
                <w:p w14:paraId="145D46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restart"/>
                  <w:vAlign w:val="center"/>
                </w:tcPr>
                <w:p w14:paraId="59676D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《地表水环境质量标准》</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GB3838-2002</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Ⅲ类水质标准</w:t>
                  </w:r>
                </w:p>
              </w:tc>
              <w:tc>
                <w:tcPr>
                  <w:tcW w:w="1139" w:type="dxa"/>
                  <w:vAlign w:val="center"/>
                </w:tcPr>
                <w:p w14:paraId="6FE76E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1C821B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中度富营养</w:t>
                  </w:r>
                </w:p>
              </w:tc>
            </w:tr>
            <w:tr w14:paraId="7F53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6CF6C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516AF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2052" w:type="dxa"/>
                  <w:vAlign w:val="center"/>
                </w:tcPr>
                <w:p w14:paraId="0F58A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777" w:type="dxa"/>
                  <w:vAlign w:val="center"/>
                </w:tcPr>
                <w:p w14:paraId="56C20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6D85A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3C1033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54814C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重度富营养</w:t>
                  </w:r>
                </w:p>
              </w:tc>
            </w:tr>
            <w:tr w14:paraId="3E66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436726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674A9F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2052" w:type="dxa"/>
                  <w:vAlign w:val="center"/>
                </w:tcPr>
                <w:p w14:paraId="34E58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777" w:type="dxa"/>
                  <w:vAlign w:val="center"/>
                </w:tcPr>
                <w:p w14:paraId="6568C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7FC452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29A9E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751B9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重度富营养</w:t>
                  </w:r>
                </w:p>
              </w:tc>
            </w:tr>
            <w:tr w14:paraId="561A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dxa"/>
                  <w:vMerge w:val="continue"/>
                  <w:vAlign w:val="center"/>
                </w:tcPr>
                <w:p w14:paraId="7B4239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091" w:type="dxa"/>
                  <w:vAlign w:val="center"/>
                </w:tcPr>
                <w:p w14:paraId="3696E1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2052" w:type="dxa"/>
                  <w:vAlign w:val="center"/>
                </w:tcPr>
                <w:p w14:paraId="55638F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777" w:type="dxa"/>
                  <w:vAlign w:val="center"/>
                </w:tcPr>
                <w:p w14:paraId="677F9F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Ⅴ类</w:t>
                  </w:r>
                </w:p>
              </w:tc>
              <w:tc>
                <w:tcPr>
                  <w:tcW w:w="1073" w:type="dxa"/>
                  <w:vMerge w:val="continue"/>
                  <w:vAlign w:val="center"/>
                </w:tcPr>
                <w:p w14:paraId="2615E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1139" w:type="dxa"/>
                  <w:vAlign w:val="center"/>
                </w:tcPr>
                <w:p w14:paraId="31C2D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不达标</w:t>
                  </w:r>
                </w:p>
              </w:tc>
              <w:tc>
                <w:tcPr>
                  <w:tcW w:w="1820" w:type="dxa"/>
                  <w:vAlign w:val="center"/>
                </w:tcPr>
                <w:p w14:paraId="1BF30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中度富营养</w:t>
                  </w:r>
                </w:p>
              </w:tc>
            </w:tr>
          </w:tbl>
          <w:p w14:paraId="4867DCA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综上，项目所在区域属于地表水环境质量不达标区</w:t>
            </w:r>
            <w:r>
              <w:rPr>
                <w:rFonts w:ascii="Times New Roman" w:hAnsi="Times New Roman" w:eastAsia="宋体" w:cs="Times New Roman"/>
                <w:color w:val="auto"/>
                <w:sz w:val="24"/>
                <w:szCs w:val="24"/>
                <w:lang w:eastAsia="zh-CN"/>
              </w:rPr>
              <w:t>。</w:t>
            </w:r>
          </w:p>
          <w:p w14:paraId="4E7F6A86">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潘所海水质不达标主要原因为：一、周围</w:t>
            </w:r>
            <w:r>
              <w:rPr>
                <w:rFonts w:hint="eastAsia" w:ascii="Times New Roman" w:hAnsi="Times New Roman" w:eastAsia="宋体" w:cs="Times New Roman"/>
                <w:i w:val="0"/>
                <w:iCs w:val="0"/>
                <w:caps w:val="0"/>
                <w:color w:val="auto"/>
                <w:spacing w:val="0"/>
                <w:sz w:val="24"/>
                <w:szCs w:val="24"/>
                <w:shd w:val="clear" w:fill="FFFFFF"/>
              </w:rPr>
              <w:t>化工企业、煤矿企业环保管理措施落实还不到位</w:t>
            </w:r>
            <w:r>
              <w:rPr>
                <w:rFonts w:hint="eastAsia" w:ascii="Times New Roman" w:hAnsi="Times New Roman" w:eastAsia="宋体" w:cs="Times New Roman"/>
                <w:i w:val="0"/>
                <w:iCs w:val="0"/>
                <w:caps w:val="0"/>
                <w:color w:val="auto"/>
                <w:spacing w:val="0"/>
                <w:sz w:val="24"/>
                <w:szCs w:val="24"/>
                <w:shd w:val="clear" w:fill="FFFFFF"/>
                <w:lang w:eastAsia="zh-CN"/>
              </w:rPr>
              <w:t>，磷石膏临时堆场扬尘和交通运输泼洒问题比较严重，厂区初期雨水收集不完善，含磷、氟的污染物被雨水冲刷形成地表径流。</w:t>
            </w:r>
            <w:r>
              <w:rPr>
                <w:rFonts w:hint="eastAsia" w:ascii="Times New Roman" w:hAnsi="Times New Roman" w:eastAsia="宋体" w:cs="Times New Roman"/>
                <w:i w:val="0"/>
                <w:iCs w:val="0"/>
                <w:caps w:val="0"/>
                <w:color w:val="auto"/>
                <w:spacing w:val="0"/>
                <w:sz w:val="24"/>
                <w:szCs w:val="24"/>
                <w:shd w:val="clear" w:fill="FFFFFF"/>
                <w:lang w:val="en-US" w:eastAsia="zh-CN"/>
              </w:rPr>
              <w:t>二、</w:t>
            </w:r>
            <w:r>
              <w:rPr>
                <w:rFonts w:hint="eastAsia" w:ascii="Times New Roman" w:hAnsi="Times New Roman" w:eastAsia="宋体" w:cs="Times New Roman"/>
                <w:i w:val="0"/>
                <w:iCs w:val="0"/>
                <w:caps w:val="0"/>
                <w:color w:val="auto"/>
                <w:spacing w:val="0"/>
                <w:sz w:val="24"/>
                <w:szCs w:val="24"/>
                <w:shd w:val="clear" w:fill="FFFFFF"/>
              </w:rPr>
              <w:t>寻甸县金所集镇污水处理厂、塘子集镇污水处理厂、禄劝县云龙乡污水处理厂、撒营盘镇污水处理厂普遍存在管网不配套、进水浓度偏低、运维不善等突出问题，生活污水处理不到位。</w:t>
            </w:r>
            <w:r>
              <w:rPr>
                <w:rFonts w:hint="eastAsia" w:ascii="Times New Roman" w:hAnsi="Times New Roman" w:eastAsia="宋体" w:cs="Times New Roman"/>
                <w:i w:val="0"/>
                <w:iCs w:val="0"/>
                <w:caps w:val="0"/>
                <w:color w:val="auto"/>
                <w:spacing w:val="0"/>
                <w:sz w:val="24"/>
                <w:szCs w:val="24"/>
                <w:shd w:val="clear" w:fill="FFFFFF"/>
                <w:lang w:val="en-US" w:eastAsia="zh-CN"/>
              </w:rPr>
              <w:t>三、流域及河道周边种植、农田尾水未得到有效控制，农业面源污染严重。</w:t>
            </w:r>
          </w:p>
          <w:p w14:paraId="092677CA">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3、声环境质量现状</w:t>
            </w:r>
          </w:p>
          <w:p w14:paraId="23CE43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项目位于</w:t>
            </w:r>
            <w:r>
              <w:rPr>
                <w:rFonts w:hint="eastAsia" w:ascii="Times New Roman" w:hAnsi="Times New Roman" w:eastAsia="宋体" w:cs="Times New Roman"/>
                <w:color w:val="auto"/>
                <w:sz w:val="24"/>
                <w:szCs w:val="24"/>
                <w:lang w:eastAsia="zh-CN"/>
              </w:rPr>
              <w:t>云南省昆明市寻甸回族彝族自治县金所街道办事处泽铁村委会栽开居民小组</w:t>
            </w: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寻甸县</w:t>
            </w:r>
            <w:r>
              <w:rPr>
                <w:rFonts w:ascii="Times New Roman" w:hAnsi="Times New Roman" w:eastAsia="宋体" w:cs="Times New Roman"/>
                <w:color w:val="auto"/>
                <w:sz w:val="24"/>
                <w:szCs w:val="24"/>
                <w:lang w:eastAsia="zh-CN"/>
              </w:rPr>
              <w:t>声环境功能区划分（2019~2029）技术报告》，本项目不在</w:t>
            </w:r>
            <w:r>
              <w:rPr>
                <w:rFonts w:hint="eastAsia" w:ascii="Times New Roman" w:hAnsi="Times New Roman" w:eastAsia="宋体" w:cs="Times New Roman"/>
                <w:color w:val="auto"/>
                <w:sz w:val="24"/>
                <w:szCs w:val="24"/>
                <w:lang w:eastAsia="zh-CN"/>
              </w:rPr>
              <w:t>寻甸县</w:t>
            </w:r>
            <w:r>
              <w:rPr>
                <w:rFonts w:ascii="Times New Roman" w:hAnsi="Times New Roman" w:eastAsia="宋体" w:cs="Times New Roman"/>
                <w:color w:val="auto"/>
                <w:sz w:val="24"/>
                <w:szCs w:val="24"/>
                <w:lang w:eastAsia="zh-CN"/>
              </w:rPr>
              <w:t>声环境功能区划范围内，没有划分声环境功能区，同时根据《声环境质量标准》（GB3096-2008）中7.2--b“村庄原则上执行1类声环境功能区要求，工业活动较多的村庄以及有交通干线经过的村庄（指执行4类声环境功能区要求以外的地区）可局部或全部执行2类声环境功能区要求；”因此，本项目声环境质量执行《声环境质量标准》（GB3096-2008）2类标准。</w:t>
            </w:r>
          </w:p>
          <w:p w14:paraId="3AFE35B2">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.1达标区判定</w:t>
            </w:r>
          </w:p>
          <w:p w14:paraId="455EB9D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根据寻甸县人民政府生态环境信息公开的寻甸县202</w:t>
            </w:r>
            <w:r>
              <w:rPr>
                <w:rFonts w:hint="eastAsia" w:ascii="Times New Roman" w:hAnsi="Times New Roman" w:eastAsia="宋体" w:cs="Times New Roman"/>
                <w:color w:val="auto"/>
                <w:sz w:val="24"/>
                <w:szCs w:val="24"/>
                <w:lang w:val="en-US" w:eastAsia="zh-CN"/>
              </w:rPr>
              <w:t>5</w:t>
            </w:r>
            <w:r>
              <w:rPr>
                <w:rFonts w:ascii="Times New Roman" w:hAnsi="Times New Roman" w:eastAsia="宋体" w:cs="Times New Roman"/>
                <w:color w:val="auto"/>
                <w:sz w:val="24"/>
                <w:szCs w:val="24"/>
                <w:lang w:eastAsia="zh-CN"/>
              </w:rPr>
              <w:t>年第一季度、第二季度、第三季度、第四季度环境质量公报情况，</w:t>
            </w:r>
            <w:r>
              <w:rPr>
                <w:rFonts w:hint="eastAsia" w:ascii="Times New Roman" w:hAnsi="Times New Roman" w:eastAsia="宋体" w:cs="Times New Roman"/>
                <w:color w:val="auto"/>
                <w:sz w:val="24"/>
                <w:szCs w:val="24"/>
                <w:lang w:eastAsia="zh-CN"/>
              </w:rPr>
              <w:t>202</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年</w:t>
            </w:r>
            <w:r>
              <w:rPr>
                <w:rFonts w:ascii="Times New Roman" w:hAnsi="Times New Roman" w:eastAsia="宋体" w:cs="Times New Roman"/>
                <w:color w:val="auto"/>
                <w:sz w:val="24"/>
                <w:szCs w:val="24"/>
                <w:lang w:eastAsia="zh-CN"/>
              </w:rPr>
              <w:t>寻甸县</w:t>
            </w:r>
            <w:r>
              <w:rPr>
                <w:rFonts w:hint="eastAsia" w:ascii="Times New Roman" w:hAnsi="Times New Roman" w:eastAsia="宋体" w:cs="Times New Roman"/>
                <w:color w:val="auto"/>
                <w:sz w:val="24"/>
                <w:szCs w:val="24"/>
                <w:lang w:eastAsia="zh-CN"/>
              </w:rPr>
              <w:t>2类声功能区均</w:t>
            </w:r>
            <w:r>
              <w:rPr>
                <w:rFonts w:ascii="Times New Roman" w:hAnsi="Times New Roman" w:eastAsia="宋体" w:cs="Times New Roman"/>
                <w:color w:val="auto"/>
                <w:sz w:val="24"/>
                <w:szCs w:val="24"/>
                <w:lang w:eastAsia="zh-CN"/>
              </w:rPr>
              <w:t>能达到《声环境质量标准》（GB3096-2008）2类标准，</w:t>
            </w:r>
            <w:r>
              <w:rPr>
                <w:rFonts w:hint="eastAsia" w:ascii="Times New Roman" w:hAnsi="Times New Roman" w:eastAsia="宋体" w:cs="Times New Roman"/>
                <w:color w:val="auto"/>
                <w:sz w:val="24"/>
                <w:szCs w:val="24"/>
                <w:lang w:eastAsia="zh-CN"/>
              </w:rPr>
              <w:t>详见下表</w:t>
            </w:r>
            <w:r>
              <w:rPr>
                <w:rFonts w:ascii="Times New Roman" w:hAnsi="Times New Roman" w:eastAsia="宋体" w:cs="Times New Roman"/>
                <w:color w:val="auto"/>
                <w:sz w:val="24"/>
                <w:szCs w:val="24"/>
                <w:lang w:eastAsia="zh-CN"/>
              </w:rPr>
              <w:t>。</w:t>
            </w:r>
          </w:p>
          <w:p w14:paraId="5E0D491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表3-4 寻甸县202</w:t>
            </w:r>
            <w:r>
              <w:rPr>
                <w:rFonts w:hint="eastAsia" w:ascii="Times New Roman" w:hAnsi="Times New Roman" w:eastAsia="宋体" w:cs="Times New Roman"/>
                <w:b/>
                <w:bCs/>
                <w:color w:val="auto"/>
                <w:sz w:val="24"/>
                <w:szCs w:val="24"/>
                <w:lang w:val="en-US" w:eastAsia="zh-CN"/>
              </w:rPr>
              <w:t>5</w:t>
            </w:r>
            <w:r>
              <w:rPr>
                <w:rFonts w:hint="eastAsia" w:ascii="Times New Roman" w:hAnsi="Times New Roman" w:eastAsia="宋体" w:cs="Times New Roman"/>
                <w:b/>
                <w:bCs/>
                <w:color w:val="auto"/>
                <w:sz w:val="24"/>
                <w:szCs w:val="24"/>
                <w:lang w:eastAsia="zh-CN"/>
              </w:rPr>
              <w:t>年环境质量公报2类区噪声监测数据</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696"/>
              <w:gridCol w:w="3193"/>
              <w:gridCol w:w="573"/>
              <w:gridCol w:w="709"/>
              <w:gridCol w:w="850"/>
              <w:gridCol w:w="962"/>
              <w:gridCol w:w="701"/>
            </w:tblGrid>
            <w:tr w14:paraId="41E1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restart"/>
                  <w:vAlign w:val="center"/>
                </w:tcPr>
                <w:p w14:paraId="3EB926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监测</w:t>
                  </w:r>
                  <w:r>
                    <w:rPr>
                      <w:rFonts w:hint="eastAsia" w:ascii="Times New Roman" w:hAnsi="Times New Roman" w:eastAsia="宋体" w:cs="Times New Roman"/>
                      <w:b/>
                      <w:bCs/>
                      <w:color w:val="auto"/>
                      <w:lang w:eastAsia="zh-CN"/>
                    </w:rPr>
                    <w:t>点位</w:t>
                  </w:r>
                </w:p>
              </w:tc>
              <w:tc>
                <w:tcPr>
                  <w:tcW w:w="3889" w:type="dxa"/>
                  <w:gridSpan w:val="2"/>
                  <w:vAlign w:val="center"/>
                </w:tcPr>
                <w:p w14:paraId="5FF5E4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寻甸县202</w:t>
                  </w:r>
                  <w:r>
                    <w:rPr>
                      <w:rFonts w:hint="eastAsia" w:ascii="Times New Roman" w:hAnsi="Times New Roman" w:eastAsia="宋体" w:cs="Times New Roman"/>
                      <w:b/>
                      <w:bCs/>
                      <w:color w:val="auto"/>
                      <w:lang w:val="en-US" w:eastAsia="zh-CN"/>
                    </w:rPr>
                    <w:t>5</w:t>
                  </w:r>
                  <w:r>
                    <w:rPr>
                      <w:rFonts w:ascii="Times New Roman" w:hAnsi="Times New Roman" w:eastAsia="宋体" w:cs="Times New Roman"/>
                      <w:b/>
                      <w:bCs/>
                      <w:color w:val="auto"/>
                      <w:lang w:eastAsia="zh-CN"/>
                    </w:rPr>
                    <w:t>年环境质量公报</w:t>
                  </w:r>
                </w:p>
              </w:tc>
              <w:tc>
                <w:tcPr>
                  <w:tcW w:w="1282" w:type="dxa"/>
                  <w:gridSpan w:val="2"/>
                  <w:vMerge w:val="restart"/>
                  <w:vAlign w:val="center"/>
                </w:tcPr>
                <w:p w14:paraId="7740F8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监测值</w:t>
                  </w:r>
                </w:p>
              </w:tc>
              <w:tc>
                <w:tcPr>
                  <w:tcW w:w="850" w:type="dxa"/>
                  <w:vMerge w:val="restart"/>
                  <w:vAlign w:val="center"/>
                </w:tcPr>
                <w:p w14:paraId="1297D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达标率</w:t>
                  </w:r>
                </w:p>
              </w:tc>
              <w:tc>
                <w:tcPr>
                  <w:tcW w:w="962" w:type="dxa"/>
                  <w:vMerge w:val="restart"/>
                  <w:vAlign w:val="center"/>
                </w:tcPr>
                <w:p w14:paraId="6571B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执行</w:t>
                  </w:r>
                </w:p>
                <w:p w14:paraId="56A269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标准</w:t>
                  </w:r>
                </w:p>
              </w:tc>
              <w:tc>
                <w:tcPr>
                  <w:tcW w:w="701" w:type="dxa"/>
                  <w:vMerge w:val="restart"/>
                  <w:vAlign w:val="center"/>
                </w:tcPr>
                <w:p w14:paraId="2FC8B5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达标情况</w:t>
                  </w:r>
                </w:p>
              </w:tc>
            </w:tr>
            <w:tr w14:paraId="06AC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6" w:type="dxa"/>
                  <w:vMerge w:val="continue"/>
                  <w:vAlign w:val="center"/>
                </w:tcPr>
                <w:p w14:paraId="14F94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Align w:val="center"/>
                </w:tcPr>
                <w:p w14:paraId="3AB0DC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季度</w:t>
                  </w:r>
                </w:p>
              </w:tc>
              <w:tc>
                <w:tcPr>
                  <w:tcW w:w="3193" w:type="dxa"/>
                  <w:vAlign w:val="center"/>
                </w:tcPr>
                <w:p w14:paraId="2DFE74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网址</w:t>
                  </w:r>
                </w:p>
              </w:tc>
              <w:tc>
                <w:tcPr>
                  <w:tcW w:w="1282" w:type="dxa"/>
                  <w:gridSpan w:val="2"/>
                  <w:vMerge w:val="continue"/>
                  <w:vAlign w:val="center"/>
                </w:tcPr>
                <w:p w14:paraId="15C12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850" w:type="dxa"/>
                  <w:vMerge w:val="continue"/>
                  <w:vAlign w:val="center"/>
                </w:tcPr>
                <w:p w14:paraId="2DB2D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962" w:type="dxa"/>
                  <w:vMerge w:val="continue"/>
                  <w:vAlign w:val="center"/>
                </w:tcPr>
                <w:p w14:paraId="413D2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61975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04F9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restart"/>
                  <w:vAlign w:val="center"/>
                </w:tcPr>
                <w:p w14:paraId="11607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2类区（公安局办公大楼东）</w:t>
                  </w:r>
                </w:p>
              </w:tc>
              <w:tc>
                <w:tcPr>
                  <w:tcW w:w="696" w:type="dxa"/>
                  <w:vMerge w:val="restart"/>
                  <w:vAlign w:val="center"/>
                </w:tcPr>
                <w:p w14:paraId="3E034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第一季度</w:t>
                  </w:r>
                </w:p>
              </w:tc>
              <w:tc>
                <w:tcPr>
                  <w:tcW w:w="3193" w:type="dxa"/>
                  <w:vMerge w:val="restart"/>
                  <w:vAlign w:val="center"/>
                </w:tcPr>
                <w:p w14:paraId="200BF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http://www.kmxd.gov.cn/c/2025-04-22/6998955.shtml</w:t>
                  </w:r>
                </w:p>
              </w:tc>
              <w:tc>
                <w:tcPr>
                  <w:tcW w:w="573" w:type="dxa"/>
                  <w:vAlign w:val="center"/>
                </w:tcPr>
                <w:p w14:paraId="06FE0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5B2A16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r>
                    <w:rPr>
                      <w:rFonts w:hint="eastAsia" w:ascii="Times New Roman" w:hAnsi="Times New Roman" w:eastAsia="宋体" w:cs="Times New Roman"/>
                      <w:color w:val="auto"/>
                      <w:lang w:val="en-US" w:eastAsia="zh-CN"/>
                    </w:rPr>
                    <w:t>0</w:t>
                  </w:r>
                  <w:r>
                    <w:rPr>
                      <w:rFonts w:hint="eastAsia" w:ascii="Times New Roman" w:hAnsi="Times New Roman" w:eastAsia="宋体" w:cs="Times New Roman"/>
                      <w:color w:val="auto"/>
                      <w:lang w:eastAsia="zh-CN"/>
                    </w:rPr>
                    <w:t>.1</w:t>
                  </w:r>
                </w:p>
              </w:tc>
              <w:tc>
                <w:tcPr>
                  <w:tcW w:w="850" w:type="dxa"/>
                  <w:vAlign w:val="center"/>
                </w:tcPr>
                <w:p w14:paraId="78A185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restart"/>
                  <w:vAlign w:val="center"/>
                </w:tcPr>
                <w:p w14:paraId="67793E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《声环境质量标准》（GB3096-2008）2类标准</w:t>
                  </w:r>
                </w:p>
              </w:tc>
              <w:tc>
                <w:tcPr>
                  <w:tcW w:w="701" w:type="dxa"/>
                  <w:vMerge w:val="restart"/>
                  <w:vAlign w:val="center"/>
                </w:tcPr>
                <w:p w14:paraId="31682F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253A2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7E12FE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39B1B6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71A2A7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07F0A2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359ABC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39.</w:t>
                  </w:r>
                  <w:r>
                    <w:rPr>
                      <w:rFonts w:hint="eastAsia" w:ascii="Times New Roman" w:hAnsi="Times New Roman" w:eastAsia="宋体" w:cs="Times New Roman"/>
                      <w:color w:val="auto"/>
                      <w:lang w:val="en-US" w:eastAsia="zh-CN"/>
                    </w:rPr>
                    <w:t>5</w:t>
                  </w:r>
                </w:p>
              </w:tc>
              <w:tc>
                <w:tcPr>
                  <w:tcW w:w="850" w:type="dxa"/>
                  <w:vAlign w:val="center"/>
                </w:tcPr>
                <w:p w14:paraId="0C514E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26363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0A060D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4CFA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4276E3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6604C4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第二季度</w:t>
                  </w:r>
                </w:p>
              </w:tc>
              <w:tc>
                <w:tcPr>
                  <w:tcW w:w="3193" w:type="dxa"/>
                  <w:vMerge w:val="restart"/>
                  <w:vAlign w:val="center"/>
                </w:tcPr>
                <w:p w14:paraId="5FF85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http://www.kmxd.gov.cn/c/2025-07-11/7029412.shtml</w:t>
                  </w:r>
                </w:p>
              </w:tc>
              <w:tc>
                <w:tcPr>
                  <w:tcW w:w="573" w:type="dxa"/>
                  <w:vAlign w:val="center"/>
                </w:tcPr>
                <w:p w14:paraId="5493BE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431135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1</w:t>
                  </w:r>
                </w:p>
              </w:tc>
              <w:tc>
                <w:tcPr>
                  <w:tcW w:w="850" w:type="dxa"/>
                  <w:vAlign w:val="center"/>
                </w:tcPr>
                <w:p w14:paraId="0638F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525150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149256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6C9BD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4E8935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00DDB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554468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3C5D0B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58872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37.8</w:t>
                  </w:r>
                </w:p>
              </w:tc>
              <w:tc>
                <w:tcPr>
                  <w:tcW w:w="850" w:type="dxa"/>
                  <w:vAlign w:val="center"/>
                </w:tcPr>
                <w:p w14:paraId="530DA8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4E0BF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3B05E7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566BC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324FFA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414E67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第三季度</w:t>
                  </w:r>
                </w:p>
              </w:tc>
              <w:tc>
                <w:tcPr>
                  <w:tcW w:w="3193" w:type="dxa"/>
                  <w:vMerge w:val="restart"/>
                  <w:vAlign w:val="center"/>
                </w:tcPr>
                <w:p w14:paraId="77D8F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http://www.kmxd.gov.cn/c/2025-10-15/7062686.shtml</w:t>
                  </w:r>
                </w:p>
              </w:tc>
              <w:tc>
                <w:tcPr>
                  <w:tcW w:w="573" w:type="dxa"/>
                  <w:vAlign w:val="center"/>
                </w:tcPr>
                <w:p w14:paraId="58E696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2125E7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5</w:t>
                  </w:r>
                </w:p>
              </w:tc>
              <w:tc>
                <w:tcPr>
                  <w:tcW w:w="850" w:type="dxa"/>
                  <w:vAlign w:val="center"/>
                </w:tcPr>
                <w:p w14:paraId="46320F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09766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1E0C3C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34333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706" w:type="dxa"/>
                  <w:vMerge w:val="continue"/>
                  <w:vAlign w:val="center"/>
                </w:tcPr>
                <w:p w14:paraId="00B695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696" w:type="dxa"/>
                  <w:vMerge w:val="continue"/>
                  <w:vAlign w:val="center"/>
                </w:tcPr>
                <w:p w14:paraId="778270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3193" w:type="dxa"/>
                  <w:vMerge w:val="continue"/>
                  <w:vAlign w:val="center"/>
                </w:tcPr>
                <w:p w14:paraId="62112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rPr>
                  </w:pPr>
                </w:p>
              </w:tc>
              <w:tc>
                <w:tcPr>
                  <w:tcW w:w="573" w:type="dxa"/>
                  <w:vAlign w:val="center"/>
                </w:tcPr>
                <w:p w14:paraId="469BF6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684D0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40.0</w:t>
                  </w:r>
                </w:p>
              </w:tc>
              <w:tc>
                <w:tcPr>
                  <w:tcW w:w="850" w:type="dxa"/>
                  <w:vAlign w:val="center"/>
                </w:tcPr>
                <w:p w14:paraId="6D3A3D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6E5DF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25186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r w14:paraId="2FBAB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6" w:type="dxa"/>
                  <w:vMerge w:val="continue"/>
                  <w:vAlign w:val="center"/>
                </w:tcPr>
                <w:p w14:paraId="2C6B08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restart"/>
                  <w:vAlign w:val="center"/>
                </w:tcPr>
                <w:p w14:paraId="2136C0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第四季度</w:t>
                  </w:r>
                </w:p>
              </w:tc>
              <w:tc>
                <w:tcPr>
                  <w:tcW w:w="3193" w:type="dxa"/>
                  <w:vMerge w:val="restart"/>
                  <w:vAlign w:val="center"/>
                </w:tcPr>
                <w:p w14:paraId="4C87FC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http://www.kmxd.gov.cn/c/2026-01-14/7097121.shtml</w:t>
                  </w:r>
                </w:p>
              </w:tc>
              <w:tc>
                <w:tcPr>
                  <w:tcW w:w="573" w:type="dxa"/>
                  <w:vAlign w:val="center"/>
                </w:tcPr>
                <w:p w14:paraId="17EA22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昼</w:t>
                  </w:r>
                </w:p>
              </w:tc>
              <w:tc>
                <w:tcPr>
                  <w:tcW w:w="709" w:type="dxa"/>
                  <w:vAlign w:val="center"/>
                </w:tcPr>
                <w:p w14:paraId="0C284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4</w:t>
                  </w:r>
                  <w:r>
                    <w:rPr>
                      <w:rFonts w:hint="eastAsia" w:ascii="Times New Roman" w:hAnsi="Times New Roman" w:eastAsia="宋体" w:cs="Times New Roman"/>
                      <w:color w:val="auto"/>
                      <w:lang w:val="en-US" w:eastAsia="zh-CN"/>
                    </w:rPr>
                    <w:t>6.5</w:t>
                  </w:r>
                </w:p>
              </w:tc>
              <w:tc>
                <w:tcPr>
                  <w:tcW w:w="850" w:type="dxa"/>
                  <w:vAlign w:val="center"/>
                </w:tcPr>
                <w:p w14:paraId="00F84D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50B790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restart"/>
                  <w:vAlign w:val="center"/>
                </w:tcPr>
                <w:p w14:paraId="2D3D9C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4376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06" w:type="dxa"/>
                  <w:vMerge w:val="continue"/>
                  <w:vAlign w:val="center"/>
                </w:tcPr>
                <w:p w14:paraId="2A25D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696" w:type="dxa"/>
                  <w:vMerge w:val="continue"/>
                  <w:vAlign w:val="center"/>
                </w:tcPr>
                <w:p w14:paraId="08A093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3193" w:type="dxa"/>
                  <w:vMerge w:val="continue"/>
                  <w:vAlign w:val="center"/>
                </w:tcPr>
                <w:p w14:paraId="13355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573" w:type="dxa"/>
                  <w:vAlign w:val="center"/>
                </w:tcPr>
                <w:p w14:paraId="001FC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夜</w:t>
                  </w:r>
                </w:p>
              </w:tc>
              <w:tc>
                <w:tcPr>
                  <w:tcW w:w="709" w:type="dxa"/>
                  <w:vAlign w:val="center"/>
                </w:tcPr>
                <w:p w14:paraId="5EE8BE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r>
                    <w:rPr>
                      <w:rFonts w:hint="eastAsia" w:ascii="Times New Roman" w:hAnsi="Times New Roman" w:eastAsia="宋体" w:cs="Times New Roman"/>
                      <w:color w:val="auto"/>
                      <w:lang w:val="en-US" w:eastAsia="zh-CN"/>
                    </w:rPr>
                    <w:t>7</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2</w:t>
                  </w:r>
                </w:p>
              </w:tc>
              <w:tc>
                <w:tcPr>
                  <w:tcW w:w="850" w:type="dxa"/>
                  <w:vAlign w:val="center"/>
                </w:tcPr>
                <w:p w14:paraId="21F07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962" w:type="dxa"/>
                  <w:vMerge w:val="continue"/>
                  <w:vAlign w:val="center"/>
                </w:tcPr>
                <w:p w14:paraId="20B6AB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c>
                <w:tcPr>
                  <w:tcW w:w="701" w:type="dxa"/>
                  <w:vMerge w:val="continue"/>
                  <w:vAlign w:val="center"/>
                </w:tcPr>
                <w:p w14:paraId="1AD6F4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p>
              </w:tc>
            </w:tr>
          </w:tbl>
          <w:p w14:paraId="32198B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综上，项目所在区域属于声环境质量达标区</w:t>
            </w:r>
            <w:r>
              <w:rPr>
                <w:rFonts w:ascii="Times New Roman" w:hAnsi="Times New Roman" w:eastAsia="宋体" w:cs="Times New Roman"/>
                <w:color w:val="auto"/>
                <w:sz w:val="24"/>
                <w:szCs w:val="24"/>
                <w:lang w:eastAsia="zh-CN"/>
              </w:rPr>
              <w:t>。</w:t>
            </w:r>
          </w:p>
          <w:p w14:paraId="191C7DD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.2补充监测</w:t>
            </w:r>
          </w:p>
          <w:p w14:paraId="75158B6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为</w:t>
            </w:r>
            <w:r>
              <w:rPr>
                <w:rFonts w:ascii="Times New Roman" w:hAnsi="Times New Roman" w:eastAsia="宋体" w:cs="Times New Roman"/>
                <w:color w:val="auto"/>
                <w:sz w:val="24"/>
                <w:szCs w:val="24"/>
                <w:lang w:eastAsia="zh-CN"/>
              </w:rPr>
              <w:t>了解项目</w:t>
            </w:r>
            <w:r>
              <w:rPr>
                <w:rFonts w:hint="eastAsia" w:ascii="Times New Roman" w:hAnsi="Times New Roman" w:eastAsia="宋体" w:cs="Times New Roman"/>
                <w:color w:val="auto"/>
                <w:sz w:val="24"/>
                <w:szCs w:val="24"/>
                <w:lang w:eastAsia="zh-CN"/>
              </w:rPr>
              <w:t>附近保护目标处声</w:t>
            </w:r>
            <w:r>
              <w:rPr>
                <w:rFonts w:ascii="Times New Roman" w:hAnsi="Times New Roman" w:eastAsia="宋体" w:cs="Times New Roman"/>
                <w:color w:val="auto"/>
                <w:sz w:val="24"/>
                <w:szCs w:val="24"/>
                <w:lang w:eastAsia="zh-CN"/>
              </w:rPr>
              <w:t>环境质量，202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-21日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声环境进行监测。</w:t>
            </w:r>
          </w:p>
          <w:p w14:paraId="5691115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（1）监测点位：N1项目区东侧泽铁社区散户</w:t>
            </w:r>
          </w:p>
          <w:p w14:paraId="1653B97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（2）监测因子：等效A声级LAeq。</w:t>
            </w:r>
          </w:p>
          <w:p w14:paraId="24FF935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（3）监测频率：连续监测2天，每天昼夜各1次。</w:t>
            </w:r>
          </w:p>
          <w:p w14:paraId="7BC3C9B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（4）监测结果如下。</w:t>
            </w:r>
          </w:p>
          <w:p w14:paraId="211E6745">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表3-5 环境噪声质量现状监测结果表 单位：[dB (A)]</w:t>
            </w:r>
          </w:p>
          <w:tbl>
            <w:tblPr>
              <w:tblStyle w:val="29"/>
              <w:tblW w:w="83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65"/>
              <w:gridCol w:w="1605"/>
              <w:gridCol w:w="1605"/>
              <w:gridCol w:w="1605"/>
              <w:gridCol w:w="1610"/>
            </w:tblGrid>
            <w:tr w14:paraId="61639F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restart"/>
                  <w:vAlign w:val="center"/>
                </w:tcPr>
                <w:p w14:paraId="266C8A3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8"/>
                    </w:rPr>
                    <w:t>点</w:t>
                  </w:r>
                  <w:r>
                    <w:rPr>
                      <w:rFonts w:hint="eastAsia" w:ascii="Times New Roman" w:hAnsi="Times New Roman" w:eastAsia="宋体" w:cs="Times New Roman"/>
                      <w:color w:val="auto"/>
                      <w:spacing w:val="8"/>
                      <w:lang w:eastAsia="zh-CN"/>
                    </w:rPr>
                    <w:t>位</w:t>
                  </w:r>
                </w:p>
              </w:tc>
              <w:tc>
                <w:tcPr>
                  <w:tcW w:w="6077" w:type="dxa"/>
                  <w:gridSpan w:val="4"/>
                  <w:vAlign w:val="center"/>
                </w:tcPr>
                <w:p w14:paraId="2CFF837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2025年8月20日</w:t>
                  </w:r>
                </w:p>
              </w:tc>
            </w:tr>
            <w:tr w14:paraId="11E8B9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5F79747">
                  <w:pPr>
                    <w:kinsoku/>
                    <w:overflowPunct w:val="0"/>
                    <w:autoSpaceDE/>
                    <w:autoSpaceDN/>
                    <w:adjustRightInd/>
                    <w:snapToGrid/>
                    <w:jc w:val="center"/>
                    <w:rPr>
                      <w:rFonts w:ascii="Times New Roman" w:hAnsi="Times New Roman" w:eastAsia="宋体" w:cs="Times New Roman"/>
                      <w:color w:val="auto"/>
                    </w:rPr>
                  </w:pPr>
                </w:p>
              </w:tc>
              <w:tc>
                <w:tcPr>
                  <w:tcW w:w="1518" w:type="dxa"/>
                  <w:vAlign w:val="center"/>
                </w:tcPr>
                <w:p w14:paraId="4673640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7"/>
                    </w:rPr>
                    <w:t>检测时段</w:t>
                  </w:r>
                </w:p>
              </w:tc>
              <w:tc>
                <w:tcPr>
                  <w:tcW w:w="1518" w:type="dxa"/>
                  <w:vAlign w:val="center"/>
                </w:tcPr>
                <w:p w14:paraId="53D0FCD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6"/>
                    </w:rPr>
                    <w:t>测量值</w:t>
                  </w:r>
                </w:p>
              </w:tc>
              <w:tc>
                <w:tcPr>
                  <w:tcW w:w="1518" w:type="dxa"/>
                  <w:vAlign w:val="center"/>
                </w:tcPr>
                <w:p w14:paraId="13819D7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标准值</w:t>
                  </w:r>
                </w:p>
              </w:tc>
              <w:tc>
                <w:tcPr>
                  <w:tcW w:w="1523" w:type="dxa"/>
                  <w:vAlign w:val="center"/>
                </w:tcPr>
                <w:p w14:paraId="6E82259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14:paraId="2A70D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restart"/>
                  <w:vAlign w:val="center"/>
                </w:tcPr>
                <w:p w14:paraId="280FB4D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8"/>
                      <w:sz w:val="21"/>
                      <w:szCs w:val="21"/>
                      <w:lang w:eastAsia="zh-CN"/>
                    </w:rPr>
                    <w:t>N1项目区东侧</w:t>
                  </w:r>
                  <w:r>
                    <w:rPr>
                      <w:rFonts w:hint="eastAsia" w:ascii="Times New Roman" w:hAnsi="Times New Roman" w:eastAsia="宋体" w:cs="Times New Roman"/>
                      <w:color w:val="auto"/>
                      <w:spacing w:val="8"/>
                      <w:sz w:val="21"/>
                      <w:szCs w:val="21"/>
                      <w:lang w:eastAsia="zh-CN"/>
                    </w:rPr>
                    <w:t>泽铁社区</w:t>
                  </w:r>
                  <w:r>
                    <w:rPr>
                      <w:rFonts w:ascii="Times New Roman" w:hAnsi="Times New Roman" w:eastAsia="宋体" w:cs="Times New Roman"/>
                      <w:color w:val="auto"/>
                      <w:spacing w:val="8"/>
                      <w:sz w:val="21"/>
                      <w:szCs w:val="21"/>
                      <w:lang w:eastAsia="zh-CN"/>
                    </w:rPr>
                    <w:t>散</w:t>
                  </w:r>
                  <w:r>
                    <w:rPr>
                      <w:rFonts w:ascii="Times New Roman" w:hAnsi="Times New Roman" w:eastAsia="宋体" w:cs="Times New Roman"/>
                      <w:color w:val="auto"/>
                      <w:sz w:val="21"/>
                      <w:szCs w:val="21"/>
                      <w:lang w:eastAsia="zh-CN"/>
                    </w:rPr>
                    <w:t>户</w:t>
                  </w:r>
                </w:p>
              </w:tc>
              <w:tc>
                <w:tcPr>
                  <w:tcW w:w="1518" w:type="dxa"/>
                  <w:vAlign w:val="center"/>
                </w:tcPr>
                <w:p w14:paraId="7D99476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15</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06~</w:t>
                  </w:r>
                  <w:r>
                    <w:rPr>
                      <w:rFonts w:ascii="Times New Roman" w:hAnsi="Times New Roman" w:eastAsia="宋体" w:cs="Times New Roman"/>
                      <w:color w:val="auto"/>
                      <w:spacing w:val="-26"/>
                      <w:sz w:val="21"/>
                      <w:szCs w:val="21"/>
                      <w:lang w:eastAsia="zh-CN"/>
                    </w:rPr>
                    <w:t xml:space="preserve"> </w:t>
                  </w:r>
                  <w:r>
                    <w:rPr>
                      <w:rFonts w:ascii="Times New Roman" w:hAnsi="Times New Roman" w:eastAsia="宋体" w:cs="Times New Roman"/>
                      <w:color w:val="auto"/>
                      <w:sz w:val="21"/>
                      <w:szCs w:val="21"/>
                      <w:lang w:eastAsia="zh-CN"/>
                    </w:rPr>
                    <w:t>15</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16</w:t>
                  </w:r>
                </w:p>
              </w:tc>
              <w:tc>
                <w:tcPr>
                  <w:tcW w:w="1518" w:type="dxa"/>
                  <w:vAlign w:val="center"/>
                </w:tcPr>
                <w:p w14:paraId="7C5586E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57</w:t>
                  </w:r>
                </w:p>
              </w:tc>
              <w:tc>
                <w:tcPr>
                  <w:tcW w:w="1518" w:type="dxa"/>
                  <w:vAlign w:val="center"/>
                </w:tcPr>
                <w:p w14:paraId="7824F3D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60</w:t>
                  </w:r>
                </w:p>
              </w:tc>
              <w:tc>
                <w:tcPr>
                  <w:tcW w:w="1523" w:type="dxa"/>
                  <w:vAlign w:val="center"/>
                </w:tcPr>
                <w:p w14:paraId="3CABEB5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582EA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50D2B1C">
                  <w:pPr>
                    <w:pStyle w:val="30"/>
                    <w:kinsoku/>
                    <w:overflowPunct w:val="0"/>
                    <w:autoSpaceDE/>
                    <w:autoSpaceDN/>
                    <w:adjustRightInd/>
                    <w:snapToGrid/>
                    <w:jc w:val="center"/>
                    <w:rPr>
                      <w:rFonts w:ascii="Times New Roman" w:hAnsi="Times New Roman" w:eastAsia="宋体" w:cs="Times New Roman"/>
                      <w:color w:val="auto"/>
                      <w:spacing w:val="8"/>
                      <w:sz w:val="21"/>
                      <w:szCs w:val="21"/>
                      <w:lang w:eastAsia="zh-CN"/>
                    </w:rPr>
                  </w:pPr>
                </w:p>
              </w:tc>
              <w:tc>
                <w:tcPr>
                  <w:tcW w:w="1518" w:type="dxa"/>
                  <w:vAlign w:val="center"/>
                </w:tcPr>
                <w:p w14:paraId="253B9E6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4"/>
                      <w:sz w:val="21"/>
                      <w:szCs w:val="21"/>
                      <w:lang w:eastAsia="zh-CN"/>
                    </w:rPr>
                    <w:t>22</w:t>
                  </w:r>
                  <w:r>
                    <w:rPr>
                      <w:rFonts w:hint="eastAsia" w:ascii="Times New Roman" w:hAnsi="Times New Roman" w:eastAsia="宋体" w:cs="Times New Roman"/>
                      <w:color w:val="auto"/>
                      <w:spacing w:val="4"/>
                      <w:sz w:val="21"/>
                      <w:szCs w:val="21"/>
                      <w:lang w:eastAsia="zh-CN"/>
                    </w:rPr>
                    <w:t>:</w:t>
                  </w:r>
                  <w:r>
                    <w:rPr>
                      <w:rFonts w:ascii="Times New Roman" w:hAnsi="Times New Roman" w:eastAsia="宋体" w:cs="Times New Roman"/>
                      <w:color w:val="auto"/>
                      <w:spacing w:val="4"/>
                      <w:sz w:val="21"/>
                      <w:szCs w:val="21"/>
                      <w:lang w:eastAsia="zh-CN"/>
                    </w:rPr>
                    <w:t>27~22</w:t>
                  </w:r>
                  <w:r>
                    <w:rPr>
                      <w:rFonts w:hint="eastAsia" w:ascii="Times New Roman" w:hAnsi="Times New Roman" w:eastAsia="宋体" w:cs="Times New Roman"/>
                      <w:color w:val="auto"/>
                      <w:spacing w:val="4"/>
                      <w:sz w:val="21"/>
                      <w:szCs w:val="21"/>
                      <w:lang w:eastAsia="zh-CN"/>
                    </w:rPr>
                    <w:t>:</w:t>
                  </w:r>
                  <w:r>
                    <w:rPr>
                      <w:rFonts w:ascii="Times New Roman" w:hAnsi="Times New Roman" w:eastAsia="宋体" w:cs="Times New Roman"/>
                      <w:color w:val="auto"/>
                      <w:spacing w:val="4"/>
                      <w:sz w:val="21"/>
                      <w:szCs w:val="21"/>
                      <w:lang w:eastAsia="zh-CN"/>
                    </w:rPr>
                    <w:t>37</w:t>
                  </w:r>
                </w:p>
              </w:tc>
              <w:tc>
                <w:tcPr>
                  <w:tcW w:w="1518" w:type="dxa"/>
                  <w:vAlign w:val="center"/>
                </w:tcPr>
                <w:p w14:paraId="7B39797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46</w:t>
                  </w:r>
                </w:p>
              </w:tc>
              <w:tc>
                <w:tcPr>
                  <w:tcW w:w="1518" w:type="dxa"/>
                  <w:vAlign w:val="center"/>
                </w:tcPr>
                <w:p w14:paraId="66F68B99">
                  <w:pPr>
                    <w:pStyle w:val="30"/>
                    <w:kinsoku/>
                    <w:overflowPunct w:val="0"/>
                    <w:autoSpaceDE/>
                    <w:autoSpaceDN/>
                    <w:adjustRightInd/>
                    <w:snapToGrid/>
                    <w:jc w:val="center"/>
                    <w:rPr>
                      <w:rFonts w:ascii="Times New Roman" w:hAnsi="Times New Roman" w:eastAsia="宋体" w:cs="Times New Roman"/>
                      <w:color w:val="auto"/>
                      <w:spacing w:val="4"/>
                      <w:sz w:val="21"/>
                      <w:szCs w:val="21"/>
                      <w:lang w:eastAsia="zh-CN"/>
                    </w:rPr>
                  </w:pPr>
                  <w:r>
                    <w:rPr>
                      <w:rFonts w:hint="eastAsia" w:ascii="Times New Roman" w:hAnsi="Times New Roman" w:eastAsia="宋体" w:cs="Times New Roman"/>
                      <w:color w:val="auto"/>
                      <w:spacing w:val="4"/>
                      <w:sz w:val="21"/>
                      <w:szCs w:val="21"/>
                      <w:lang w:eastAsia="zh-CN"/>
                    </w:rPr>
                    <w:t>50</w:t>
                  </w:r>
                </w:p>
              </w:tc>
              <w:tc>
                <w:tcPr>
                  <w:tcW w:w="1523" w:type="dxa"/>
                  <w:vAlign w:val="center"/>
                </w:tcPr>
                <w:p w14:paraId="1B5648AC">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z w:val="21"/>
                      <w:szCs w:val="21"/>
                      <w:lang w:eastAsia="zh-CN"/>
                    </w:rPr>
                    <w:t>达标</w:t>
                  </w:r>
                </w:p>
              </w:tc>
            </w:tr>
            <w:tr w14:paraId="12727D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1163FC65">
                  <w:pPr>
                    <w:kinsoku/>
                    <w:overflowPunct w:val="0"/>
                    <w:autoSpaceDE/>
                    <w:autoSpaceDN/>
                    <w:adjustRightInd/>
                    <w:snapToGrid/>
                    <w:jc w:val="center"/>
                    <w:rPr>
                      <w:rFonts w:ascii="Times New Roman" w:hAnsi="Times New Roman" w:eastAsia="宋体" w:cs="Times New Roman"/>
                      <w:color w:val="auto"/>
                      <w:lang w:eastAsia="zh-CN"/>
                    </w:rPr>
                  </w:pPr>
                </w:p>
              </w:tc>
              <w:tc>
                <w:tcPr>
                  <w:tcW w:w="6077" w:type="dxa"/>
                  <w:gridSpan w:val="4"/>
                  <w:vAlign w:val="center"/>
                </w:tcPr>
                <w:p w14:paraId="43D661C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2025年8月21日</w:t>
                  </w:r>
                </w:p>
              </w:tc>
            </w:tr>
            <w:tr w14:paraId="17753B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4D564E2F">
                  <w:pPr>
                    <w:kinsoku/>
                    <w:overflowPunct w:val="0"/>
                    <w:autoSpaceDE/>
                    <w:autoSpaceDN/>
                    <w:adjustRightInd/>
                    <w:snapToGrid/>
                    <w:jc w:val="center"/>
                    <w:rPr>
                      <w:rFonts w:ascii="Times New Roman" w:hAnsi="Times New Roman" w:eastAsia="宋体" w:cs="Times New Roman"/>
                      <w:color w:val="auto"/>
                      <w:lang w:eastAsia="zh-CN"/>
                    </w:rPr>
                  </w:pPr>
                </w:p>
              </w:tc>
              <w:tc>
                <w:tcPr>
                  <w:tcW w:w="1518" w:type="dxa"/>
                  <w:vAlign w:val="center"/>
                </w:tcPr>
                <w:p w14:paraId="03022D6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7"/>
                      <w:lang w:eastAsia="zh-CN"/>
                    </w:rPr>
                    <w:t>检测时段</w:t>
                  </w:r>
                </w:p>
              </w:tc>
              <w:tc>
                <w:tcPr>
                  <w:tcW w:w="1518" w:type="dxa"/>
                  <w:vAlign w:val="center"/>
                </w:tcPr>
                <w:p w14:paraId="05958BF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6"/>
                      <w:lang w:eastAsia="zh-CN"/>
                    </w:rPr>
                    <w:t>测量值</w:t>
                  </w:r>
                </w:p>
              </w:tc>
              <w:tc>
                <w:tcPr>
                  <w:tcW w:w="1518" w:type="dxa"/>
                  <w:vAlign w:val="center"/>
                </w:tcPr>
                <w:p w14:paraId="55271C4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标准值</w:t>
                  </w:r>
                </w:p>
              </w:tc>
              <w:tc>
                <w:tcPr>
                  <w:tcW w:w="1523" w:type="dxa"/>
                  <w:vAlign w:val="center"/>
                </w:tcPr>
                <w:p w14:paraId="5874E4A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达标情况</w:t>
                  </w:r>
                </w:p>
              </w:tc>
            </w:tr>
            <w:tr w14:paraId="03919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077C67B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518" w:type="dxa"/>
                  <w:vAlign w:val="center"/>
                </w:tcPr>
                <w:p w14:paraId="4AA409C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14</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17~</w:t>
                  </w:r>
                  <w:r>
                    <w:rPr>
                      <w:rFonts w:ascii="Times New Roman" w:hAnsi="Times New Roman" w:eastAsia="宋体" w:cs="Times New Roman"/>
                      <w:color w:val="auto"/>
                      <w:spacing w:val="-26"/>
                      <w:sz w:val="21"/>
                      <w:szCs w:val="21"/>
                      <w:lang w:eastAsia="zh-CN"/>
                    </w:rPr>
                    <w:t xml:space="preserve"> </w:t>
                  </w:r>
                  <w:r>
                    <w:rPr>
                      <w:rFonts w:ascii="Times New Roman" w:hAnsi="Times New Roman" w:eastAsia="宋体" w:cs="Times New Roman"/>
                      <w:color w:val="auto"/>
                      <w:sz w:val="21"/>
                      <w:szCs w:val="21"/>
                      <w:lang w:eastAsia="zh-CN"/>
                    </w:rPr>
                    <w:t>14</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27</w:t>
                  </w:r>
                </w:p>
              </w:tc>
              <w:tc>
                <w:tcPr>
                  <w:tcW w:w="1518" w:type="dxa"/>
                  <w:vAlign w:val="center"/>
                </w:tcPr>
                <w:p w14:paraId="12192FB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56</w:t>
                  </w:r>
                </w:p>
              </w:tc>
              <w:tc>
                <w:tcPr>
                  <w:tcW w:w="1518" w:type="dxa"/>
                  <w:vAlign w:val="center"/>
                </w:tcPr>
                <w:p w14:paraId="6B48D12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60</w:t>
                  </w:r>
                </w:p>
              </w:tc>
              <w:tc>
                <w:tcPr>
                  <w:tcW w:w="1523" w:type="dxa"/>
                  <w:vAlign w:val="center"/>
                </w:tcPr>
                <w:p w14:paraId="638BC1AB">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达标</w:t>
                  </w:r>
                </w:p>
              </w:tc>
            </w:tr>
            <w:tr w14:paraId="14BE37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858" w:type="dxa"/>
                  <w:vMerge w:val="continue"/>
                  <w:vAlign w:val="center"/>
                </w:tcPr>
                <w:p w14:paraId="04A0DE4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518" w:type="dxa"/>
                  <w:vAlign w:val="center"/>
                </w:tcPr>
                <w:p w14:paraId="2A7CD98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22</w:t>
                  </w:r>
                  <w:r>
                    <w:rPr>
                      <w:rFonts w:hint="eastAsia" w:ascii="Times New Roman" w:hAnsi="Times New Roman" w:eastAsia="宋体" w:cs="Times New Roman"/>
                      <w:color w:val="auto"/>
                      <w:spacing w:val="3"/>
                      <w:sz w:val="21"/>
                      <w:szCs w:val="21"/>
                      <w:lang w:eastAsia="zh-CN"/>
                    </w:rPr>
                    <w:t>:</w:t>
                  </w:r>
                  <w:r>
                    <w:rPr>
                      <w:rFonts w:ascii="Times New Roman" w:hAnsi="Times New Roman" w:eastAsia="宋体" w:cs="Times New Roman"/>
                      <w:color w:val="auto"/>
                      <w:spacing w:val="3"/>
                      <w:sz w:val="21"/>
                      <w:szCs w:val="21"/>
                      <w:lang w:eastAsia="zh-CN"/>
                    </w:rPr>
                    <w:t>11~22</w:t>
                  </w:r>
                  <w:r>
                    <w:rPr>
                      <w:rFonts w:hint="eastAsia" w:ascii="Times New Roman" w:hAnsi="Times New Roman" w:eastAsia="宋体" w:cs="Times New Roman"/>
                      <w:color w:val="auto"/>
                      <w:spacing w:val="3"/>
                      <w:sz w:val="21"/>
                      <w:szCs w:val="21"/>
                      <w:lang w:eastAsia="zh-CN"/>
                    </w:rPr>
                    <w:t>:</w:t>
                  </w:r>
                  <w:r>
                    <w:rPr>
                      <w:rFonts w:ascii="Times New Roman" w:hAnsi="Times New Roman" w:eastAsia="宋体" w:cs="Times New Roman"/>
                      <w:color w:val="auto"/>
                      <w:spacing w:val="3"/>
                      <w:sz w:val="21"/>
                      <w:szCs w:val="21"/>
                      <w:lang w:eastAsia="zh-CN"/>
                    </w:rPr>
                    <w:t>21</w:t>
                  </w:r>
                </w:p>
              </w:tc>
              <w:tc>
                <w:tcPr>
                  <w:tcW w:w="1518" w:type="dxa"/>
                  <w:vAlign w:val="center"/>
                </w:tcPr>
                <w:p w14:paraId="12B3158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sz w:val="21"/>
                      <w:szCs w:val="21"/>
                      <w:lang w:eastAsia="zh-CN"/>
                    </w:rPr>
                    <w:t>47</w:t>
                  </w:r>
                </w:p>
              </w:tc>
              <w:tc>
                <w:tcPr>
                  <w:tcW w:w="1518" w:type="dxa"/>
                  <w:vAlign w:val="center"/>
                </w:tcPr>
                <w:p w14:paraId="7B4D6F99">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pacing w:val="4"/>
                      <w:sz w:val="21"/>
                      <w:szCs w:val="21"/>
                      <w:lang w:eastAsia="zh-CN"/>
                    </w:rPr>
                    <w:t>50</w:t>
                  </w:r>
                </w:p>
              </w:tc>
              <w:tc>
                <w:tcPr>
                  <w:tcW w:w="1523" w:type="dxa"/>
                  <w:vAlign w:val="center"/>
                </w:tcPr>
                <w:p w14:paraId="64BF2A14">
                  <w:pPr>
                    <w:pStyle w:val="30"/>
                    <w:kinsoku/>
                    <w:overflowPunct w:val="0"/>
                    <w:autoSpaceDE/>
                    <w:autoSpaceDN/>
                    <w:adjustRightInd/>
                    <w:snapToGrid/>
                    <w:jc w:val="center"/>
                    <w:rPr>
                      <w:rFonts w:ascii="Times New Roman" w:hAnsi="Times New Roman" w:eastAsia="宋体" w:cs="Times New Roman"/>
                      <w:color w:val="auto"/>
                      <w:spacing w:val="3"/>
                      <w:sz w:val="21"/>
                      <w:szCs w:val="21"/>
                      <w:lang w:eastAsia="zh-CN"/>
                    </w:rPr>
                  </w:pPr>
                  <w:r>
                    <w:rPr>
                      <w:rFonts w:hint="eastAsia" w:ascii="Times New Roman" w:hAnsi="Times New Roman" w:eastAsia="宋体" w:cs="Times New Roman"/>
                      <w:color w:val="auto"/>
                      <w:sz w:val="21"/>
                      <w:szCs w:val="21"/>
                      <w:lang w:eastAsia="zh-CN"/>
                    </w:rPr>
                    <w:t>达标</w:t>
                  </w:r>
                </w:p>
              </w:tc>
            </w:tr>
          </w:tbl>
          <w:p w14:paraId="60727AD1">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根据监测结果，项目东侧</w:t>
            </w:r>
            <w:r>
              <w:rPr>
                <w:rFonts w:hint="eastAsia" w:ascii="Times New Roman" w:hAnsi="Times New Roman" w:eastAsia="宋体" w:cs="Times New Roman"/>
                <w:color w:val="auto"/>
                <w:sz w:val="24"/>
                <w:szCs w:val="24"/>
                <w:lang w:val="en-US" w:eastAsia="zh-CN"/>
              </w:rPr>
              <w:t>30m处</w:t>
            </w:r>
            <w:r>
              <w:rPr>
                <w:rFonts w:hint="eastAsia" w:ascii="Times New Roman" w:hAnsi="Times New Roman" w:eastAsia="宋体" w:cs="Times New Roman"/>
                <w:color w:val="auto"/>
                <w:sz w:val="24"/>
                <w:szCs w:val="24"/>
                <w:lang w:eastAsia="zh-CN"/>
              </w:rPr>
              <w:t>泽铁社区散户处</w:t>
            </w:r>
            <w:r>
              <w:rPr>
                <w:rFonts w:ascii="Times New Roman" w:hAnsi="Times New Roman" w:eastAsia="宋体" w:cs="Times New Roman"/>
                <w:color w:val="auto"/>
                <w:sz w:val="24"/>
                <w:szCs w:val="24"/>
                <w:lang w:eastAsia="zh-CN"/>
              </w:rPr>
              <w:t>环境</w:t>
            </w:r>
            <w:r>
              <w:rPr>
                <w:rFonts w:hint="eastAsia" w:ascii="Times New Roman" w:hAnsi="Times New Roman" w:eastAsia="宋体" w:cs="Times New Roman"/>
                <w:color w:val="auto"/>
                <w:sz w:val="24"/>
                <w:szCs w:val="24"/>
                <w:lang w:eastAsia="zh-CN"/>
              </w:rPr>
              <w:t>噪声</w:t>
            </w:r>
            <w:r>
              <w:rPr>
                <w:rFonts w:ascii="Times New Roman" w:hAnsi="Times New Roman" w:eastAsia="宋体" w:cs="Times New Roman"/>
                <w:color w:val="auto"/>
                <w:sz w:val="24"/>
                <w:szCs w:val="24"/>
                <w:lang w:eastAsia="zh-CN"/>
              </w:rPr>
              <w:t>能够达到《声环境质量标准》（GB3096-2008）2类标准</w:t>
            </w:r>
            <w:r>
              <w:rPr>
                <w:rFonts w:hint="eastAsia" w:ascii="Times New Roman" w:hAnsi="Times New Roman" w:eastAsia="宋体" w:cs="Times New Roman"/>
                <w:color w:val="auto"/>
                <w:sz w:val="24"/>
                <w:szCs w:val="24"/>
                <w:lang w:eastAsia="zh-CN"/>
              </w:rPr>
              <w:t>，声环境质量达标。</w:t>
            </w:r>
          </w:p>
          <w:p w14:paraId="22DE9A1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4、地下水环境质量现状</w:t>
            </w:r>
          </w:p>
          <w:p w14:paraId="50CA28F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4.1地下水环境质量</w:t>
            </w:r>
          </w:p>
          <w:p w14:paraId="2F5FC488">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根据《建设项目环境影响报告表编制技术指南（污染影响类）》，“原则上不开展地下水环境质量现状调查，建设项目存在地下水污染途径的，应结合污染源、保护目标分布情况开展现状调查以保留背景值”。</w:t>
            </w:r>
          </w:p>
          <w:p w14:paraId="0E013D1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没有水井，距离项目</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有</w:t>
            </w:r>
            <w:r>
              <w:rPr>
                <w:rFonts w:hint="eastAsia" w:ascii="Times New Roman" w:hAnsi="Times New Roman" w:eastAsia="宋体" w:cs="Times New Roman"/>
                <w:color w:val="auto"/>
                <w:sz w:val="24"/>
                <w:szCs w:val="24"/>
                <w:lang w:eastAsia="zh-CN"/>
              </w:rPr>
              <w:t>自挖</w:t>
            </w:r>
            <w:r>
              <w:rPr>
                <w:rFonts w:ascii="Times New Roman" w:hAnsi="Times New Roman" w:eastAsia="宋体" w:cs="Times New Roman"/>
                <w:color w:val="auto"/>
                <w:sz w:val="24"/>
                <w:szCs w:val="24"/>
                <w:lang w:eastAsia="zh-CN"/>
              </w:rPr>
              <w:t>水井，根据调查，</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eastAsia="zh-CN"/>
              </w:rPr>
              <w:t>主要用于农灌，根据水文地质图（附图9）可知，与本项目在同一水文地质单元，可以代表项目区地下水水质状况</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项目用地范围内不存在集中式饮用水源地、分散式饮用水源地等地下水环境保护目标，</w:t>
            </w:r>
            <w:r>
              <w:rPr>
                <w:rFonts w:ascii="Times New Roman" w:hAnsi="Times New Roman" w:eastAsia="宋体" w:cs="Times New Roman"/>
                <w:color w:val="auto"/>
                <w:sz w:val="24"/>
                <w:szCs w:val="24"/>
                <w:lang w:eastAsia="zh-CN"/>
              </w:rPr>
              <w:t>考虑到当防渗被破坏，项目中污染物会</w:t>
            </w:r>
            <w:r>
              <w:rPr>
                <w:rFonts w:hint="eastAsia" w:ascii="Times New Roman" w:hAnsi="Times New Roman" w:eastAsia="宋体" w:cs="Times New Roman"/>
                <w:color w:val="auto"/>
                <w:sz w:val="24"/>
                <w:szCs w:val="24"/>
                <w:lang w:eastAsia="zh-CN"/>
              </w:rPr>
              <w:t>渗入</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，污染</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环境</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同时根据本项目特征为了解项目区内</w:t>
            </w:r>
            <w:r>
              <w:rPr>
                <w:rFonts w:hint="eastAsia" w:ascii="Times New Roman" w:hAnsi="Times New Roman" w:eastAsia="宋体" w:cs="Times New Roman"/>
                <w:color w:val="auto"/>
                <w:sz w:val="24"/>
                <w:szCs w:val="24"/>
                <w:lang w:val="en-US" w:eastAsia="zh-CN"/>
              </w:rPr>
              <w:t>地下水</w:t>
            </w:r>
            <w:r>
              <w:rPr>
                <w:rFonts w:ascii="Times New Roman" w:hAnsi="Times New Roman" w:eastAsia="宋体" w:cs="Times New Roman"/>
                <w:color w:val="auto"/>
                <w:sz w:val="24"/>
                <w:szCs w:val="24"/>
                <w:lang w:eastAsia="zh-CN"/>
              </w:rPr>
              <w:t>环境质量以及保留背景值。本</w:t>
            </w:r>
            <w:r>
              <w:rPr>
                <w:rFonts w:hint="eastAsia" w:cs="Times New Roman"/>
                <w:color w:val="auto"/>
                <w:sz w:val="24"/>
                <w:szCs w:val="24"/>
                <w:lang w:eastAsia="zh-CN"/>
              </w:rPr>
              <w:t>项目于2025年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》的地下水进行监测，监测结果如下：</w:t>
            </w:r>
          </w:p>
          <w:p w14:paraId="6090D9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（1）监测断面：项目</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p>
          <w:p w14:paraId="2FEEDDD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（2）监测因子：pH、高锰酸盐指数、氨氮、硝酸盐、亚硝酸盐、挥发酚、氰化物、砷、汞、六价铬、总硬度、镉、铅、铁、锰、溶解性总固体、硫酸盐、氯化物、总大肠菌群、菌落总数、总磷、磷酸盐</w:t>
            </w:r>
            <w:r>
              <w:rPr>
                <w:rFonts w:hint="eastAsia" w:ascii="Times New Roman" w:hAnsi="Times New Roman" w:eastAsia="宋体" w:cs="Times New Roman"/>
                <w:color w:val="auto"/>
                <w:sz w:val="24"/>
                <w:szCs w:val="24"/>
                <w:lang w:eastAsia="zh-CN"/>
              </w:rPr>
              <w:t>、氟化物、铬、锌、</w:t>
            </w:r>
            <w:r>
              <w:rPr>
                <w:rFonts w:ascii="Times New Roman" w:hAnsi="Times New Roman" w:eastAsia="宋体" w:cs="Times New Roman"/>
                <w:color w:val="auto"/>
                <w:sz w:val="24"/>
                <w:szCs w:val="24"/>
                <w:lang w:eastAsia="zh-CN"/>
              </w:rPr>
              <w:t>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7"/>
                <w:sz w:val="15"/>
                <w:szCs w:val="15"/>
                <w:lang w:eastAsia="zh-CN"/>
              </w:rPr>
              <w:t>+</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Ca</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、Mg</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、CO</w:t>
            </w:r>
            <w:r>
              <w:rPr>
                <w:rFonts w:ascii="Times New Roman" w:hAnsi="Times New Roman" w:eastAsia="宋体" w:cs="Times New Roman"/>
                <w:color w:val="auto"/>
                <w:position w:val="-2"/>
                <w:sz w:val="15"/>
                <w:szCs w:val="15"/>
                <w:lang w:eastAsia="zh-CN"/>
              </w:rPr>
              <w:t>3</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、HCO</w:t>
            </w:r>
            <w:r>
              <w:rPr>
                <w:rFonts w:ascii="Times New Roman" w:hAnsi="Times New Roman" w:eastAsia="宋体" w:cs="Times New Roman"/>
                <w:color w:val="auto"/>
                <w:position w:val="-2"/>
                <w:sz w:val="15"/>
                <w:szCs w:val="15"/>
                <w:lang w:eastAsia="zh-CN"/>
              </w:rPr>
              <w:t>3</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、Cl</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、SO</w:t>
            </w:r>
            <w:r>
              <w:rPr>
                <w:rFonts w:ascii="Times New Roman" w:hAnsi="Times New Roman" w:eastAsia="宋体" w:cs="Times New Roman"/>
                <w:color w:val="auto"/>
                <w:position w:val="-2"/>
                <w:sz w:val="15"/>
                <w:szCs w:val="15"/>
                <w:lang w:eastAsia="zh-CN"/>
              </w:rPr>
              <w:t>4</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、浑浊度、</w:t>
            </w:r>
            <w:r>
              <w:rPr>
                <w:rFonts w:hint="eastAsia" w:ascii="Times New Roman" w:hAnsi="Times New Roman" w:eastAsia="宋体" w:cs="Times New Roman"/>
                <w:color w:val="auto"/>
                <w:sz w:val="24"/>
                <w:szCs w:val="24"/>
                <w:lang w:eastAsia="zh-CN"/>
              </w:rPr>
              <w:t>铊、浑浊度</w:t>
            </w:r>
            <w:r>
              <w:rPr>
                <w:rFonts w:ascii="Times New Roman" w:hAnsi="Times New Roman" w:eastAsia="宋体" w:cs="Times New Roman"/>
                <w:color w:val="auto"/>
                <w:sz w:val="24"/>
                <w:szCs w:val="24"/>
                <w:lang w:eastAsia="zh-CN"/>
              </w:rPr>
              <w:t>。</w:t>
            </w:r>
          </w:p>
          <w:p w14:paraId="79C11E8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（3）监测频率：连续监测三天，一个水质样品。</w:t>
            </w:r>
          </w:p>
          <w:p w14:paraId="00BDEFD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4</w:t>
            </w:r>
            <w:r>
              <w:rPr>
                <w:rFonts w:ascii="Times New Roman" w:hAnsi="Times New Roman" w:eastAsia="宋体" w:cs="Times New Roman"/>
                <w:color w:val="auto"/>
                <w:sz w:val="24"/>
                <w:szCs w:val="24"/>
                <w:lang w:eastAsia="zh-CN"/>
              </w:rPr>
              <w:t>）监测结果如下。</w:t>
            </w:r>
          </w:p>
          <w:p w14:paraId="11A63B0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表3-6 地下水质量现状监测结果表单位：mg/L（pH无量纲）</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1546"/>
              <w:gridCol w:w="1546"/>
              <w:gridCol w:w="1505"/>
              <w:gridCol w:w="1381"/>
              <w:gridCol w:w="864"/>
            </w:tblGrid>
            <w:tr w14:paraId="23C66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Merge w:val="restart"/>
                  <w:tcBorders>
                    <w:tl2br w:val="nil"/>
                    <w:tr2bl w:val="nil"/>
                  </w:tcBorders>
                  <w:noWrap/>
                  <w:vAlign w:val="center"/>
                </w:tcPr>
                <w:p w14:paraId="31328EE6">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项目</w:t>
                  </w:r>
                </w:p>
              </w:tc>
              <w:tc>
                <w:tcPr>
                  <w:tcW w:w="4436" w:type="dxa"/>
                  <w:gridSpan w:val="3"/>
                  <w:tcBorders>
                    <w:tl2br w:val="nil"/>
                    <w:tr2bl w:val="nil"/>
                  </w:tcBorders>
                  <w:noWrap/>
                  <w:vAlign w:val="center"/>
                </w:tcPr>
                <w:p w14:paraId="7BA0E45B">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点位</w:t>
                  </w:r>
                </w:p>
              </w:tc>
              <w:tc>
                <w:tcPr>
                  <w:tcW w:w="1332" w:type="dxa"/>
                  <w:vMerge w:val="restart"/>
                  <w:tcBorders>
                    <w:tl2br w:val="nil"/>
                    <w:tr2bl w:val="nil"/>
                  </w:tcBorders>
                  <w:noWrap/>
                  <w:vAlign w:val="center"/>
                </w:tcPr>
                <w:p w14:paraId="66657499">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标准值</w:t>
                  </w:r>
                </w:p>
              </w:tc>
              <w:tc>
                <w:tcPr>
                  <w:tcW w:w="834" w:type="dxa"/>
                  <w:vMerge w:val="restart"/>
                  <w:tcBorders>
                    <w:tl2br w:val="nil"/>
                    <w:tr2bl w:val="nil"/>
                  </w:tcBorders>
                  <w:noWrap/>
                  <w:vAlign w:val="center"/>
                </w:tcPr>
                <w:p w14:paraId="5D370BA4">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r>
                    <w:rPr>
                      <w:rFonts w:hint="eastAsia" w:ascii="Times New Roman" w:hAnsi="Times New Roman" w:eastAsia="宋体" w:cs="Times New Roman"/>
                      <w:b/>
                      <w:bCs/>
                      <w:color w:val="auto"/>
                      <w:lang w:eastAsia="zh-CN" w:bidi="ar"/>
                    </w:rPr>
                    <w:t>达标情况</w:t>
                  </w:r>
                </w:p>
              </w:tc>
            </w:tr>
            <w:tr w14:paraId="3CCDF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vMerge w:val="continue"/>
                  <w:tcBorders>
                    <w:tl2br w:val="nil"/>
                    <w:tr2bl w:val="nil"/>
                  </w:tcBorders>
                  <w:noWrap/>
                  <w:vAlign w:val="center"/>
                </w:tcPr>
                <w:p w14:paraId="0D9BFDA9">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c>
                <w:tcPr>
                  <w:tcW w:w="1492" w:type="dxa"/>
                  <w:tcBorders>
                    <w:tl2br w:val="nil"/>
                    <w:tr2bl w:val="nil"/>
                  </w:tcBorders>
                  <w:noWrap/>
                  <w:vAlign w:val="center"/>
                </w:tcPr>
                <w:p w14:paraId="345EEBE6">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-4-1-1</w:t>
                  </w:r>
                </w:p>
              </w:tc>
              <w:tc>
                <w:tcPr>
                  <w:tcW w:w="1492" w:type="dxa"/>
                  <w:tcBorders>
                    <w:tl2br w:val="nil"/>
                    <w:tr2bl w:val="nil"/>
                  </w:tcBorders>
                  <w:noWrap/>
                  <w:vAlign w:val="center"/>
                </w:tcPr>
                <w:p w14:paraId="388CB68A">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-4-2-1</w:t>
                  </w:r>
                </w:p>
              </w:tc>
              <w:tc>
                <w:tcPr>
                  <w:tcW w:w="1452" w:type="dxa"/>
                  <w:tcBorders>
                    <w:tl2br w:val="nil"/>
                    <w:tr2bl w:val="nil"/>
                  </w:tcBorders>
                  <w:noWrap/>
                  <w:vAlign w:val="center"/>
                </w:tcPr>
                <w:p w14:paraId="094399C3">
                  <w:pPr>
                    <w:pStyle w:val="30"/>
                    <w:kinsoku/>
                    <w:overflowPunct w:val="0"/>
                    <w:autoSpaceDE/>
                    <w:autoSpaceDN/>
                    <w:adjustRightInd/>
                    <w:snapToGrid/>
                    <w:rPr>
                      <w:rFonts w:ascii="Times New Roman" w:hAnsi="Times New Roman" w:eastAsia="宋体" w:cs="Times New Roman"/>
                      <w:b/>
                      <w:bCs/>
                      <w:color w:val="auto"/>
                      <w:sz w:val="21"/>
                      <w:szCs w:val="21"/>
                      <w:lang w:eastAsia="zh-CN" w:bidi="ar"/>
                    </w:rPr>
                  </w:pPr>
                  <w:r>
                    <w:rPr>
                      <w:rFonts w:ascii="Times New Roman" w:hAnsi="Times New Roman" w:eastAsia="宋体" w:cs="Times New Roman"/>
                      <w:color w:val="auto"/>
                      <w:spacing w:val="5"/>
                      <w:sz w:val="21"/>
                      <w:szCs w:val="21"/>
                    </w:rPr>
                    <w:t>202508572-</w:t>
                  </w:r>
                  <w:r>
                    <w:rPr>
                      <w:rFonts w:ascii="Times New Roman" w:hAnsi="Times New Roman" w:eastAsia="宋体" w:cs="Times New Roman"/>
                      <w:color w:val="auto"/>
                      <w:sz w:val="21"/>
                      <w:szCs w:val="21"/>
                    </w:rPr>
                    <w:t>DX</w:t>
                  </w:r>
                  <w:r>
                    <w:rPr>
                      <w:rFonts w:ascii="Times New Roman" w:hAnsi="Times New Roman" w:eastAsia="宋体" w:cs="Times New Roman"/>
                      <w:color w:val="auto"/>
                      <w:spacing w:val="5"/>
                      <w:sz w:val="21"/>
                      <w:szCs w:val="21"/>
                    </w:rPr>
                    <w:t>-4-3-1</w:t>
                  </w:r>
                </w:p>
              </w:tc>
              <w:tc>
                <w:tcPr>
                  <w:tcW w:w="1332" w:type="dxa"/>
                  <w:vMerge w:val="continue"/>
                  <w:tcBorders>
                    <w:tl2br w:val="nil"/>
                    <w:tr2bl w:val="nil"/>
                  </w:tcBorders>
                  <w:noWrap/>
                  <w:vAlign w:val="center"/>
                </w:tcPr>
                <w:p w14:paraId="016E8837">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c>
                <w:tcPr>
                  <w:tcW w:w="834" w:type="dxa"/>
                  <w:vMerge w:val="continue"/>
                  <w:tcBorders>
                    <w:tl2br w:val="nil"/>
                    <w:tr2bl w:val="nil"/>
                  </w:tcBorders>
                  <w:noWrap/>
                  <w:vAlign w:val="center"/>
                </w:tcPr>
                <w:p w14:paraId="086C4634">
                  <w:pPr>
                    <w:kinsoku/>
                    <w:overflowPunct w:val="0"/>
                    <w:autoSpaceDE/>
                    <w:autoSpaceDN/>
                    <w:adjustRightInd/>
                    <w:snapToGrid/>
                    <w:jc w:val="center"/>
                    <w:textAlignment w:val="center"/>
                    <w:rPr>
                      <w:rFonts w:ascii="Times New Roman" w:hAnsi="Times New Roman" w:eastAsia="宋体" w:cs="Times New Roman"/>
                      <w:b/>
                      <w:bCs/>
                      <w:color w:val="auto"/>
                      <w:lang w:eastAsia="zh-CN" w:bidi="ar"/>
                    </w:rPr>
                  </w:pPr>
                </w:p>
              </w:tc>
            </w:tr>
            <w:tr w14:paraId="1DD22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38CE85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pH</w:t>
                  </w:r>
                </w:p>
              </w:tc>
              <w:tc>
                <w:tcPr>
                  <w:tcW w:w="1492" w:type="dxa"/>
                  <w:tcBorders>
                    <w:tl2br w:val="nil"/>
                    <w:tr2bl w:val="nil"/>
                  </w:tcBorders>
                  <w:noWrap/>
                  <w:vAlign w:val="center"/>
                </w:tcPr>
                <w:p w14:paraId="0FBA1AE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7.6</w:t>
                  </w:r>
                </w:p>
              </w:tc>
              <w:tc>
                <w:tcPr>
                  <w:tcW w:w="1492" w:type="dxa"/>
                  <w:tcBorders>
                    <w:tl2br w:val="nil"/>
                    <w:tr2bl w:val="nil"/>
                  </w:tcBorders>
                  <w:noWrap/>
                  <w:vAlign w:val="center"/>
                </w:tcPr>
                <w:p w14:paraId="71A642A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7.7</w:t>
                  </w:r>
                </w:p>
              </w:tc>
              <w:tc>
                <w:tcPr>
                  <w:tcW w:w="1452" w:type="dxa"/>
                  <w:tcBorders>
                    <w:tl2br w:val="nil"/>
                    <w:tr2bl w:val="nil"/>
                  </w:tcBorders>
                  <w:noWrap/>
                  <w:vAlign w:val="center"/>
                </w:tcPr>
                <w:p w14:paraId="1258698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1"/>
                      <w:sz w:val="21"/>
                      <w:szCs w:val="21"/>
                    </w:rPr>
                    <w:t>7.6</w:t>
                  </w:r>
                </w:p>
              </w:tc>
              <w:tc>
                <w:tcPr>
                  <w:tcW w:w="1332" w:type="dxa"/>
                  <w:tcBorders>
                    <w:tl2br w:val="nil"/>
                    <w:tr2bl w:val="nil"/>
                  </w:tcBorders>
                  <w:noWrap/>
                  <w:vAlign w:val="center"/>
                </w:tcPr>
                <w:p w14:paraId="64D5E80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6.5~8.5</w:t>
                  </w:r>
                </w:p>
              </w:tc>
              <w:tc>
                <w:tcPr>
                  <w:tcW w:w="834" w:type="dxa"/>
                  <w:tcBorders>
                    <w:tl2br w:val="nil"/>
                    <w:tr2bl w:val="nil"/>
                  </w:tcBorders>
                  <w:noWrap/>
                  <w:vAlign w:val="center"/>
                </w:tcPr>
                <w:p w14:paraId="7D32B83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3F40C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19E0452">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高锰酸盐指数</w:t>
                  </w:r>
                </w:p>
              </w:tc>
              <w:tc>
                <w:tcPr>
                  <w:tcW w:w="1492" w:type="dxa"/>
                  <w:tcBorders>
                    <w:tl2br w:val="nil"/>
                    <w:tr2bl w:val="nil"/>
                  </w:tcBorders>
                  <w:noWrap/>
                  <w:vAlign w:val="center"/>
                </w:tcPr>
                <w:p w14:paraId="4618839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1.6</w:t>
                  </w:r>
                </w:p>
              </w:tc>
              <w:tc>
                <w:tcPr>
                  <w:tcW w:w="1492" w:type="dxa"/>
                  <w:tcBorders>
                    <w:tl2br w:val="nil"/>
                    <w:tr2bl w:val="nil"/>
                  </w:tcBorders>
                  <w:noWrap/>
                  <w:vAlign w:val="center"/>
                </w:tcPr>
                <w:p w14:paraId="357E4FB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1.7</w:t>
                  </w:r>
                </w:p>
              </w:tc>
              <w:tc>
                <w:tcPr>
                  <w:tcW w:w="1452" w:type="dxa"/>
                  <w:tcBorders>
                    <w:tl2br w:val="nil"/>
                    <w:tr2bl w:val="nil"/>
                  </w:tcBorders>
                  <w:noWrap/>
                  <w:vAlign w:val="center"/>
                </w:tcPr>
                <w:p w14:paraId="49C4067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1.5</w:t>
                  </w:r>
                </w:p>
              </w:tc>
              <w:tc>
                <w:tcPr>
                  <w:tcW w:w="1332" w:type="dxa"/>
                  <w:tcBorders>
                    <w:tl2br w:val="nil"/>
                    <w:tr2bl w:val="nil"/>
                  </w:tcBorders>
                  <w:noWrap/>
                  <w:vAlign w:val="center"/>
                </w:tcPr>
                <w:p w14:paraId="0039539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3249409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02B5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36D4C1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氨氮</w:t>
                  </w:r>
                </w:p>
              </w:tc>
              <w:tc>
                <w:tcPr>
                  <w:tcW w:w="1492" w:type="dxa"/>
                  <w:tcBorders>
                    <w:tl2br w:val="nil"/>
                    <w:tr2bl w:val="nil"/>
                  </w:tcBorders>
                  <w:noWrap/>
                  <w:vAlign w:val="center"/>
                </w:tcPr>
                <w:p w14:paraId="030DD95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0.344</w:t>
                  </w:r>
                </w:p>
              </w:tc>
              <w:tc>
                <w:tcPr>
                  <w:tcW w:w="1492" w:type="dxa"/>
                  <w:tcBorders>
                    <w:tl2br w:val="nil"/>
                    <w:tr2bl w:val="nil"/>
                  </w:tcBorders>
                  <w:noWrap/>
                  <w:vAlign w:val="center"/>
                </w:tcPr>
                <w:p w14:paraId="4556B7A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0.334</w:t>
                  </w:r>
                </w:p>
              </w:tc>
              <w:tc>
                <w:tcPr>
                  <w:tcW w:w="1452" w:type="dxa"/>
                  <w:tcBorders>
                    <w:tl2br w:val="nil"/>
                    <w:tr2bl w:val="nil"/>
                  </w:tcBorders>
                  <w:noWrap/>
                  <w:vAlign w:val="center"/>
                </w:tcPr>
                <w:p w14:paraId="2AD0DA4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0.326</w:t>
                  </w:r>
                </w:p>
              </w:tc>
              <w:tc>
                <w:tcPr>
                  <w:tcW w:w="1332" w:type="dxa"/>
                  <w:tcBorders>
                    <w:tl2br w:val="nil"/>
                    <w:tr2bl w:val="nil"/>
                  </w:tcBorders>
                  <w:noWrap/>
                  <w:vAlign w:val="center"/>
                </w:tcPr>
                <w:p w14:paraId="2953181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0.5</w:t>
                  </w:r>
                </w:p>
              </w:tc>
              <w:tc>
                <w:tcPr>
                  <w:tcW w:w="834" w:type="dxa"/>
                  <w:tcBorders>
                    <w:tl2br w:val="nil"/>
                    <w:tr2bl w:val="nil"/>
                  </w:tcBorders>
                  <w:noWrap/>
                  <w:vAlign w:val="center"/>
                </w:tcPr>
                <w:p w14:paraId="73CFB73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C18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E13F48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硝酸盐</w:t>
                  </w:r>
                </w:p>
              </w:tc>
              <w:tc>
                <w:tcPr>
                  <w:tcW w:w="1492" w:type="dxa"/>
                  <w:tcBorders>
                    <w:tl2br w:val="nil"/>
                    <w:tr2bl w:val="nil"/>
                  </w:tcBorders>
                  <w:noWrap/>
                  <w:vAlign w:val="center"/>
                </w:tcPr>
                <w:p w14:paraId="2E97803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5.92</w:t>
                  </w:r>
                </w:p>
              </w:tc>
              <w:tc>
                <w:tcPr>
                  <w:tcW w:w="1492" w:type="dxa"/>
                  <w:tcBorders>
                    <w:tl2br w:val="nil"/>
                    <w:tr2bl w:val="nil"/>
                  </w:tcBorders>
                  <w:noWrap/>
                  <w:vAlign w:val="center"/>
                </w:tcPr>
                <w:p w14:paraId="051E5A7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5.99</w:t>
                  </w:r>
                </w:p>
              </w:tc>
              <w:tc>
                <w:tcPr>
                  <w:tcW w:w="1452" w:type="dxa"/>
                  <w:tcBorders>
                    <w:tl2br w:val="nil"/>
                    <w:tr2bl w:val="nil"/>
                  </w:tcBorders>
                  <w:noWrap/>
                  <w:vAlign w:val="center"/>
                </w:tcPr>
                <w:p w14:paraId="7880EEE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5.88</w:t>
                  </w:r>
                </w:p>
              </w:tc>
              <w:tc>
                <w:tcPr>
                  <w:tcW w:w="1332" w:type="dxa"/>
                  <w:tcBorders>
                    <w:tl2br w:val="nil"/>
                    <w:tr2bl w:val="nil"/>
                  </w:tcBorders>
                  <w:noWrap/>
                  <w:vAlign w:val="center"/>
                </w:tcPr>
                <w:p w14:paraId="0559064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20</w:t>
                  </w:r>
                </w:p>
              </w:tc>
              <w:tc>
                <w:tcPr>
                  <w:tcW w:w="834" w:type="dxa"/>
                  <w:tcBorders>
                    <w:tl2br w:val="nil"/>
                    <w:tr2bl w:val="nil"/>
                  </w:tcBorders>
                  <w:noWrap/>
                  <w:vAlign w:val="center"/>
                </w:tcPr>
                <w:p w14:paraId="4353ACC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36B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24D81D3">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亚硝酸盐</w:t>
                  </w:r>
                </w:p>
              </w:tc>
              <w:tc>
                <w:tcPr>
                  <w:tcW w:w="1492" w:type="dxa"/>
                  <w:tcBorders>
                    <w:tl2br w:val="nil"/>
                    <w:tr2bl w:val="nil"/>
                  </w:tcBorders>
                  <w:noWrap/>
                  <w:vAlign w:val="center"/>
                </w:tcPr>
                <w:p w14:paraId="027A5DB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0.038</w:t>
                  </w:r>
                </w:p>
              </w:tc>
              <w:tc>
                <w:tcPr>
                  <w:tcW w:w="1492" w:type="dxa"/>
                  <w:tcBorders>
                    <w:tl2br w:val="nil"/>
                    <w:tr2bl w:val="nil"/>
                  </w:tcBorders>
                  <w:noWrap/>
                  <w:vAlign w:val="center"/>
                </w:tcPr>
                <w:p w14:paraId="2B6AC63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0.037</w:t>
                  </w:r>
                </w:p>
              </w:tc>
              <w:tc>
                <w:tcPr>
                  <w:tcW w:w="1452" w:type="dxa"/>
                  <w:tcBorders>
                    <w:tl2br w:val="nil"/>
                    <w:tr2bl w:val="nil"/>
                  </w:tcBorders>
                  <w:noWrap/>
                  <w:vAlign w:val="center"/>
                </w:tcPr>
                <w:p w14:paraId="3A4332C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0.038</w:t>
                  </w:r>
                </w:p>
              </w:tc>
              <w:tc>
                <w:tcPr>
                  <w:tcW w:w="1332" w:type="dxa"/>
                  <w:tcBorders>
                    <w:tl2br w:val="nil"/>
                    <w:tr2bl w:val="nil"/>
                  </w:tcBorders>
                  <w:noWrap/>
                  <w:vAlign w:val="center"/>
                </w:tcPr>
                <w:p w14:paraId="3EFFE45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79E8CF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1AE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792080DD">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挥发酚</w:t>
                  </w:r>
                </w:p>
              </w:tc>
              <w:tc>
                <w:tcPr>
                  <w:tcW w:w="1492" w:type="dxa"/>
                  <w:tcBorders>
                    <w:tl2br w:val="nil"/>
                    <w:tr2bl w:val="nil"/>
                  </w:tcBorders>
                  <w:noWrap/>
                  <w:vAlign w:val="center"/>
                </w:tcPr>
                <w:p w14:paraId="6EFC868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492" w:type="dxa"/>
                  <w:tcBorders>
                    <w:tl2br w:val="nil"/>
                    <w:tr2bl w:val="nil"/>
                  </w:tcBorders>
                  <w:noWrap/>
                  <w:vAlign w:val="center"/>
                </w:tcPr>
                <w:p w14:paraId="68C11C8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452" w:type="dxa"/>
                  <w:tcBorders>
                    <w:tl2br w:val="nil"/>
                    <w:tr2bl w:val="nil"/>
                  </w:tcBorders>
                  <w:noWrap/>
                  <w:vAlign w:val="center"/>
                </w:tcPr>
                <w:p w14:paraId="5370C8F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0.0003L</w:t>
                  </w:r>
                </w:p>
              </w:tc>
              <w:tc>
                <w:tcPr>
                  <w:tcW w:w="1332" w:type="dxa"/>
                  <w:tcBorders>
                    <w:tl2br w:val="nil"/>
                    <w:tr2bl w:val="nil"/>
                  </w:tcBorders>
                  <w:noWrap/>
                  <w:vAlign w:val="center"/>
                </w:tcPr>
                <w:p w14:paraId="28DA04E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0.002</w:t>
                  </w:r>
                </w:p>
              </w:tc>
              <w:tc>
                <w:tcPr>
                  <w:tcW w:w="834" w:type="dxa"/>
                  <w:tcBorders>
                    <w:tl2br w:val="nil"/>
                    <w:tr2bl w:val="nil"/>
                  </w:tcBorders>
                  <w:noWrap/>
                  <w:vAlign w:val="center"/>
                </w:tcPr>
                <w:p w14:paraId="4EFB81C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BB6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B4BFB4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氰化物</w:t>
                  </w:r>
                </w:p>
              </w:tc>
              <w:tc>
                <w:tcPr>
                  <w:tcW w:w="1492" w:type="dxa"/>
                  <w:tcBorders>
                    <w:tl2br w:val="nil"/>
                    <w:tr2bl w:val="nil"/>
                  </w:tcBorders>
                  <w:noWrap/>
                  <w:vAlign w:val="center"/>
                </w:tcPr>
                <w:p w14:paraId="1CF49C5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92" w:type="dxa"/>
                  <w:tcBorders>
                    <w:tl2br w:val="nil"/>
                    <w:tr2bl w:val="nil"/>
                  </w:tcBorders>
                  <w:noWrap/>
                  <w:vAlign w:val="center"/>
                </w:tcPr>
                <w:p w14:paraId="6F1E16C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52" w:type="dxa"/>
                  <w:tcBorders>
                    <w:tl2br w:val="nil"/>
                    <w:tr2bl w:val="nil"/>
                  </w:tcBorders>
                  <w:noWrap/>
                  <w:vAlign w:val="center"/>
                </w:tcPr>
                <w:p w14:paraId="705DEA4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332" w:type="dxa"/>
                  <w:tcBorders>
                    <w:tl2br w:val="nil"/>
                    <w:tr2bl w:val="nil"/>
                  </w:tcBorders>
                  <w:noWrap/>
                  <w:vAlign w:val="center"/>
                </w:tcPr>
                <w:p w14:paraId="5DF2636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0.05</w:t>
                  </w:r>
                </w:p>
              </w:tc>
              <w:tc>
                <w:tcPr>
                  <w:tcW w:w="834" w:type="dxa"/>
                  <w:tcBorders>
                    <w:tl2br w:val="nil"/>
                    <w:tr2bl w:val="nil"/>
                  </w:tcBorders>
                  <w:noWrap/>
                  <w:vAlign w:val="center"/>
                </w:tcPr>
                <w:p w14:paraId="36DCB2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2C0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AA01C11">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砷</w:t>
                  </w:r>
                </w:p>
              </w:tc>
              <w:tc>
                <w:tcPr>
                  <w:tcW w:w="1492" w:type="dxa"/>
                  <w:tcBorders>
                    <w:tl2br w:val="nil"/>
                    <w:tr2bl w:val="nil"/>
                  </w:tcBorders>
                  <w:noWrap/>
                  <w:vAlign w:val="center"/>
                </w:tcPr>
                <w:p w14:paraId="2B6181E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492" w:type="dxa"/>
                  <w:tcBorders>
                    <w:tl2br w:val="nil"/>
                    <w:tr2bl w:val="nil"/>
                  </w:tcBorders>
                  <w:noWrap/>
                  <w:vAlign w:val="center"/>
                </w:tcPr>
                <w:p w14:paraId="56C170E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452" w:type="dxa"/>
                  <w:tcBorders>
                    <w:tl2br w:val="nil"/>
                    <w:tr2bl w:val="nil"/>
                  </w:tcBorders>
                  <w:noWrap/>
                  <w:vAlign w:val="center"/>
                </w:tcPr>
                <w:p w14:paraId="561637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-4</w:t>
                  </w:r>
                  <w:r>
                    <w:rPr>
                      <w:rFonts w:ascii="Times New Roman" w:hAnsi="Times New Roman" w:eastAsia="宋体" w:cs="Times New Roman"/>
                      <w:color w:val="auto"/>
                      <w:spacing w:val="2"/>
                      <w:sz w:val="21"/>
                      <w:szCs w:val="21"/>
                    </w:rPr>
                    <w:t>L</w:t>
                  </w:r>
                </w:p>
              </w:tc>
              <w:tc>
                <w:tcPr>
                  <w:tcW w:w="1332" w:type="dxa"/>
                  <w:tcBorders>
                    <w:tl2br w:val="nil"/>
                    <w:tr2bl w:val="nil"/>
                  </w:tcBorders>
                  <w:noWrap/>
                  <w:vAlign w:val="center"/>
                </w:tcPr>
                <w:p w14:paraId="2D5CDA16">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0.01</w:t>
                  </w:r>
                </w:p>
              </w:tc>
              <w:tc>
                <w:tcPr>
                  <w:tcW w:w="834" w:type="dxa"/>
                  <w:tcBorders>
                    <w:tl2br w:val="nil"/>
                    <w:tr2bl w:val="nil"/>
                  </w:tcBorders>
                  <w:noWrap/>
                  <w:vAlign w:val="center"/>
                </w:tcPr>
                <w:p w14:paraId="5E273FA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DBBC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CA4296D">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汞</w:t>
                  </w:r>
                </w:p>
              </w:tc>
              <w:tc>
                <w:tcPr>
                  <w:tcW w:w="1492" w:type="dxa"/>
                  <w:tcBorders>
                    <w:tl2br w:val="nil"/>
                    <w:tr2bl w:val="nil"/>
                  </w:tcBorders>
                  <w:noWrap/>
                  <w:vAlign w:val="center"/>
                </w:tcPr>
                <w:p w14:paraId="20D6294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8×10</w:t>
                  </w:r>
                  <w:r>
                    <w:rPr>
                      <w:rFonts w:hint="eastAsia" w:ascii="Times New Roman" w:hAnsi="Times New Roman" w:eastAsia="宋体" w:cs="Times New Roman"/>
                      <w:color w:val="auto"/>
                      <w:spacing w:val="2"/>
                      <w:sz w:val="21"/>
                      <w:szCs w:val="21"/>
                      <w:vertAlign w:val="superscript"/>
                      <w:lang w:eastAsia="zh-CN"/>
                    </w:rPr>
                    <w:t>-5</w:t>
                  </w:r>
                </w:p>
              </w:tc>
              <w:tc>
                <w:tcPr>
                  <w:tcW w:w="1492" w:type="dxa"/>
                  <w:tcBorders>
                    <w:tl2br w:val="nil"/>
                    <w:tr2bl w:val="nil"/>
                  </w:tcBorders>
                  <w:noWrap/>
                  <w:vAlign w:val="center"/>
                </w:tcPr>
                <w:p w14:paraId="52F9FA6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7×10</w:t>
                  </w:r>
                  <w:r>
                    <w:rPr>
                      <w:rFonts w:hint="eastAsia" w:ascii="Times New Roman" w:hAnsi="Times New Roman" w:eastAsia="宋体" w:cs="Times New Roman"/>
                      <w:color w:val="auto"/>
                      <w:spacing w:val="3"/>
                      <w:sz w:val="21"/>
                      <w:szCs w:val="21"/>
                      <w:vertAlign w:val="superscript"/>
                      <w:lang w:eastAsia="zh-CN"/>
                    </w:rPr>
                    <w:t>-5</w:t>
                  </w:r>
                </w:p>
              </w:tc>
              <w:tc>
                <w:tcPr>
                  <w:tcW w:w="1452" w:type="dxa"/>
                  <w:tcBorders>
                    <w:tl2br w:val="nil"/>
                    <w:tr2bl w:val="nil"/>
                  </w:tcBorders>
                  <w:noWrap/>
                  <w:vAlign w:val="center"/>
                </w:tcPr>
                <w:p w14:paraId="5B08466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6×10</w:t>
                  </w:r>
                  <w:r>
                    <w:rPr>
                      <w:rFonts w:hint="eastAsia" w:ascii="Times New Roman" w:hAnsi="Times New Roman" w:eastAsia="宋体" w:cs="Times New Roman"/>
                      <w:color w:val="auto"/>
                      <w:spacing w:val="2"/>
                      <w:sz w:val="21"/>
                      <w:szCs w:val="21"/>
                      <w:vertAlign w:val="superscript"/>
                      <w:lang w:eastAsia="zh-CN"/>
                    </w:rPr>
                    <w:t>-5</w:t>
                  </w:r>
                </w:p>
              </w:tc>
              <w:tc>
                <w:tcPr>
                  <w:tcW w:w="1332" w:type="dxa"/>
                  <w:tcBorders>
                    <w:tl2br w:val="nil"/>
                    <w:tr2bl w:val="nil"/>
                  </w:tcBorders>
                  <w:noWrap/>
                  <w:vAlign w:val="center"/>
                </w:tcPr>
                <w:p w14:paraId="67823A2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0.001</w:t>
                  </w:r>
                </w:p>
              </w:tc>
              <w:tc>
                <w:tcPr>
                  <w:tcW w:w="834" w:type="dxa"/>
                  <w:tcBorders>
                    <w:tl2br w:val="nil"/>
                    <w:tr2bl w:val="nil"/>
                  </w:tcBorders>
                  <w:noWrap/>
                  <w:vAlign w:val="center"/>
                </w:tcPr>
                <w:p w14:paraId="09FDEEB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3DF4A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80EB21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六价铬</w:t>
                  </w:r>
                </w:p>
              </w:tc>
              <w:tc>
                <w:tcPr>
                  <w:tcW w:w="1492" w:type="dxa"/>
                  <w:tcBorders>
                    <w:tl2br w:val="nil"/>
                    <w:tr2bl w:val="nil"/>
                  </w:tcBorders>
                  <w:noWrap/>
                  <w:vAlign w:val="center"/>
                </w:tcPr>
                <w:p w14:paraId="46D4334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92" w:type="dxa"/>
                  <w:tcBorders>
                    <w:tl2br w:val="nil"/>
                    <w:tr2bl w:val="nil"/>
                  </w:tcBorders>
                  <w:noWrap/>
                  <w:vAlign w:val="center"/>
                </w:tcPr>
                <w:p w14:paraId="55C08A8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452" w:type="dxa"/>
                  <w:tcBorders>
                    <w:tl2br w:val="nil"/>
                    <w:tr2bl w:val="nil"/>
                  </w:tcBorders>
                  <w:noWrap/>
                  <w:vAlign w:val="center"/>
                </w:tcPr>
                <w:p w14:paraId="568F456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0.004L</w:t>
                  </w:r>
                </w:p>
              </w:tc>
              <w:tc>
                <w:tcPr>
                  <w:tcW w:w="1332" w:type="dxa"/>
                  <w:tcBorders>
                    <w:tl2br w:val="nil"/>
                    <w:tr2bl w:val="nil"/>
                  </w:tcBorders>
                  <w:noWrap/>
                  <w:vAlign w:val="center"/>
                </w:tcPr>
                <w:p w14:paraId="5166F4A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0.05</w:t>
                  </w:r>
                </w:p>
              </w:tc>
              <w:tc>
                <w:tcPr>
                  <w:tcW w:w="834" w:type="dxa"/>
                  <w:tcBorders>
                    <w:tl2br w:val="nil"/>
                    <w:tr2bl w:val="nil"/>
                  </w:tcBorders>
                  <w:noWrap/>
                  <w:vAlign w:val="center"/>
                </w:tcPr>
                <w:p w14:paraId="75C5BD1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AFD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D7840F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总硬度</w:t>
                  </w:r>
                </w:p>
              </w:tc>
              <w:tc>
                <w:tcPr>
                  <w:tcW w:w="1492" w:type="dxa"/>
                  <w:tcBorders>
                    <w:tl2br w:val="nil"/>
                    <w:tr2bl w:val="nil"/>
                  </w:tcBorders>
                  <w:noWrap/>
                  <w:vAlign w:val="center"/>
                </w:tcPr>
                <w:p w14:paraId="39602FD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254</w:t>
                  </w:r>
                </w:p>
              </w:tc>
              <w:tc>
                <w:tcPr>
                  <w:tcW w:w="1492" w:type="dxa"/>
                  <w:tcBorders>
                    <w:tl2br w:val="nil"/>
                    <w:tr2bl w:val="nil"/>
                  </w:tcBorders>
                  <w:noWrap/>
                  <w:vAlign w:val="center"/>
                </w:tcPr>
                <w:p w14:paraId="3A17763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255</w:t>
                  </w:r>
                </w:p>
              </w:tc>
              <w:tc>
                <w:tcPr>
                  <w:tcW w:w="1452" w:type="dxa"/>
                  <w:tcBorders>
                    <w:tl2br w:val="nil"/>
                    <w:tr2bl w:val="nil"/>
                  </w:tcBorders>
                  <w:noWrap/>
                  <w:vAlign w:val="center"/>
                </w:tcPr>
                <w:p w14:paraId="311ED72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258</w:t>
                  </w:r>
                </w:p>
              </w:tc>
              <w:tc>
                <w:tcPr>
                  <w:tcW w:w="1332" w:type="dxa"/>
                  <w:tcBorders>
                    <w:tl2br w:val="nil"/>
                    <w:tr2bl w:val="nil"/>
                  </w:tcBorders>
                  <w:noWrap/>
                  <w:vAlign w:val="center"/>
                </w:tcPr>
                <w:p w14:paraId="07319FD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450</w:t>
                  </w:r>
                </w:p>
              </w:tc>
              <w:tc>
                <w:tcPr>
                  <w:tcW w:w="834" w:type="dxa"/>
                  <w:tcBorders>
                    <w:tl2br w:val="nil"/>
                    <w:tr2bl w:val="nil"/>
                  </w:tcBorders>
                  <w:noWrap/>
                  <w:vAlign w:val="center"/>
                </w:tcPr>
                <w:p w14:paraId="15CE6B7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DF4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BCA6739">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镉</w:t>
                  </w:r>
                </w:p>
              </w:tc>
              <w:tc>
                <w:tcPr>
                  <w:tcW w:w="1492" w:type="dxa"/>
                  <w:tcBorders>
                    <w:tl2br w:val="nil"/>
                    <w:tr2bl w:val="nil"/>
                  </w:tcBorders>
                  <w:noWrap/>
                  <w:vAlign w:val="center"/>
                </w:tcPr>
                <w:p w14:paraId="4EE6DBA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492" w:type="dxa"/>
                  <w:tcBorders>
                    <w:tl2br w:val="nil"/>
                    <w:tr2bl w:val="nil"/>
                  </w:tcBorders>
                  <w:noWrap/>
                  <w:vAlign w:val="center"/>
                </w:tcPr>
                <w:p w14:paraId="0986AAA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452" w:type="dxa"/>
                  <w:tcBorders>
                    <w:tl2br w:val="nil"/>
                    <w:tr2bl w:val="nil"/>
                  </w:tcBorders>
                  <w:noWrap/>
                  <w:vAlign w:val="center"/>
                </w:tcPr>
                <w:p w14:paraId="0E4DBFF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-4</w:t>
                  </w:r>
                  <w:r>
                    <w:rPr>
                      <w:rFonts w:ascii="Times New Roman" w:hAnsi="Times New Roman" w:eastAsia="宋体" w:cs="Times New Roman"/>
                      <w:color w:val="auto"/>
                      <w:sz w:val="21"/>
                      <w:szCs w:val="21"/>
                    </w:rPr>
                    <w:t>L</w:t>
                  </w:r>
                </w:p>
              </w:tc>
              <w:tc>
                <w:tcPr>
                  <w:tcW w:w="1332" w:type="dxa"/>
                  <w:tcBorders>
                    <w:tl2br w:val="nil"/>
                    <w:tr2bl w:val="nil"/>
                  </w:tcBorders>
                  <w:noWrap/>
                  <w:vAlign w:val="center"/>
                </w:tcPr>
                <w:p w14:paraId="57C9D41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0.005</w:t>
                  </w:r>
                </w:p>
              </w:tc>
              <w:tc>
                <w:tcPr>
                  <w:tcW w:w="834" w:type="dxa"/>
                  <w:tcBorders>
                    <w:tl2br w:val="nil"/>
                    <w:tr2bl w:val="nil"/>
                  </w:tcBorders>
                  <w:noWrap/>
                  <w:vAlign w:val="center"/>
                </w:tcPr>
                <w:p w14:paraId="74D9ADF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7FD4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7842E8EB">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铅</w:t>
                  </w:r>
                </w:p>
              </w:tc>
              <w:tc>
                <w:tcPr>
                  <w:tcW w:w="1492" w:type="dxa"/>
                  <w:tcBorders>
                    <w:tl2br w:val="nil"/>
                    <w:tr2bl w:val="nil"/>
                  </w:tcBorders>
                  <w:noWrap/>
                  <w:vAlign w:val="center"/>
                </w:tcPr>
                <w:p w14:paraId="39EE757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492" w:type="dxa"/>
                  <w:tcBorders>
                    <w:tl2br w:val="nil"/>
                    <w:tr2bl w:val="nil"/>
                  </w:tcBorders>
                  <w:noWrap/>
                  <w:vAlign w:val="center"/>
                </w:tcPr>
                <w:p w14:paraId="0C1CED8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452" w:type="dxa"/>
                  <w:tcBorders>
                    <w:tl2br w:val="nil"/>
                    <w:tr2bl w:val="nil"/>
                  </w:tcBorders>
                  <w:noWrap/>
                  <w:vAlign w:val="center"/>
                </w:tcPr>
                <w:p w14:paraId="4CD1670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1×10</w:t>
                  </w:r>
                  <w:r>
                    <w:rPr>
                      <w:rFonts w:hint="eastAsia"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rPr>
                    <w:t>L</w:t>
                  </w:r>
                </w:p>
              </w:tc>
              <w:tc>
                <w:tcPr>
                  <w:tcW w:w="1332" w:type="dxa"/>
                  <w:tcBorders>
                    <w:tl2br w:val="nil"/>
                    <w:tr2bl w:val="nil"/>
                  </w:tcBorders>
                  <w:noWrap/>
                  <w:vAlign w:val="center"/>
                </w:tcPr>
                <w:p w14:paraId="186B461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0.01</w:t>
                  </w:r>
                </w:p>
              </w:tc>
              <w:tc>
                <w:tcPr>
                  <w:tcW w:w="834" w:type="dxa"/>
                  <w:tcBorders>
                    <w:tl2br w:val="nil"/>
                    <w:tr2bl w:val="nil"/>
                  </w:tcBorders>
                  <w:noWrap/>
                  <w:vAlign w:val="center"/>
                </w:tcPr>
                <w:p w14:paraId="666D07E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26A1D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1F3298C0">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铁</w:t>
                  </w:r>
                </w:p>
              </w:tc>
              <w:tc>
                <w:tcPr>
                  <w:tcW w:w="1492" w:type="dxa"/>
                  <w:tcBorders>
                    <w:tl2br w:val="nil"/>
                    <w:tr2bl w:val="nil"/>
                  </w:tcBorders>
                  <w:noWrap/>
                  <w:vAlign w:val="center"/>
                </w:tcPr>
                <w:p w14:paraId="731AD0F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492" w:type="dxa"/>
                  <w:tcBorders>
                    <w:tl2br w:val="nil"/>
                    <w:tr2bl w:val="nil"/>
                  </w:tcBorders>
                  <w:noWrap/>
                  <w:vAlign w:val="center"/>
                </w:tcPr>
                <w:p w14:paraId="66D098E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0.03L</w:t>
                  </w:r>
                </w:p>
              </w:tc>
              <w:tc>
                <w:tcPr>
                  <w:tcW w:w="1452" w:type="dxa"/>
                  <w:tcBorders>
                    <w:tl2br w:val="nil"/>
                    <w:tr2bl w:val="nil"/>
                  </w:tcBorders>
                  <w:noWrap/>
                  <w:vAlign w:val="center"/>
                </w:tcPr>
                <w:p w14:paraId="6B86E73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332" w:type="dxa"/>
                  <w:tcBorders>
                    <w:tl2br w:val="nil"/>
                    <w:tr2bl w:val="nil"/>
                  </w:tcBorders>
                  <w:noWrap/>
                  <w:vAlign w:val="center"/>
                </w:tcPr>
                <w:p w14:paraId="3160977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0.3</w:t>
                  </w:r>
                </w:p>
              </w:tc>
              <w:tc>
                <w:tcPr>
                  <w:tcW w:w="834" w:type="dxa"/>
                  <w:tcBorders>
                    <w:tl2br w:val="nil"/>
                    <w:tr2bl w:val="nil"/>
                  </w:tcBorders>
                  <w:noWrap/>
                  <w:vAlign w:val="center"/>
                </w:tcPr>
                <w:p w14:paraId="619EDD6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A0D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8BC3AE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锰</w:t>
                  </w:r>
                </w:p>
              </w:tc>
              <w:tc>
                <w:tcPr>
                  <w:tcW w:w="1492" w:type="dxa"/>
                  <w:tcBorders>
                    <w:tl2br w:val="nil"/>
                    <w:tr2bl w:val="nil"/>
                  </w:tcBorders>
                  <w:noWrap/>
                  <w:vAlign w:val="center"/>
                </w:tcPr>
                <w:p w14:paraId="582D2AC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492" w:type="dxa"/>
                  <w:tcBorders>
                    <w:tl2br w:val="nil"/>
                    <w:tr2bl w:val="nil"/>
                  </w:tcBorders>
                  <w:noWrap/>
                  <w:vAlign w:val="center"/>
                </w:tcPr>
                <w:p w14:paraId="57CEF33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0.01L</w:t>
                  </w:r>
                </w:p>
              </w:tc>
              <w:tc>
                <w:tcPr>
                  <w:tcW w:w="1452" w:type="dxa"/>
                  <w:tcBorders>
                    <w:tl2br w:val="nil"/>
                    <w:tr2bl w:val="nil"/>
                  </w:tcBorders>
                  <w:noWrap/>
                  <w:vAlign w:val="center"/>
                </w:tcPr>
                <w:p w14:paraId="3955D73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332" w:type="dxa"/>
                  <w:tcBorders>
                    <w:tl2br w:val="nil"/>
                    <w:tr2bl w:val="nil"/>
                  </w:tcBorders>
                  <w:noWrap/>
                  <w:vAlign w:val="center"/>
                </w:tcPr>
                <w:p w14:paraId="2D2EC02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0.1</w:t>
                  </w:r>
                </w:p>
              </w:tc>
              <w:tc>
                <w:tcPr>
                  <w:tcW w:w="834" w:type="dxa"/>
                  <w:tcBorders>
                    <w:tl2br w:val="nil"/>
                    <w:tr2bl w:val="nil"/>
                  </w:tcBorders>
                  <w:noWrap/>
                  <w:vAlign w:val="center"/>
                </w:tcPr>
                <w:p w14:paraId="758DC00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2C0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7152831">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溶解性总固体</w:t>
                  </w:r>
                </w:p>
              </w:tc>
              <w:tc>
                <w:tcPr>
                  <w:tcW w:w="1492" w:type="dxa"/>
                  <w:tcBorders>
                    <w:tl2br w:val="nil"/>
                    <w:tr2bl w:val="nil"/>
                  </w:tcBorders>
                  <w:noWrap/>
                  <w:vAlign w:val="center"/>
                </w:tcPr>
                <w:p w14:paraId="61B3D3F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445</w:t>
                  </w:r>
                </w:p>
              </w:tc>
              <w:tc>
                <w:tcPr>
                  <w:tcW w:w="1492" w:type="dxa"/>
                  <w:tcBorders>
                    <w:tl2br w:val="nil"/>
                    <w:tr2bl w:val="nil"/>
                  </w:tcBorders>
                  <w:noWrap/>
                  <w:vAlign w:val="center"/>
                </w:tcPr>
                <w:p w14:paraId="4AD68CD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448</w:t>
                  </w:r>
                </w:p>
              </w:tc>
              <w:tc>
                <w:tcPr>
                  <w:tcW w:w="1452" w:type="dxa"/>
                  <w:tcBorders>
                    <w:tl2br w:val="nil"/>
                    <w:tr2bl w:val="nil"/>
                  </w:tcBorders>
                  <w:noWrap/>
                  <w:vAlign w:val="center"/>
                </w:tcPr>
                <w:p w14:paraId="23E6924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451</w:t>
                  </w:r>
                </w:p>
              </w:tc>
              <w:tc>
                <w:tcPr>
                  <w:tcW w:w="1332" w:type="dxa"/>
                  <w:tcBorders>
                    <w:tl2br w:val="nil"/>
                    <w:tr2bl w:val="nil"/>
                  </w:tcBorders>
                  <w:noWrap/>
                  <w:vAlign w:val="center"/>
                </w:tcPr>
                <w:p w14:paraId="5F85F2F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1000</w:t>
                  </w:r>
                </w:p>
              </w:tc>
              <w:tc>
                <w:tcPr>
                  <w:tcW w:w="834" w:type="dxa"/>
                  <w:tcBorders>
                    <w:tl2br w:val="nil"/>
                    <w:tr2bl w:val="nil"/>
                  </w:tcBorders>
                  <w:noWrap/>
                  <w:vAlign w:val="center"/>
                </w:tcPr>
                <w:p w14:paraId="30C7241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6B5C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0DCDF7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硫酸盐</w:t>
                  </w:r>
                </w:p>
              </w:tc>
              <w:tc>
                <w:tcPr>
                  <w:tcW w:w="1492" w:type="dxa"/>
                  <w:tcBorders>
                    <w:tl2br w:val="nil"/>
                    <w:tr2bl w:val="nil"/>
                  </w:tcBorders>
                  <w:noWrap/>
                  <w:vAlign w:val="center"/>
                </w:tcPr>
                <w:p w14:paraId="54761BD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60</w:t>
                  </w:r>
                </w:p>
              </w:tc>
              <w:tc>
                <w:tcPr>
                  <w:tcW w:w="1492" w:type="dxa"/>
                  <w:tcBorders>
                    <w:tl2br w:val="nil"/>
                    <w:tr2bl w:val="nil"/>
                  </w:tcBorders>
                  <w:noWrap/>
                  <w:vAlign w:val="center"/>
                </w:tcPr>
                <w:p w14:paraId="5217F79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61</w:t>
                  </w:r>
                </w:p>
              </w:tc>
              <w:tc>
                <w:tcPr>
                  <w:tcW w:w="1452" w:type="dxa"/>
                  <w:tcBorders>
                    <w:tl2br w:val="nil"/>
                    <w:tr2bl w:val="nil"/>
                  </w:tcBorders>
                  <w:noWrap/>
                  <w:vAlign w:val="center"/>
                </w:tcPr>
                <w:p w14:paraId="7C82B49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59</w:t>
                  </w:r>
                </w:p>
              </w:tc>
              <w:tc>
                <w:tcPr>
                  <w:tcW w:w="1332" w:type="dxa"/>
                  <w:tcBorders>
                    <w:tl2br w:val="nil"/>
                    <w:tr2bl w:val="nil"/>
                  </w:tcBorders>
                  <w:noWrap/>
                  <w:vAlign w:val="center"/>
                </w:tcPr>
                <w:p w14:paraId="3D58244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250</w:t>
                  </w:r>
                </w:p>
              </w:tc>
              <w:tc>
                <w:tcPr>
                  <w:tcW w:w="834" w:type="dxa"/>
                  <w:tcBorders>
                    <w:tl2br w:val="nil"/>
                    <w:tr2bl w:val="nil"/>
                  </w:tcBorders>
                  <w:noWrap/>
                  <w:vAlign w:val="center"/>
                </w:tcPr>
                <w:p w14:paraId="7973D26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B0A0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5CDE63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氯化物</w:t>
                  </w:r>
                </w:p>
              </w:tc>
              <w:tc>
                <w:tcPr>
                  <w:tcW w:w="1492" w:type="dxa"/>
                  <w:tcBorders>
                    <w:tl2br w:val="nil"/>
                    <w:tr2bl w:val="nil"/>
                  </w:tcBorders>
                  <w:noWrap/>
                  <w:vAlign w:val="center"/>
                </w:tcPr>
                <w:p w14:paraId="0706DE2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33</w:t>
                  </w:r>
                </w:p>
              </w:tc>
              <w:tc>
                <w:tcPr>
                  <w:tcW w:w="1492" w:type="dxa"/>
                  <w:tcBorders>
                    <w:tl2br w:val="nil"/>
                    <w:tr2bl w:val="nil"/>
                  </w:tcBorders>
                  <w:noWrap/>
                  <w:vAlign w:val="center"/>
                </w:tcPr>
                <w:p w14:paraId="2D841FE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36</w:t>
                  </w:r>
                </w:p>
              </w:tc>
              <w:tc>
                <w:tcPr>
                  <w:tcW w:w="1452" w:type="dxa"/>
                  <w:tcBorders>
                    <w:tl2br w:val="nil"/>
                    <w:tr2bl w:val="nil"/>
                  </w:tcBorders>
                  <w:noWrap/>
                  <w:vAlign w:val="center"/>
                </w:tcPr>
                <w:p w14:paraId="40C9D10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35</w:t>
                  </w:r>
                </w:p>
              </w:tc>
              <w:tc>
                <w:tcPr>
                  <w:tcW w:w="1332" w:type="dxa"/>
                  <w:tcBorders>
                    <w:tl2br w:val="nil"/>
                    <w:tr2bl w:val="nil"/>
                  </w:tcBorders>
                  <w:noWrap/>
                  <w:vAlign w:val="center"/>
                </w:tcPr>
                <w:p w14:paraId="196555D6">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250</w:t>
                  </w:r>
                </w:p>
              </w:tc>
              <w:tc>
                <w:tcPr>
                  <w:tcW w:w="834" w:type="dxa"/>
                  <w:tcBorders>
                    <w:tl2br w:val="nil"/>
                    <w:tr2bl w:val="nil"/>
                  </w:tcBorders>
                  <w:noWrap/>
                  <w:vAlign w:val="center"/>
                </w:tcPr>
                <w:p w14:paraId="5F9AA71E">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05F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A0D5D8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总大肠菌群</w:t>
                  </w:r>
                </w:p>
              </w:tc>
              <w:tc>
                <w:tcPr>
                  <w:tcW w:w="1492" w:type="dxa"/>
                  <w:tcBorders>
                    <w:tl2br w:val="nil"/>
                    <w:tr2bl w:val="nil"/>
                  </w:tcBorders>
                  <w:noWrap/>
                  <w:vAlign w:val="center"/>
                </w:tcPr>
                <w:p w14:paraId="4DC9FD20">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492" w:type="dxa"/>
                  <w:tcBorders>
                    <w:tl2br w:val="nil"/>
                    <w:tr2bl w:val="nil"/>
                  </w:tcBorders>
                  <w:noWrap/>
                  <w:vAlign w:val="center"/>
                </w:tcPr>
                <w:p w14:paraId="5900A2D8">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452" w:type="dxa"/>
                  <w:tcBorders>
                    <w:tl2br w:val="nil"/>
                    <w:tr2bl w:val="nil"/>
                  </w:tcBorders>
                  <w:noWrap/>
                  <w:vAlign w:val="center"/>
                </w:tcPr>
                <w:p w14:paraId="087419BB">
                  <w:pPr>
                    <w:kinsoku/>
                    <w:overflowPunct w:val="0"/>
                    <w:autoSpaceDE/>
                    <w:autoSpaceDN/>
                    <w:adjustRightInd/>
                    <w:snapToGrid/>
                    <w:jc w:val="center"/>
                    <w:textAlignment w:val="auto"/>
                    <w:rPr>
                      <w:rFonts w:ascii="Times New Roman" w:hAnsi="Times New Roman" w:eastAsia="宋体" w:cs="Times New Roman"/>
                      <w:color w:val="auto"/>
                      <w:lang w:eastAsia="zh-CN" w:bidi="ar"/>
                    </w:rPr>
                  </w:pPr>
                  <w:r>
                    <w:rPr>
                      <w:rFonts w:ascii="Times New Roman" w:hAnsi="Times New Roman" w:eastAsia="宋体" w:cs="Times New Roman"/>
                      <w:color w:val="auto"/>
                      <w:spacing w:val="5"/>
                    </w:rPr>
                    <w:t>未检出</w:t>
                  </w:r>
                </w:p>
              </w:tc>
              <w:tc>
                <w:tcPr>
                  <w:tcW w:w="1332" w:type="dxa"/>
                  <w:tcBorders>
                    <w:tl2br w:val="nil"/>
                    <w:tr2bl w:val="nil"/>
                  </w:tcBorders>
                  <w:noWrap/>
                  <w:vAlign w:val="center"/>
                </w:tcPr>
                <w:p w14:paraId="690BC59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w:t>
                  </w:r>
                </w:p>
              </w:tc>
              <w:tc>
                <w:tcPr>
                  <w:tcW w:w="834" w:type="dxa"/>
                  <w:tcBorders>
                    <w:tl2br w:val="nil"/>
                    <w:tr2bl w:val="nil"/>
                  </w:tcBorders>
                  <w:noWrap/>
                  <w:vAlign w:val="center"/>
                </w:tcPr>
                <w:p w14:paraId="03A7331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0263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40853B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菌落总数</w:t>
                  </w:r>
                </w:p>
              </w:tc>
              <w:tc>
                <w:tcPr>
                  <w:tcW w:w="1492" w:type="dxa"/>
                  <w:tcBorders>
                    <w:tl2br w:val="nil"/>
                    <w:tr2bl w:val="nil"/>
                  </w:tcBorders>
                  <w:noWrap/>
                  <w:vAlign w:val="center"/>
                </w:tcPr>
                <w:p w14:paraId="6E80CBE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55</w:t>
                  </w:r>
                </w:p>
              </w:tc>
              <w:tc>
                <w:tcPr>
                  <w:tcW w:w="1492" w:type="dxa"/>
                  <w:tcBorders>
                    <w:tl2br w:val="nil"/>
                    <w:tr2bl w:val="nil"/>
                  </w:tcBorders>
                  <w:noWrap/>
                  <w:vAlign w:val="center"/>
                </w:tcPr>
                <w:p w14:paraId="5E1A514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65</w:t>
                  </w:r>
                </w:p>
              </w:tc>
              <w:tc>
                <w:tcPr>
                  <w:tcW w:w="1452" w:type="dxa"/>
                  <w:tcBorders>
                    <w:tl2br w:val="nil"/>
                    <w:tr2bl w:val="nil"/>
                  </w:tcBorders>
                  <w:noWrap/>
                  <w:vAlign w:val="center"/>
                </w:tcPr>
                <w:p w14:paraId="32ABEE4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45</w:t>
                  </w:r>
                </w:p>
              </w:tc>
              <w:tc>
                <w:tcPr>
                  <w:tcW w:w="1332" w:type="dxa"/>
                  <w:tcBorders>
                    <w:tl2br w:val="nil"/>
                    <w:tr2bl w:val="nil"/>
                  </w:tcBorders>
                  <w:noWrap/>
                  <w:vAlign w:val="center"/>
                </w:tcPr>
                <w:p w14:paraId="08E0CE19">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1000</w:t>
                  </w:r>
                </w:p>
              </w:tc>
              <w:tc>
                <w:tcPr>
                  <w:tcW w:w="834" w:type="dxa"/>
                  <w:tcBorders>
                    <w:tl2br w:val="nil"/>
                    <w:tr2bl w:val="nil"/>
                  </w:tcBorders>
                  <w:noWrap/>
                  <w:vAlign w:val="center"/>
                </w:tcPr>
                <w:p w14:paraId="334F405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1DCE9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315982E">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总磷</w:t>
                  </w:r>
                </w:p>
              </w:tc>
              <w:tc>
                <w:tcPr>
                  <w:tcW w:w="1492" w:type="dxa"/>
                  <w:tcBorders>
                    <w:tl2br w:val="nil"/>
                    <w:tr2bl w:val="nil"/>
                  </w:tcBorders>
                  <w:noWrap/>
                  <w:vAlign w:val="center"/>
                </w:tcPr>
                <w:p w14:paraId="5E7BE81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0.18</w:t>
                  </w:r>
                </w:p>
              </w:tc>
              <w:tc>
                <w:tcPr>
                  <w:tcW w:w="1492" w:type="dxa"/>
                  <w:tcBorders>
                    <w:tl2br w:val="nil"/>
                    <w:tr2bl w:val="nil"/>
                  </w:tcBorders>
                  <w:noWrap/>
                  <w:vAlign w:val="center"/>
                </w:tcPr>
                <w:p w14:paraId="5283A0D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0.16</w:t>
                  </w:r>
                </w:p>
              </w:tc>
              <w:tc>
                <w:tcPr>
                  <w:tcW w:w="1452" w:type="dxa"/>
                  <w:tcBorders>
                    <w:tl2br w:val="nil"/>
                    <w:tr2bl w:val="nil"/>
                  </w:tcBorders>
                  <w:noWrap/>
                  <w:vAlign w:val="center"/>
                </w:tcPr>
                <w:p w14:paraId="1EBEDDF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0.18</w:t>
                  </w:r>
                </w:p>
              </w:tc>
              <w:tc>
                <w:tcPr>
                  <w:tcW w:w="1332" w:type="dxa"/>
                  <w:tcBorders>
                    <w:tl2br w:val="nil"/>
                    <w:tr2bl w:val="nil"/>
                  </w:tcBorders>
                  <w:noWrap/>
                  <w:vAlign w:val="center"/>
                </w:tcPr>
                <w:p w14:paraId="1B56B9A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91D22D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C44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197F0A7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磷酸盐</w:t>
                  </w:r>
                </w:p>
              </w:tc>
              <w:tc>
                <w:tcPr>
                  <w:tcW w:w="1492" w:type="dxa"/>
                  <w:tcBorders>
                    <w:tl2br w:val="nil"/>
                    <w:tr2bl w:val="nil"/>
                  </w:tcBorders>
                  <w:noWrap/>
                  <w:vAlign w:val="center"/>
                </w:tcPr>
                <w:p w14:paraId="39C1FB3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492" w:type="dxa"/>
                  <w:tcBorders>
                    <w:tl2br w:val="nil"/>
                    <w:tr2bl w:val="nil"/>
                  </w:tcBorders>
                  <w:noWrap/>
                  <w:vAlign w:val="center"/>
                </w:tcPr>
                <w:p w14:paraId="61CFEB8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0.01L</w:t>
                  </w:r>
                </w:p>
              </w:tc>
              <w:tc>
                <w:tcPr>
                  <w:tcW w:w="1452" w:type="dxa"/>
                  <w:tcBorders>
                    <w:tl2br w:val="nil"/>
                    <w:tr2bl w:val="nil"/>
                  </w:tcBorders>
                  <w:noWrap/>
                  <w:vAlign w:val="center"/>
                </w:tcPr>
                <w:p w14:paraId="008ADBB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0.01L</w:t>
                  </w:r>
                </w:p>
              </w:tc>
              <w:tc>
                <w:tcPr>
                  <w:tcW w:w="1332" w:type="dxa"/>
                  <w:tcBorders>
                    <w:tl2br w:val="nil"/>
                    <w:tr2bl w:val="nil"/>
                  </w:tcBorders>
                  <w:noWrap/>
                  <w:vAlign w:val="center"/>
                </w:tcPr>
                <w:p w14:paraId="6A1B5D6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36DC4B62">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050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6B8FDF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氟化物</w:t>
                  </w:r>
                </w:p>
              </w:tc>
              <w:tc>
                <w:tcPr>
                  <w:tcW w:w="1492" w:type="dxa"/>
                  <w:tcBorders>
                    <w:tl2br w:val="nil"/>
                    <w:tr2bl w:val="nil"/>
                  </w:tcBorders>
                  <w:noWrap/>
                  <w:vAlign w:val="center"/>
                </w:tcPr>
                <w:p w14:paraId="71F4AF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0.15</w:t>
                  </w:r>
                </w:p>
              </w:tc>
              <w:tc>
                <w:tcPr>
                  <w:tcW w:w="1492" w:type="dxa"/>
                  <w:tcBorders>
                    <w:tl2br w:val="nil"/>
                    <w:tr2bl w:val="nil"/>
                  </w:tcBorders>
                  <w:noWrap/>
                  <w:vAlign w:val="center"/>
                </w:tcPr>
                <w:p w14:paraId="52FE6EA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0.12</w:t>
                  </w:r>
                </w:p>
              </w:tc>
              <w:tc>
                <w:tcPr>
                  <w:tcW w:w="1452" w:type="dxa"/>
                  <w:tcBorders>
                    <w:tl2br w:val="nil"/>
                    <w:tr2bl w:val="nil"/>
                  </w:tcBorders>
                  <w:noWrap/>
                  <w:vAlign w:val="center"/>
                </w:tcPr>
                <w:p w14:paraId="05E73DA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4"/>
                      <w:sz w:val="21"/>
                      <w:szCs w:val="21"/>
                    </w:rPr>
                    <w:t>0.14</w:t>
                  </w:r>
                </w:p>
              </w:tc>
              <w:tc>
                <w:tcPr>
                  <w:tcW w:w="1332" w:type="dxa"/>
                  <w:tcBorders>
                    <w:tl2br w:val="nil"/>
                    <w:tr2bl w:val="nil"/>
                  </w:tcBorders>
                  <w:noWrap/>
                  <w:vAlign w:val="center"/>
                </w:tcPr>
                <w:p w14:paraId="133512B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761C21F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6A6B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2974841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铬</w:t>
                  </w:r>
                </w:p>
              </w:tc>
              <w:tc>
                <w:tcPr>
                  <w:tcW w:w="1492" w:type="dxa"/>
                  <w:tcBorders>
                    <w:tl2br w:val="nil"/>
                    <w:tr2bl w:val="nil"/>
                  </w:tcBorders>
                  <w:noWrap/>
                  <w:vAlign w:val="center"/>
                </w:tcPr>
                <w:p w14:paraId="75FBDA37">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492" w:type="dxa"/>
                  <w:tcBorders>
                    <w:tl2br w:val="nil"/>
                    <w:tr2bl w:val="nil"/>
                  </w:tcBorders>
                  <w:noWrap/>
                  <w:vAlign w:val="center"/>
                </w:tcPr>
                <w:p w14:paraId="59EF5FD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0.03L</w:t>
                  </w:r>
                </w:p>
              </w:tc>
              <w:tc>
                <w:tcPr>
                  <w:tcW w:w="1452" w:type="dxa"/>
                  <w:tcBorders>
                    <w:tl2br w:val="nil"/>
                    <w:tr2bl w:val="nil"/>
                  </w:tcBorders>
                  <w:noWrap/>
                  <w:vAlign w:val="center"/>
                </w:tcPr>
                <w:p w14:paraId="4F3CE90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0.03L</w:t>
                  </w:r>
                </w:p>
              </w:tc>
              <w:tc>
                <w:tcPr>
                  <w:tcW w:w="1332" w:type="dxa"/>
                  <w:tcBorders>
                    <w:tl2br w:val="nil"/>
                    <w:tr2bl w:val="nil"/>
                  </w:tcBorders>
                  <w:noWrap/>
                  <w:vAlign w:val="center"/>
                </w:tcPr>
                <w:p w14:paraId="6EC4087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71864234">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60BE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4EA123B">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锌</w:t>
                  </w:r>
                </w:p>
              </w:tc>
              <w:tc>
                <w:tcPr>
                  <w:tcW w:w="1492" w:type="dxa"/>
                  <w:tcBorders>
                    <w:tl2br w:val="nil"/>
                    <w:tr2bl w:val="nil"/>
                  </w:tcBorders>
                  <w:noWrap/>
                  <w:vAlign w:val="center"/>
                </w:tcPr>
                <w:p w14:paraId="22CA17D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0.05L</w:t>
                  </w:r>
                </w:p>
              </w:tc>
              <w:tc>
                <w:tcPr>
                  <w:tcW w:w="1492" w:type="dxa"/>
                  <w:tcBorders>
                    <w:tl2br w:val="nil"/>
                    <w:tr2bl w:val="nil"/>
                  </w:tcBorders>
                  <w:noWrap/>
                  <w:vAlign w:val="center"/>
                </w:tcPr>
                <w:p w14:paraId="3E011B46">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0.05L</w:t>
                  </w:r>
                </w:p>
              </w:tc>
              <w:tc>
                <w:tcPr>
                  <w:tcW w:w="1452" w:type="dxa"/>
                  <w:tcBorders>
                    <w:tl2br w:val="nil"/>
                    <w:tr2bl w:val="nil"/>
                  </w:tcBorders>
                  <w:noWrap/>
                  <w:vAlign w:val="center"/>
                </w:tcPr>
                <w:p w14:paraId="4B801E8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0.05L</w:t>
                  </w:r>
                </w:p>
              </w:tc>
              <w:tc>
                <w:tcPr>
                  <w:tcW w:w="1332" w:type="dxa"/>
                  <w:tcBorders>
                    <w:tl2br w:val="nil"/>
                    <w:tr2bl w:val="nil"/>
                  </w:tcBorders>
                  <w:noWrap/>
                  <w:vAlign w:val="center"/>
                </w:tcPr>
                <w:p w14:paraId="0D20E410">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1</w:t>
                  </w:r>
                </w:p>
              </w:tc>
              <w:tc>
                <w:tcPr>
                  <w:tcW w:w="834" w:type="dxa"/>
                  <w:tcBorders>
                    <w:tl2br w:val="nil"/>
                    <w:tr2bl w:val="nil"/>
                  </w:tcBorders>
                  <w:noWrap/>
                  <w:vAlign w:val="center"/>
                </w:tcPr>
                <w:p w14:paraId="41D9EF50">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248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0BC2A90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Na</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45DB238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15.8</w:t>
                  </w:r>
                </w:p>
              </w:tc>
              <w:tc>
                <w:tcPr>
                  <w:tcW w:w="1492" w:type="dxa"/>
                  <w:tcBorders>
                    <w:tl2br w:val="nil"/>
                    <w:tr2bl w:val="nil"/>
                  </w:tcBorders>
                  <w:noWrap/>
                  <w:vAlign w:val="center"/>
                </w:tcPr>
                <w:p w14:paraId="02EE8514">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15.9</w:t>
                  </w:r>
                </w:p>
              </w:tc>
              <w:tc>
                <w:tcPr>
                  <w:tcW w:w="1452" w:type="dxa"/>
                  <w:tcBorders>
                    <w:tl2br w:val="nil"/>
                    <w:tr2bl w:val="nil"/>
                  </w:tcBorders>
                  <w:noWrap/>
                  <w:vAlign w:val="center"/>
                </w:tcPr>
                <w:p w14:paraId="137408FD">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16.0</w:t>
                  </w:r>
                </w:p>
              </w:tc>
              <w:tc>
                <w:tcPr>
                  <w:tcW w:w="1332" w:type="dxa"/>
                  <w:tcBorders>
                    <w:tl2br w:val="nil"/>
                    <w:tr2bl w:val="nil"/>
                  </w:tcBorders>
                  <w:noWrap/>
                  <w:vAlign w:val="center"/>
                </w:tcPr>
                <w:p w14:paraId="658998A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AB1CE6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7108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4B8AF14">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K</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1C216D9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4.06</w:t>
                  </w:r>
                </w:p>
              </w:tc>
              <w:tc>
                <w:tcPr>
                  <w:tcW w:w="1492" w:type="dxa"/>
                  <w:tcBorders>
                    <w:tl2br w:val="nil"/>
                    <w:tr2bl w:val="nil"/>
                  </w:tcBorders>
                  <w:noWrap/>
                  <w:vAlign w:val="center"/>
                </w:tcPr>
                <w:p w14:paraId="497696E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4.48</w:t>
                  </w:r>
                </w:p>
              </w:tc>
              <w:tc>
                <w:tcPr>
                  <w:tcW w:w="1452" w:type="dxa"/>
                  <w:tcBorders>
                    <w:tl2br w:val="nil"/>
                    <w:tr2bl w:val="nil"/>
                  </w:tcBorders>
                  <w:noWrap/>
                  <w:vAlign w:val="center"/>
                </w:tcPr>
                <w:p w14:paraId="6587A2E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4.39</w:t>
                  </w:r>
                </w:p>
              </w:tc>
              <w:tc>
                <w:tcPr>
                  <w:tcW w:w="1332" w:type="dxa"/>
                  <w:tcBorders>
                    <w:tl2br w:val="nil"/>
                    <w:tr2bl w:val="nil"/>
                  </w:tcBorders>
                  <w:noWrap/>
                  <w:vAlign w:val="center"/>
                </w:tcPr>
                <w:p w14:paraId="1F80B42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278D411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156D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E9289F8">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Ca</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36C3E32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9.58</w:t>
                  </w:r>
                </w:p>
              </w:tc>
              <w:tc>
                <w:tcPr>
                  <w:tcW w:w="1492" w:type="dxa"/>
                  <w:tcBorders>
                    <w:tl2br w:val="nil"/>
                    <w:tr2bl w:val="nil"/>
                  </w:tcBorders>
                  <w:noWrap/>
                  <w:vAlign w:val="center"/>
                </w:tcPr>
                <w:p w14:paraId="13EE5D3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9.59</w:t>
                  </w:r>
                </w:p>
              </w:tc>
              <w:tc>
                <w:tcPr>
                  <w:tcW w:w="1452" w:type="dxa"/>
                  <w:tcBorders>
                    <w:tl2br w:val="nil"/>
                    <w:tr2bl w:val="nil"/>
                  </w:tcBorders>
                  <w:noWrap/>
                  <w:vAlign w:val="center"/>
                </w:tcPr>
                <w:p w14:paraId="3A7B8942">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9.69</w:t>
                  </w:r>
                </w:p>
              </w:tc>
              <w:tc>
                <w:tcPr>
                  <w:tcW w:w="1332" w:type="dxa"/>
                  <w:tcBorders>
                    <w:tl2br w:val="nil"/>
                    <w:tr2bl w:val="nil"/>
                  </w:tcBorders>
                  <w:noWrap/>
                  <w:vAlign w:val="center"/>
                </w:tcPr>
                <w:p w14:paraId="304D873D">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2949F5F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2066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6BD8DA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Mg</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20EFD51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55.9</w:t>
                  </w:r>
                </w:p>
              </w:tc>
              <w:tc>
                <w:tcPr>
                  <w:tcW w:w="1492" w:type="dxa"/>
                  <w:tcBorders>
                    <w:tl2br w:val="nil"/>
                    <w:tr2bl w:val="nil"/>
                  </w:tcBorders>
                  <w:noWrap/>
                  <w:vAlign w:val="center"/>
                </w:tcPr>
                <w:p w14:paraId="2BCEF7F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56.2</w:t>
                  </w:r>
                </w:p>
              </w:tc>
              <w:tc>
                <w:tcPr>
                  <w:tcW w:w="1452" w:type="dxa"/>
                  <w:tcBorders>
                    <w:tl2br w:val="nil"/>
                    <w:tr2bl w:val="nil"/>
                  </w:tcBorders>
                  <w:noWrap/>
                  <w:vAlign w:val="center"/>
                </w:tcPr>
                <w:p w14:paraId="3E0BE7C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56.8</w:t>
                  </w:r>
                </w:p>
              </w:tc>
              <w:tc>
                <w:tcPr>
                  <w:tcW w:w="1332" w:type="dxa"/>
                  <w:tcBorders>
                    <w:tl2br w:val="nil"/>
                    <w:tr2bl w:val="nil"/>
                  </w:tcBorders>
                  <w:noWrap/>
                  <w:vAlign w:val="center"/>
                </w:tcPr>
                <w:p w14:paraId="69C7420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1C3C57F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0F30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B87D8EC">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CO</w:t>
                  </w:r>
                  <w:r>
                    <w:rPr>
                      <w:rFonts w:hint="eastAsia" w:ascii="Times New Roman" w:hAnsi="Times New Roman" w:eastAsia="宋体" w:cs="Times New Roman"/>
                      <w:color w:val="auto"/>
                      <w:vertAlign w:val="subscript"/>
                      <w:lang w:eastAsia="zh-CN" w:bidi="ar"/>
                    </w:rPr>
                    <w:t>3</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0599AC4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492" w:type="dxa"/>
                  <w:tcBorders>
                    <w:tl2br w:val="nil"/>
                    <w:tr2bl w:val="nil"/>
                  </w:tcBorders>
                  <w:noWrap/>
                  <w:vAlign w:val="center"/>
                </w:tcPr>
                <w:p w14:paraId="7372F1C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452" w:type="dxa"/>
                  <w:tcBorders>
                    <w:tl2br w:val="nil"/>
                    <w:tr2bl w:val="nil"/>
                  </w:tcBorders>
                  <w:noWrap/>
                  <w:vAlign w:val="center"/>
                </w:tcPr>
                <w:p w14:paraId="1BB1BB1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z w:val="21"/>
                      <w:szCs w:val="21"/>
                    </w:rPr>
                    <w:t>5L</w:t>
                  </w:r>
                </w:p>
              </w:tc>
              <w:tc>
                <w:tcPr>
                  <w:tcW w:w="1332" w:type="dxa"/>
                  <w:tcBorders>
                    <w:tl2br w:val="nil"/>
                    <w:tr2bl w:val="nil"/>
                  </w:tcBorders>
                  <w:noWrap/>
                  <w:vAlign w:val="center"/>
                </w:tcPr>
                <w:p w14:paraId="0C63B8A1">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8AEA65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33AAB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D96E702">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HCO</w:t>
                  </w:r>
                  <w:r>
                    <w:rPr>
                      <w:rFonts w:hint="eastAsia" w:ascii="Times New Roman" w:hAnsi="Times New Roman" w:eastAsia="宋体" w:cs="Times New Roman"/>
                      <w:color w:val="auto"/>
                      <w:vertAlign w:val="superscript"/>
                      <w:lang w:eastAsia="zh-CN" w:bidi="ar"/>
                    </w:rPr>
                    <w:t>3-</w:t>
                  </w:r>
                </w:p>
              </w:tc>
              <w:tc>
                <w:tcPr>
                  <w:tcW w:w="1492" w:type="dxa"/>
                  <w:tcBorders>
                    <w:tl2br w:val="nil"/>
                    <w:tr2bl w:val="nil"/>
                  </w:tcBorders>
                  <w:noWrap/>
                  <w:vAlign w:val="center"/>
                </w:tcPr>
                <w:p w14:paraId="31291038">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227</w:t>
                  </w:r>
                </w:p>
              </w:tc>
              <w:tc>
                <w:tcPr>
                  <w:tcW w:w="1492" w:type="dxa"/>
                  <w:tcBorders>
                    <w:tl2br w:val="nil"/>
                    <w:tr2bl w:val="nil"/>
                  </w:tcBorders>
                  <w:noWrap/>
                  <w:vAlign w:val="center"/>
                </w:tcPr>
                <w:p w14:paraId="0F5FFBAE">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222</w:t>
                  </w:r>
                </w:p>
              </w:tc>
              <w:tc>
                <w:tcPr>
                  <w:tcW w:w="1452" w:type="dxa"/>
                  <w:tcBorders>
                    <w:tl2br w:val="nil"/>
                    <w:tr2bl w:val="nil"/>
                  </w:tcBorders>
                  <w:noWrap/>
                  <w:vAlign w:val="center"/>
                </w:tcPr>
                <w:p w14:paraId="7046F2B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219</w:t>
                  </w:r>
                </w:p>
              </w:tc>
              <w:tc>
                <w:tcPr>
                  <w:tcW w:w="1332" w:type="dxa"/>
                  <w:tcBorders>
                    <w:tl2br w:val="nil"/>
                    <w:tr2bl w:val="nil"/>
                  </w:tcBorders>
                  <w:noWrap/>
                  <w:vAlign w:val="center"/>
                </w:tcPr>
                <w:p w14:paraId="6CD937C8">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43DD89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137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388AC047">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Cl</w:t>
                  </w:r>
                  <w:r>
                    <w:rPr>
                      <w:rFonts w:hint="eastAsia" w:ascii="Times New Roman" w:hAnsi="Times New Roman" w:eastAsia="宋体" w:cs="Times New Roman"/>
                      <w:color w:val="auto"/>
                      <w:vertAlign w:val="superscript"/>
                      <w:lang w:eastAsia="zh-CN" w:bidi="ar"/>
                    </w:rPr>
                    <w:t>-</w:t>
                  </w:r>
                </w:p>
              </w:tc>
              <w:tc>
                <w:tcPr>
                  <w:tcW w:w="1492" w:type="dxa"/>
                  <w:tcBorders>
                    <w:tl2br w:val="nil"/>
                    <w:tr2bl w:val="nil"/>
                  </w:tcBorders>
                  <w:noWrap/>
                  <w:vAlign w:val="center"/>
                </w:tcPr>
                <w:p w14:paraId="3DFF3EFB">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27.1</w:t>
                  </w:r>
                </w:p>
              </w:tc>
              <w:tc>
                <w:tcPr>
                  <w:tcW w:w="1492" w:type="dxa"/>
                  <w:tcBorders>
                    <w:tl2br w:val="nil"/>
                    <w:tr2bl w:val="nil"/>
                  </w:tcBorders>
                  <w:noWrap/>
                  <w:vAlign w:val="center"/>
                </w:tcPr>
                <w:p w14:paraId="041FFF33">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27.3</w:t>
                  </w:r>
                </w:p>
              </w:tc>
              <w:tc>
                <w:tcPr>
                  <w:tcW w:w="1452" w:type="dxa"/>
                  <w:tcBorders>
                    <w:tl2br w:val="nil"/>
                    <w:tr2bl w:val="nil"/>
                  </w:tcBorders>
                  <w:noWrap/>
                  <w:vAlign w:val="center"/>
                </w:tcPr>
                <w:p w14:paraId="5A8DFD1A">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3"/>
                      <w:sz w:val="21"/>
                      <w:szCs w:val="21"/>
                    </w:rPr>
                    <w:t>27.8</w:t>
                  </w:r>
                </w:p>
              </w:tc>
              <w:tc>
                <w:tcPr>
                  <w:tcW w:w="1332" w:type="dxa"/>
                  <w:tcBorders>
                    <w:tl2br w:val="nil"/>
                    <w:tr2bl w:val="nil"/>
                  </w:tcBorders>
                  <w:noWrap/>
                  <w:vAlign w:val="center"/>
                </w:tcPr>
                <w:p w14:paraId="1433A36B">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1C10F29A">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4F59C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60732FD8">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SO</w:t>
                  </w:r>
                  <w:r>
                    <w:rPr>
                      <w:rFonts w:hint="eastAsia" w:ascii="Times New Roman" w:hAnsi="Times New Roman" w:eastAsia="宋体" w:cs="Times New Roman"/>
                      <w:color w:val="auto"/>
                      <w:vertAlign w:val="subscript"/>
                      <w:lang w:eastAsia="zh-CN" w:bidi="ar"/>
                    </w:rPr>
                    <w:t>4</w:t>
                  </w:r>
                  <w:r>
                    <w:rPr>
                      <w:rFonts w:hint="eastAsia" w:ascii="Times New Roman" w:hAnsi="Times New Roman" w:eastAsia="宋体" w:cs="Times New Roman"/>
                      <w:color w:val="auto"/>
                      <w:vertAlign w:val="superscript"/>
                      <w:lang w:eastAsia="zh-CN" w:bidi="ar"/>
                    </w:rPr>
                    <w:t>2-</w:t>
                  </w:r>
                </w:p>
              </w:tc>
              <w:tc>
                <w:tcPr>
                  <w:tcW w:w="1492" w:type="dxa"/>
                  <w:tcBorders>
                    <w:tl2br w:val="nil"/>
                    <w:tr2bl w:val="nil"/>
                  </w:tcBorders>
                  <w:noWrap/>
                  <w:vAlign w:val="center"/>
                </w:tcPr>
                <w:p w14:paraId="3DFF6250">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57.3</w:t>
                  </w:r>
                </w:p>
              </w:tc>
              <w:tc>
                <w:tcPr>
                  <w:tcW w:w="1492" w:type="dxa"/>
                  <w:tcBorders>
                    <w:tl2br w:val="nil"/>
                    <w:tr2bl w:val="nil"/>
                  </w:tcBorders>
                  <w:noWrap/>
                  <w:vAlign w:val="center"/>
                </w:tcPr>
                <w:p w14:paraId="096B5FA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57.4</w:t>
                  </w:r>
                </w:p>
              </w:tc>
              <w:tc>
                <w:tcPr>
                  <w:tcW w:w="1452" w:type="dxa"/>
                  <w:tcBorders>
                    <w:tl2br w:val="nil"/>
                    <w:tr2bl w:val="nil"/>
                  </w:tcBorders>
                  <w:noWrap/>
                  <w:vAlign w:val="center"/>
                </w:tcPr>
                <w:p w14:paraId="7741FD5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57.4</w:t>
                  </w:r>
                </w:p>
              </w:tc>
              <w:tc>
                <w:tcPr>
                  <w:tcW w:w="1332" w:type="dxa"/>
                  <w:tcBorders>
                    <w:tl2br w:val="nil"/>
                    <w:tr2bl w:val="nil"/>
                  </w:tcBorders>
                  <w:noWrap/>
                  <w:vAlign w:val="center"/>
                </w:tcPr>
                <w:p w14:paraId="39A09A65">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c>
                <w:tcPr>
                  <w:tcW w:w="834" w:type="dxa"/>
                  <w:tcBorders>
                    <w:tl2br w:val="nil"/>
                    <w:tr2bl w:val="nil"/>
                  </w:tcBorders>
                  <w:noWrap/>
                  <w:vAlign w:val="center"/>
                </w:tcPr>
                <w:p w14:paraId="614FD98C">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w:t>
                  </w:r>
                </w:p>
              </w:tc>
            </w:tr>
            <w:tr w14:paraId="523F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43256C45">
                  <w:pPr>
                    <w:kinsoku/>
                    <w:overflowPunct w:val="0"/>
                    <w:autoSpaceDE/>
                    <w:autoSpaceDN/>
                    <w:adjustRightInd/>
                    <w:snapToGrid/>
                    <w:jc w:val="center"/>
                    <w:textAlignment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bidi="ar"/>
                    </w:rPr>
                    <w:t>铊</w:t>
                  </w:r>
                </w:p>
              </w:tc>
              <w:tc>
                <w:tcPr>
                  <w:tcW w:w="1492" w:type="dxa"/>
                  <w:tcBorders>
                    <w:tl2br w:val="nil"/>
                    <w:tr2bl w:val="nil"/>
                  </w:tcBorders>
                  <w:noWrap/>
                  <w:vAlign w:val="center"/>
                </w:tcPr>
                <w:p w14:paraId="0DB76B7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-5</w:t>
                  </w:r>
                </w:p>
              </w:tc>
              <w:tc>
                <w:tcPr>
                  <w:tcW w:w="1492" w:type="dxa"/>
                  <w:tcBorders>
                    <w:tl2br w:val="nil"/>
                    <w:tr2bl w:val="nil"/>
                  </w:tcBorders>
                  <w:noWrap/>
                  <w:vAlign w:val="center"/>
                </w:tcPr>
                <w:p w14:paraId="50A33469">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2"/>
                      <w:sz w:val="21"/>
                      <w:szCs w:val="21"/>
                    </w:rPr>
                    <w:t>3×10</w:t>
                  </w:r>
                  <w:r>
                    <w:rPr>
                      <w:rFonts w:hint="eastAsia" w:ascii="Times New Roman" w:hAnsi="Times New Roman" w:eastAsia="宋体" w:cs="Times New Roman"/>
                      <w:color w:val="auto"/>
                      <w:spacing w:val="2"/>
                      <w:sz w:val="21"/>
                      <w:szCs w:val="21"/>
                      <w:vertAlign w:val="superscript"/>
                      <w:lang w:eastAsia="zh-CN"/>
                    </w:rPr>
                    <w:t>-5</w:t>
                  </w:r>
                </w:p>
              </w:tc>
              <w:tc>
                <w:tcPr>
                  <w:tcW w:w="1452" w:type="dxa"/>
                  <w:tcBorders>
                    <w:tl2br w:val="nil"/>
                    <w:tr2bl w:val="nil"/>
                  </w:tcBorders>
                  <w:noWrap/>
                  <w:vAlign w:val="center"/>
                </w:tcPr>
                <w:p w14:paraId="201E7B1C">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hint="eastAsia" w:ascii="Times New Roman" w:hAnsi="Times New Roman" w:eastAsia="宋体" w:cs="Times New Roman"/>
                      <w:color w:val="auto"/>
                      <w:spacing w:val="2"/>
                      <w:sz w:val="21"/>
                      <w:szCs w:val="21"/>
                      <w:lang w:eastAsia="zh-CN"/>
                    </w:rPr>
                    <w:t>2</w:t>
                  </w:r>
                  <w:r>
                    <w:rPr>
                      <w:rFonts w:ascii="Times New Roman" w:hAnsi="Times New Roman" w:eastAsia="宋体" w:cs="Times New Roman"/>
                      <w:color w:val="auto"/>
                      <w:spacing w:val="2"/>
                      <w:sz w:val="21"/>
                      <w:szCs w:val="21"/>
                    </w:rPr>
                    <w:t>×10</w:t>
                  </w:r>
                  <w:r>
                    <w:rPr>
                      <w:rFonts w:hint="eastAsia" w:ascii="Times New Roman" w:hAnsi="Times New Roman" w:eastAsia="宋体" w:cs="Times New Roman"/>
                      <w:color w:val="auto"/>
                      <w:spacing w:val="2"/>
                      <w:sz w:val="21"/>
                      <w:szCs w:val="21"/>
                      <w:vertAlign w:val="superscript"/>
                      <w:lang w:eastAsia="zh-CN"/>
                    </w:rPr>
                    <w:t>-5</w:t>
                  </w:r>
                </w:p>
              </w:tc>
              <w:tc>
                <w:tcPr>
                  <w:tcW w:w="1332" w:type="dxa"/>
                  <w:tcBorders>
                    <w:tl2br w:val="nil"/>
                    <w:tr2bl w:val="nil"/>
                  </w:tcBorders>
                  <w:noWrap/>
                  <w:vAlign w:val="center"/>
                </w:tcPr>
                <w:p w14:paraId="4C65A84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0.0001</w:t>
                  </w:r>
                </w:p>
              </w:tc>
              <w:tc>
                <w:tcPr>
                  <w:tcW w:w="834" w:type="dxa"/>
                  <w:tcBorders>
                    <w:tl2br w:val="nil"/>
                    <w:tr2bl w:val="nil"/>
                  </w:tcBorders>
                  <w:noWrap/>
                  <w:vAlign w:val="center"/>
                </w:tcPr>
                <w:p w14:paraId="72F59417">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4FA47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3" w:type="dxa"/>
                  <w:tcBorders>
                    <w:tl2br w:val="nil"/>
                    <w:tr2bl w:val="nil"/>
                  </w:tcBorders>
                  <w:noWrap/>
                  <w:vAlign w:val="center"/>
                </w:tcPr>
                <w:p w14:paraId="5D36E80A">
                  <w:pPr>
                    <w:kinsoku/>
                    <w:overflowPunct w:val="0"/>
                    <w:autoSpaceDE/>
                    <w:autoSpaceDN/>
                    <w:adjustRightInd/>
                    <w:snapToGrid/>
                    <w:jc w:val="center"/>
                    <w:textAlignment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bidi="ar"/>
                    </w:rPr>
                    <w:t>浑浊度</w:t>
                  </w:r>
                </w:p>
              </w:tc>
              <w:tc>
                <w:tcPr>
                  <w:tcW w:w="1492" w:type="dxa"/>
                  <w:tcBorders>
                    <w:tl2br w:val="nil"/>
                    <w:tr2bl w:val="nil"/>
                  </w:tcBorders>
                  <w:noWrap/>
                  <w:vAlign w:val="center"/>
                </w:tcPr>
                <w:p w14:paraId="1E70BEC5">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492" w:type="dxa"/>
                  <w:tcBorders>
                    <w:tl2br w:val="nil"/>
                    <w:tr2bl w:val="nil"/>
                  </w:tcBorders>
                  <w:noWrap/>
                  <w:vAlign w:val="center"/>
                </w:tcPr>
                <w:p w14:paraId="66535E0F">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452" w:type="dxa"/>
                  <w:tcBorders>
                    <w:tl2br w:val="nil"/>
                    <w:tr2bl w:val="nil"/>
                  </w:tcBorders>
                  <w:noWrap/>
                  <w:vAlign w:val="center"/>
                </w:tcPr>
                <w:p w14:paraId="274C6521">
                  <w:pPr>
                    <w:pStyle w:val="30"/>
                    <w:kinsoku/>
                    <w:overflowPunct w:val="0"/>
                    <w:autoSpaceDE/>
                    <w:autoSpaceDN/>
                    <w:adjustRightInd/>
                    <w:snapToGrid/>
                    <w:jc w:val="center"/>
                    <w:textAlignment w:val="auto"/>
                    <w:rPr>
                      <w:rFonts w:ascii="Times New Roman" w:hAnsi="Times New Roman" w:eastAsia="宋体" w:cs="Times New Roman"/>
                      <w:color w:val="auto"/>
                      <w:sz w:val="21"/>
                      <w:szCs w:val="21"/>
                      <w:lang w:eastAsia="zh-CN" w:bidi="ar"/>
                    </w:rPr>
                  </w:pPr>
                  <w:r>
                    <w:rPr>
                      <w:rFonts w:ascii="Times New Roman" w:hAnsi="Times New Roman" w:eastAsia="宋体" w:cs="Times New Roman"/>
                      <w:color w:val="auto"/>
                      <w:spacing w:val="-7"/>
                      <w:sz w:val="21"/>
                      <w:szCs w:val="21"/>
                    </w:rPr>
                    <w:t>1L</w:t>
                  </w:r>
                </w:p>
              </w:tc>
              <w:tc>
                <w:tcPr>
                  <w:tcW w:w="1332" w:type="dxa"/>
                  <w:tcBorders>
                    <w:tl2br w:val="nil"/>
                    <w:tr2bl w:val="nil"/>
                  </w:tcBorders>
                  <w:noWrap/>
                  <w:vAlign w:val="center"/>
                </w:tcPr>
                <w:p w14:paraId="38D06A3F">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3</w:t>
                  </w:r>
                </w:p>
              </w:tc>
              <w:tc>
                <w:tcPr>
                  <w:tcW w:w="834" w:type="dxa"/>
                  <w:tcBorders>
                    <w:tl2br w:val="nil"/>
                    <w:tr2bl w:val="nil"/>
                  </w:tcBorders>
                  <w:noWrap/>
                  <w:vAlign w:val="center"/>
                </w:tcPr>
                <w:p w14:paraId="2E88C2C3">
                  <w:pPr>
                    <w:kinsoku/>
                    <w:overflowPunct w:val="0"/>
                    <w:autoSpaceDE/>
                    <w:autoSpaceDN/>
                    <w:adjustRightInd/>
                    <w:snapToGrid/>
                    <w:jc w:val="center"/>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达标</w:t>
                  </w:r>
                </w:p>
              </w:tc>
            </w:tr>
            <w:tr w14:paraId="5D72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95" w:type="dxa"/>
                  <w:gridSpan w:val="6"/>
                  <w:tcBorders>
                    <w:tl2br w:val="nil"/>
                    <w:tr2bl w:val="nil"/>
                  </w:tcBorders>
                  <w:noWrap/>
                  <w:vAlign w:val="center"/>
                </w:tcPr>
                <w:p w14:paraId="74939974">
                  <w:pPr>
                    <w:kinsoku/>
                    <w:overflowPunct w:val="0"/>
                    <w:autoSpaceDE/>
                    <w:autoSpaceDN/>
                    <w:adjustRightInd/>
                    <w:snapToGrid/>
                    <w:textAlignment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注：1.“检出限+L ”表示检测结果低于方法检出限；2.*为分包项目，检测数据由云南天籁环保科技 有限公司提供，其报告编号为：[TLHB-SY-2025]-082013号。</w:t>
                  </w:r>
                </w:p>
              </w:tc>
            </w:tr>
          </w:tbl>
          <w:p w14:paraId="1B12648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根据监测结果，项目地下水水质能达到《地下水质量标准》（GB/T14848-2017）中的Ⅲ类标准。</w:t>
            </w:r>
          </w:p>
          <w:p w14:paraId="2BA8328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4.2阴阳离子平衡分析</w:t>
            </w:r>
          </w:p>
          <w:p w14:paraId="6EA6BBC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本次评价采用以下公式对项目区地下水环境中阴阳离子平衡关系进行计算：</w:t>
            </w:r>
          </w:p>
          <w:p w14:paraId="0D7DD819">
            <w:pPr>
              <w:kinsoku/>
              <w:overflowPunct w:val="0"/>
              <w:autoSpaceDE/>
              <w:autoSpaceDN/>
              <w:adjustRightInd/>
              <w:snapToGrid/>
              <w:spacing w:line="360" w:lineRule="auto"/>
              <w:jc w:val="center"/>
              <w:rPr>
                <w:rFonts w:ascii="Times New Roman" w:hAnsi="Times New Roman" w:eastAsia="宋体" w:cs="Times New Roman"/>
                <w:color w:val="auto"/>
              </w:rPr>
            </w:pPr>
            <w:r>
              <w:rPr>
                <w:rFonts w:ascii="Times New Roman" w:hAnsi="Times New Roman" w:eastAsia="宋体" w:cs="Times New Roman"/>
                <w:color w:val="auto"/>
                <w:position w:val="-10"/>
              </w:rPr>
              <w:drawing>
                <wp:inline distT="0" distB="0" distL="0" distR="0">
                  <wp:extent cx="1323975" cy="327660"/>
                  <wp:effectExtent l="0" t="0" r="9525" b="1524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9"/>
                          <a:stretch>
                            <a:fillRect/>
                          </a:stretch>
                        </pic:blipFill>
                        <pic:spPr>
                          <a:xfrm>
                            <a:off x="0" y="0"/>
                            <a:ext cx="1324005" cy="328107"/>
                          </a:xfrm>
                          <a:prstGeom prst="rect">
                            <a:avLst/>
                          </a:prstGeom>
                        </pic:spPr>
                      </pic:pic>
                    </a:graphicData>
                  </a:graphic>
                </wp:inline>
              </w:drawing>
            </w:r>
          </w:p>
          <w:p w14:paraId="2FD7E9A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式中：E——相对误差，Na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为实测值，E应小于±5%，如果Na</w:t>
            </w:r>
            <w:r>
              <w:rPr>
                <w:rFonts w:ascii="Times New Roman" w:hAnsi="Times New Roman" w:eastAsia="宋体" w:cs="Times New Roman"/>
                <w:color w:val="auto"/>
                <w:position w:val="7"/>
                <w:sz w:val="15"/>
                <w:szCs w:val="15"/>
                <w:lang w:eastAsia="zh-CN"/>
              </w:rPr>
              <w:t>+</w:t>
            </w:r>
            <w:r>
              <w:rPr>
                <w:rFonts w:ascii="Times New Roman" w:hAnsi="Times New Roman" w:eastAsia="宋体" w:cs="Times New Roman"/>
                <w:color w:val="auto"/>
                <w:sz w:val="24"/>
                <w:szCs w:val="24"/>
                <w:lang w:eastAsia="zh-CN"/>
              </w:rPr>
              <w:t>、K</w:t>
            </w:r>
            <w:r>
              <w:rPr>
                <w:rFonts w:ascii="Times New Roman" w:hAnsi="Times New Roman" w:eastAsia="宋体" w:cs="Times New Roman"/>
                <w:color w:val="auto"/>
                <w:position w:val="8"/>
                <w:sz w:val="15"/>
                <w:szCs w:val="15"/>
                <w:lang w:eastAsia="zh-CN"/>
              </w:rPr>
              <w:t>+</w:t>
            </w:r>
            <w:r>
              <w:rPr>
                <w:rFonts w:ascii="Times New Roman" w:hAnsi="Times New Roman" w:eastAsia="宋体" w:cs="Times New Roman"/>
                <w:color w:val="auto"/>
                <w:sz w:val="24"/>
                <w:szCs w:val="24"/>
                <w:lang w:eastAsia="zh-CN"/>
              </w:rPr>
              <w:t>为计算值，E应为零或接近零。</w:t>
            </w:r>
          </w:p>
          <w:p w14:paraId="092BC32D">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1"/>
                <w:sz w:val="15"/>
                <w:szCs w:val="15"/>
                <w:lang w:eastAsia="zh-CN"/>
              </w:rPr>
              <w:t>c</w:t>
            </w:r>
            <w:r>
              <w:rPr>
                <w:rFonts w:ascii="Times New Roman" w:hAnsi="Times New Roman" w:eastAsia="宋体" w:cs="Times New Roman"/>
                <w:color w:val="auto"/>
                <w:sz w:val="24"/>
                <w:szCs w:val="24"/>
                <w:lang w:eastAsia="zh-CN"/>
              </w:rPr>
              <w:t>——阴离子的毫克当量浓度，meq/L；</w:t>
            </w:r>
          </w:p>
          <w:p w14:paraId="6EEB5376">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1"/>
                <w:sz w:val="15"/>
                <w:szCs w:val="15"/>
                <w:lang w:eastAsia="zh-CN"/>
              </w:rPr>
              <w:t>a</w:t>
            </w:r>
            <w:r>
              <w:rPr>
                <w:rFonts w:ascii="Times New Roman" w:hAnsi="Times New Roman" w:eastAsia="宋体" w:cs="Times New Roman"/>
                <w:color w:val="auto"/>
                <w:sz w:val="24"/>
                <w:szCs w:val="24"/>
                <w:lang w:eastAsia="zh-CN"/>
              </w:rPr>
              <w:t>——阳离子的毫克当量浓度，meq/L；</w:t>
            </w:r>
          </w:p>
          <w:p w14:paraId="54EDC5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position w:val="2"/>
                <w:sz w:val="24"/>
                <w:szCs w:val="24"/>
                <w:lang w:eastAsia="zh-CN"/>
              </w:rPr>
            </w:pPr>
            <w:r>
              <w:rPr>
                <w:rFonts w:ascii="Times New Roman" w:hAnsi="Times New Roman" w:eastAsia="宋体" w:cs="Times New Roman"/>
                <w:color w:val="auto"/>
                <w:position w:val="2"/>
                <w:sz w:val="24"/>
                <w:szCs w:val="24"/>
                <w:lang w:eastAsia="zh-CN"/>
              </w:rPr>
              <w:t>毫克当量（meq/L）=质量浓度（mg/L）×离子的化合价÷离子的原子量</w:t>
            </w:r>
          </w:p>
          <w:p w14:paraId="40D03E0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表3-7 地下水环境阴阳离子毫克当量一览表单位：meq/L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80"/>
              <w:gridCol w:w="828"/>
              <w:gridCol w:w="680"/>
              <w:gridCol w:w="900"/>
              <w:gridCol w:w="901"/>
              <w:gridCol w:w="901"/>
              <w:gridCol w:w="904"/>
              <w:gridCol w:w="884"/>
              <w:gridCol w:w="912"/>
            </w:tblGrid>
            <w:tr w14:paraId="230D9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jc w:val="center"/>
              </w:trPr>
              <w:tc>
                <w:tcPr>
                  <w:tcW w:w="1405" w:type="dxa"/>
                  <w:vAlign w:val="center"/>
                </w:tcPr>
                <w:p w14:paraId="0FE7FC84">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离子名称</w:t>
                  </w:r>
                </w:p>
              </w:tc>
              <w:tc>
                <w:tcPr>
                  <w:tcW w:w="786" w:type="dxa"/>
                  <w:vAlign w:val="center"/>
                </w:tcPr>
                <w:p w14:paraId="51CF1E5B">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K</w:t>
                  </w:r>
                  <w:r>
                    <w:rPr>
                      <w:rFonts w:hint="eastAsia" w:ascii="Times New Roman" w:hAnsi="Times New Roman" w:eastAsia="宋体" w:cs="Times New Roman"/>
                      <w:b/>
                      <w:bCs/>
                      <w:color w:val="auto"/>
                      <w:position w:val="-1"/>
                      <w:vertAlign w:val="superscript"/>
                      <w:lang w:eastAsia="zh-CN"/>
                    </w:rPr>
                    <w:t>+</w:t>
                  </w:r>
                </w:p>
              </w:tc>
              <w:tc>
                <w:tcPr>
                  <w:tcW w:w="646" w:type="dxa"/>
                  <w:vAlign w:val="center"/>
                </w:tcPr>
                <w:p w14:paraId="11CC7110">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Na</w:t>
                  </w:r>
                  <w:r>
                    <w:rPr>
                      <w:rFonts w:hint="eastAsia" w:ascii="Times New Roman" w:hAnsi="Times New Roman" w:eastAsia="宋体" w:cs="Times New Roman"/>
                      <w:b/>
                      <w:bCs/>
                      <w:color w:val="auto"/>
                      <w:position w:val="-1"/>
                      <w:vertAlign w:val="superscript"/>
                      <w:lang w:eastAsia="zh-CN"/>
                    </w:rPr>
                    <w:t>+</w:t>
                  </w:r>
                </w:p>
              </w:tc>
              <w:tc>
                <w:tcPr>
                  <w:tcW w:w="855" w:type="dxa"/>
                  <w:vAlign w:val="center"/>
                </w:tcPr>
                <w:p w14:paraId="6B1A2AC8">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2"/>
                      <w:lang w:eastAsia="zh-CN"/>
                    </w:rPr>
                    <w:t>Ca</w:t>
                  </w:r>
                  <w:r>
                    <w:rPr>
                      <w:rFonts w:hint="eastAsia" w:ascii="Times New Roman" w:hAnsi="Times New Roman" w:eastAsia="宋体" w:cs="Times New Roman"/>
                      <w:b/>
                      <w:bCs/>
                      <w:color w:val="auto"/>
                      <w:position w:val="-2"/>
                      <w:vertAlign w:val="superscript"/>
                      <w:lang w:eastAsia="zh-CN"/>
                    </w:rPr>
                    <w:t>2+</w:t>
                  </w:r>
                </w:p>
              </w:tc>
              <w:tc>
                <w:tcPr>
                  <w:tcW w:w="856" w:type="dxa"/>
                  <w:vAlign w:val="center"/>
                </w:tcPr>
                <w:p w14:paraId="65E82ECB">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position w:val="-1"/>
                      <w:lang w:eastAsia="zh-CN"/>
                    </w:rPr>
                    <w:t>Mg</w:t>
                  </w:r>
                  <w:r>
                    <w:rPr>
                      <w:rFonts w:hint="eastAsia" w:ascii="Times New Roman" w:hAnsi="Times New Roman" w:eastAsia="宋体" w:cs="Times New Roman"/>
                      <w:b/>
                      <w:bCs/>
                      <w:color w:val="auto"/>
                      <w:position w:val="-2"/>
                      <w:vertAlign w:val="superscript"/>
                      <w:lang w:eastAsia="zh-CN"/>
                    </w:rPr>
                    <w:t>2+</w:t>
                  </w:r>
                </w:p>
              </w:tc>
              <w:tc>
                <w:tcPr>
                  <w:tcW w:w="856" w:type="dxa"/>
                  <w:vAlign w:val="center"/>
                </w:tcPr>
                <w:p w14:paraId="17581091">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CO</w:t>
                  </w:r>
                  <w:r>
                    <w:rPr>
                      <w:rFonts w:hint="eastAsia" w:ascii="Times New Roman" w:hAnsi="Times New Roman" w:eastAsia="宋体" w:cs="Times New Roman"/>
                      <w:b/>
                      <w:bCs/>
                      <w:color w:val="auto"/>
                      <w:vertAlign w:val="subscript"/>
                      <w:lang w:eastAsia="zh-CN"/>
                    </w:rPr>
                    <w:t>3</w:t>
                  </w:r>
                  <w:r>
                    <w:rPr>
                      <w:rFonts w:hint="eastAsia" w:ascii="Times New Roman" w:hAnsi="Times New Roman" w:eastAsia="宋体" w:cs="Times New Roman"/>
                      <w:b/>
                      <w:bCs/>
                      <w:color w:val="auto"/>
                      <w:position w:val="-2"/>
                      <w:vertAlign w:val="superscript"/>
                      <w:lang w:eastAsia="zh-CN"/>
                    </w:rPr>
                    <w:t>2-</w:t>
                  </w:r>
                </w:p>
              </w:tc>
              <w:tc>
                <w:tcPr>
                  <w:tcW w:w="859" w:type="dxa"/>
                  <w:vAlign w:val="center"/>
                </w:tcPr>
                <w:p w14:paraId="288056F4">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HCO</w:t>
                  </w:r>
                  <w:r>
                    <w:rPr>
                      <w:rFonts w:hint="eastAsia" w:ascii="Times New Roman" w:hAnsi="Times New Roman" w:eastAsia="宋体" w:cs="Times New Roman"/>
                      <w:b/>
                      <w:bCs/>
                      <w:color w:val="auto"/>
                      <w:position w:val="-1"/>
                      <w:vertAlign w:val="superscript"/>
                      <w:lang w:eastAsia="zh-CN"/>
                    </w:rPr>
                    <w:t>3-</w:t>
                  </w:r>
                </w:p>
              </w:tc>
              <w:tc>
                <w:tcPr>
                  <w:tcW w:w="840" w:type="dxa"/>
                  <w:vAlign w:val="center"/>
                </w:tcPr>
                <w:p w14:paraId="5E94A508">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Cl</w:t>
                  </w:r>
                  <w:r>
                    <w:rPr>
                      <w:rFonts w:hint="eastAsia" w:ascii="Times New Roman" w:hAnsi="Times New Roman" w:eastAsia="宋体" w:cs="Times New Roman"/>
                      <w:b/>
                      <w:bCs/>
                      <w:color w:val="auto"/>
                      <w:vertAlign w:val="superscript"/>
                      <w:lang w:eastAsia="zh-CN"/>
                    </w:rPr>
                    <w:t>-</w:t>
                  </w:r>
                </w:p>
              </w:tc>
              <w:tc>
                <w:tcPr>
                  <w:tcW w:w="866" w:type="dxa"/>
                  <w:vAlign w:val="center"/>
                </w:tcPr>
                <w:p w14:paraId="078C0E4F">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SO</w:t>
                  </w:r>
                  <w:r>
                    <w:rPr>
                      <w:rFonts w:hint="eastAsia" w:ascii="Times New Roman" w:hAnsi="Times New Roman" w:eastAsia="宋体" w:cs="Times New Roman"/>
                      <w:b/>
                      <w:bCs/>
                      <w:color w:val="auto"/>
                      <w:vertAlign w:val="subscript"/>
                      <w:lang w:eastAsia="zh-CN"/>
                    </w:rPr>
                    <w:t>4</w:t>
                  </w:r>
                  <w:r>
                    <w:rPr>
                      <w:rFonts w:hint="eastAsia" w:ascii="Times New Roman" w:hAnsi="Times New Roman" w:eastAsia="宋体" w:cs="Times New Roman"/>
                      <w:b/>
                      <w:bCs/>
                      <w:color w:val="auto"/>
                      <w:position w:val="-2"/>
                      <w:vertAlign w:val="superscript"/>
                      <w:lang w:eastAsia="zh-CN"/>
                    </w:rPr>
                    <w:t>2-</w:t>
                  </w:r>
                </w:p>
              </w:tc>
            </w:tr>
            <w:tr w14:paraId="6056E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405" w:type="dxa"/>
                  <w:vAlign w:val="center"/>
                </w:tcPr>
                <w:p w14:paraId="5C5F34A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离子化合价</w:t>
                  </w:r>
                </w:p>
              </w:tc>
              <w:tc>
                <w:tcPr>
                  <w:tcW w:w="786" w:type="dxa"/>
                  <w:vAlign w:val="center"/>
                </w:tcPr>
                <w:p w14:paraId="4B74A52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646" w:type="dxa"/>
                  <w:vAlign w:val="center"/>
                </w:tcPr>
                <w:p w14:paraId="54F03D2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55" w:type="dxa"/>
                  <w:vAlign w:val="center"/>
                </w:tcPr>
                <w:p w14:paraId="1F67E52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6" w:type="dxa"/>
                  <w:vAlign w:val="center"/>
                </w:tcPr>
                <w:p w14:paraId="6FCEE20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6" w:type="dxa"/>
                  <w:vAlign w:val="center"/>
                </w:tcPr>
                <w:p w14:paraId="6EC237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c>
                <w:tcPr>
                  <w:tcW w:w="859" w:type="dxa"/>
                  <w:vAlign w:val="center"/>
                </w:tcPr>
                <w:p w14:paraId="2BC7E2F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40" w:type="dxa"/>
                  <w:vAlign w:val="center"/>
                </w:tcPr>
                <w:p w14:paraId="2E5A07F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w:t>
                  </w:r>
                </w:p>
              </w:tc>
              <w:tc>
                <w:tcPr>
                  <w:tcW w:w="866" w:type="dxa"/>
                  <w:vAlign w:val="center"/>
                </w:tcPr>
                <w:p w14:paraId="4EEFCB4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w:t>
                  </w:r>
                </w:p>
              </w:tc>
            </w:tr>
            <w:tr w14:paraId="67D3C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405" w:type="dxa"/>
                  <w:vAlign w:val="center"/>
                </w:tcPr>
                <w:p w14:paraId="0162390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离子原子质量</w:t>
                  </w:r>
                </w:p>
              </w:tc>
              <w:tc>
                <w:tcPr>
                  <w:tcW w:w="786" w:type="dxa"/>
                  <w:vAlign w:val="center"/>
                </w:tcPr>
                <w:p w14:paraId="3031BCD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39</w:t>
                  </w:r>
                </w:p>
              </w:tc>
              <w:tc>
                <w:tcPr>
                  <w:tcW w:w="646" w:type="dxa"/>
                  <w:vAlign w:val="center"/>
                </w:tcPr>
                <w:p w14:paraId="7F26905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23</w:t>
                  </w:r>
                </w:p>
              </w:tc>
              <w:tc>
                <w:tcPr>
                  <w:tcW w:w="855" w:type="dxa"/>
                  <w:vAlign w:val="center"/>
                </w:tcPr>
                <w:p w14:paraId="057D730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40</w:t>
                  </w:r>
                </w:p>
              </w:tc>
              <w:tc>
                <w:tcPr>
                  <w:tcW w:w="856" w:type="dxa"/>
                  <w:vAlign w:val="center"/>
                </w:tcPr>
                <w:p w14:paraId="38B3968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24</w:t>
                  </w:r>
                </w:p>
              </w:tc>
              <w:tc>
                <w:tcPr>
                  <w:tcW w:w="856" w:type="dxa"/>
                  <w:vAlign w:val="center"/>
                </w:tcPr>
                <w:p w14:paraId="5CA3C7C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60</w:t>
                  </w:r>
                </w:p>
              </w:tc>
              <w:tc>
                <w:tcPr>
                  <w:tcW w:w="859" w:type="dxa"/>
                  <w:vAlign w:val="center"/>
                </w:tcPr>
                <w:p w14:paraId="1235449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61</w:t>
                  </w:r>
                </w:p>
              </w:tc>
              <w:tc>
                <w:tcPr>
                  <w:tcW w:w="840" w:type="dxa"/>
                  <w:vAlign w:val="center"/>
                </w:tcPr>
                <w:p w14:paraId="2094258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35.5</w:t>
                  </w:r>
                </w:p>
              </w:tc>
              <w:tc>
                <w:tcPr>
                  <w:tcW w:w="866" w:type="dxa"/>
                  <w:vAlign w:val="center"/>
                </w:tcPr>
                <w:p w14:paraId="6E705E0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96</w:t>
                  </w:r>
                </w:p>
              </w:tc>
            </w:tr>
          </w:tbl>
          <w:p w14:paraId="424F77A3">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position w:val="2"/>
                <w:sz w:val="24"/>
                <w:szCs w:val="24"/>
                <w:lang w:eastAsia="zh-CN"/>
              </w:rPr>
            </w:pPr>
            <w:r>
              <w:rPr>
                <w:rFonts w:hint="eastAsia" w:ascii="Times New Roman" w:hAnsi="Times New Roman" w:eastAsia="宋体" w:cs="Times New Roman"/>
                <w:color w:val="auto"/>
                <w:position w:val="2"/>
                <w:sz w:val="24"/>
                <w:szCs w:val="24"/>
                <w:lang w:eastAsia="zh-CN"/>
              </w:rPr>
              <w:t>根据上述阴离子平衡分析公式及相关内容，本次监测的各地下水监测点位八大离子平衡分析见下表。</w:t>
            </w:r>
          </w:p>
          <w:p w14:paraId="7DAD7CE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表3-8 区域地下水八大离子监测结果 单位：mg/L</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00"/>
              <w:gridCol w:w="2095"/>
              <w:gridCol w:w="2095"/>
              <w:gridCol w:w="2100"/>
            </w:tblGrid>
            <w:tr w14:paraId="4E26F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999" w:type="dxa"/>
                  <w:vMerge w:val="restart"/>
                  <w:tcBorders>
                    <w:bottom w:val="nil"/>
                  </w:tcBorders>
                  <w:vAlign w:val="center"/>
                </w:tcPr>
                <w:p w14:paraId="039CCDA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项目</w:t>
                  </w:r>
                </w:p>
              </w:tc>
              <w:tc>
                <w:tcPr>
                  <w:tcW w:w="5989" w:type="dxa"/>
                  <w:gridSpan w:val="3"/>
                </w:tcPr>
                <w:p w14:paraId="318B757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lang w:eastAsia="zh-CN"/>
                    </w:rPr>
                    <w:t>泽铁社区</w:t>
                  </w:r>
                  <w:r>
                    <w:rPr>
                      <w:rFonts w:ascii="Times New Roman" w:hAnsi="Times New Roman" w:eastAsia="宋体" w:cs="Times New Roman"/>
                      <w:b/>
                      <w:bCs/>
                      <w:color w:val="auto"/>
                      <w:sz w:val="21"/>
                      <w:szCs w:val="21"/>
                    </w:rPr>
                    <w:t>水井</w:t>
                  </w:r>
                </w:p>
              </w:tc>
            </w:tr>
            <w:tr w14:paraId="30CE2F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vMerge w:val="continue"/>
                  <w:tcBorders>
                    <w:top w:val="nil"/>
                  </w:tcBorders>
                </w:tcPr>
                <w:p w14:paraId="47FB7B8F">
                  <w:pPr>
                    <w:kinsoku/>
                    <w:overflowPunct w:val="0"/>
                    <w:autoSpaceDE/>
                    <w:autoSpaceDN/>
                    <w:adjustRightInd/>
                    <w:snapToGrid/>
                    <w:jc w:val="center"/>
                    <w:rPr>
                      <w:rFonts w:ascii="Times New Roman" w:hAnsi="Times New Roman" w:eastAsia="宋体" w:cs="Times New Roman"/>
                      <w:color w:val="auto"/>
                    </w:rPr>
                  </w:pPr>
                </w:p>
              </w:tc>
              <w:tc>
                <w:tcPr>
                  <w:tcW w:w="1995" w:type="dxa"/>
                </w:tcPr>
                <w:p w14:paraId="15BFEBA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0</w:t>
                  </w:r>
                </w:p>
              </w:tc>
              <w:tc>
                <w:tcPr>
                  <w:tcW w:w="1995" w:type="dxa"/>
                </w:tcPr>
                <w:p w14:paraId="7EBF2852">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1</w:t>
                  </w:r>
                </w:p>
              </w:tc>
              <w:tc>
                <w:tcPr>
                  <w:tcW w:w="1999" w:type="dxa"/>
                </w:tcPr>
                <w:p w14:paraId="067AD1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
                      <w:bCs/>
                      <w:color w:val="auto"/>
                    </w:rPr>
                    <w:t>202</w:t>
                  </w:r>
                  <w:r>
                    <w:rPr>
                      <w:rFonts w:hint="eastAsia" w:ascii="Times New Roman" w:hAnsi="Times New Roman" w:eastAsia="宋体" w:cs="Times New Roman"/>
                      <w:b/>
                      <w:bCs/>
                      <w:color w:val="auto"/>
                      <w:lang w:eastAsia="zh-CN"/>
                    </w:rPr>
                    <w:t>5</w:t>
                  </w:r>
                  <w:r>
                    <w:rPr>
                      <w:rFonts w:ascii="Times New Roman" w:hAnsi="Times New Roman" w:eastAsia="宋体" w:cs="Times New Roman"/>
                      <w:b/>
                      <w:bCs/>
                      <w:color w:val="auto"/>
                    </w:rPr>
                    <w:t>.</w:t>
                  </w:r>
                  <w:r>
                    <w:rPr>
                      <w:rFonts w:hint="eastAsia" w:ascii="Times New Roman" w:hAnsi="Times New Roman" w:eastAsia="宋体" w:cs="Times New Roman"/>
                      <w:b/>
                      <w:bCs/>
                      <w:color w:val="auto"/>
                      <w:lang w:eastAsia="zh-CN"/>
                    </w:rPr>
                    <w:t>8</w:t>
                  </w:r>
                  <w:r>
                    <w:rPr>
                      <w:rFonts w:ascii="Times New Roman" w:hAnsi="Times New Roman" w:eastAsia="宋体" w:cs="Times New Roman"/>
                      <w:b/>
                      <w:bCs/>
                      <w:color w:val="auto"/>
                    </w:rPr>
                    <w:t>.2</w:t>
                  </w:r>
                  <w:r>
                    <w:rPr>
                      <w:rFonts w:hint="eastAsia" w:ascii="Times New Roman" w:hAnsi="Times New Roman" w:eastAsia="宋体" w:cs="Times New Roman"/>
                      <w:b/>
                      <w:bCs/>
                      <w:color w:val="auto"/>
                      <w:lang w:eastAsia="zh-CN"/>
                    </w:rPr>
                    <w:t>2</w:t>
                  </w:r>
                </w:p>
              </w:tc>
            </w:tr>
            <w:tr w14:paraId="166E13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999" w:type="dxa"/>
                </w:tcPr>
                <w:p w14:paraId="70FAB5A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K</w:t>
                  </w:r>
                  <w:r>
                    <w:rPr>
                      <w:rFonts w:ascii="Times New Roman" w:hAnsi="Times New Roman" w:eastAsia="宋体" w:cs="Times New Roman"/>
                      <w:color w:val="auto"/>
                      <w:position w:val="4"/>
                    </w:rPr>
                    <w:t>+</w:t>
                  </w:r>
                </w:p>
              </w:tc>
              <w:tc>
                <w:tcPr>
                  <w:tcW w:w="1995" w:type="dxa"/>
                </w:tcPr>
                <w:p w14:paraId="5D16D4F4">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4.06</w:t>
                  </w:r>
                </w:p>
              </w:tc>
              <w:tc>
                <w:tcPr>
                  <w:tcW w:w="1995" w:type="dxa"/>
                </w:tcPr>
                <w:p w14:paraId="4FF46B08">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4.48</w:t>
                  </w:r>
                </w:p>
              </w:tc>
              <w:tc>
                <w:tcPr>
                  <w:tcW w:w="1999" w:type="dxa"/>
                </w:tcPr>
                <w:p w14:paraId="6EBAFC4D">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4.39</w:t>
                  </w:r>
                </w:p>
              </w:tc>
            </w:tr>
            <w:tr w14:paraId="5164F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17EE12C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Na</w:t>
                  </w:r>
                  <w:r>
                    <w:rPr>
                      <w:rFonts w:ascii="Times New Roman" w:hAnsi="Times New Roman" w:eastAsia="宋体" w:cs="Times New Roman"/>
                      <w:color w:val="auto"/>
                      <w:position w:val="5"/>
                    </w:rPr>
                    <w:t>+</w:t>
                  </w:r>
                </w:p>
              </w:tc>
              <w:tc>
                <w:tcPr>
                  <w:tcW w:w="1995" w:type="dxa"/>
                </w:tcPr>
                <w:p w14:paraId="23522B04">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15.8</w:t>
                  </w:r>
                </w:p>
              </w:tc>
              <w:tc>
                <w:tcPr>
                  <w:tcW w:w="1995" w:type="dxa"/>
                </w:tcPr>
                <w:p w14:paraId="2248F512">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15.9</w:t>
                  </w:r>
                </w:p>
              </w:tc>
              <w:tc>
                <w:tcPr>
                  <w:tcW w:w="1999" w:type="dxa"/>
                </w:tcPr>
                <w:p w14:paraId="63EE8B5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16.0</w:t>
                  </w:r>
                </w:p>
              </w:tc>
            </w:tr>
            <w:tr w14:paraId="05326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2973FF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Ca</w:t>
                  </w:r>
                  <w:r>
                    <w:rPr>
                      <w:rFonts w:hint="eastAsia" w:ascii="Times New Roman" w:hAnsi="Times New Roman" w:eastAsia="宋体" w:cs="Times New Roman"/>
                      <w:color w:val="auto"/>
                      <w:position w:val="-1"/>
                      <w:vertAlign w:val="superscript"/>
                      <w:lang w:eastAsia="zh-CN"/>
                    </w:rPr>
                    <w:t>2</w:t>
                  </w:r>
                  <w:r>
                    <w:rPr>
                      <w:rFonts w:ascii="Times New Roman" w:hAnsi="Times New Roman" w:eastAsia="宋体" w:cs="Times New Roman"/>
                      <w:color w:val="auto"/>
                      <w:position w:val="4"/>
                    </w:rPr>
                    <w:t>+</w:t>
                  </w:r>
                </w:p>
              </w:tc>
              <w:tc>
                <w:tcPr>
                  <w:tcW w:w="1995" w:type="dxa"/>
                </w:tcPr>
                <w:p w14:paraId="6230510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9.58</w:t>
                  </w:r>
                </w:p>
              </w:tc>
              <w:tc>
                <w:tcPr>
                  <w:tcW w:w="1995" w:type="dxa"/>
                </w:tcPr>
                <w:p w14:paraId="72A10AEC">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9.59</w:t>
                  </w:r>
                </w:p>
              </w:tc>
              <w:tc>
                <w:tcPr>
                  <w:tcW w:w="1999" w:type="dxa"/>
                </w:tcPr>
                <w:p w14:paraId="272D055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9.69</w:t>
                  </w:r>
                </w:p>
              </w:tc>
            </w:tr>
            <w:tr w14:paraId="1B5DBE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78FE58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position w:val="-1"/>
                    </w:rPr>
                    <w:t>Mg</w:t>
                  </w:r>
                  <w:r>
                    <w:rPr>
                      <w:rFonts w:hint="eastAsia" w:ascii="Times New Roman" w:hAnsi="Times New Roman" w:eastAsia="宋体" w:cs="Times New Roman"/>
                      <w:color w:val="auto"/>
                      <w:position w:val="-1"/>
                      <w:vertAlign w:val="superscript"/>
                      <w:lang w:eastAsia="zh-CN"/>
                    </w:rPr>
                    <w:t>2+</w:t>
                  </w:r>
                </w:p>
              </w:tc>
              <w:tc>
                <w:tcPr>
                  <w:tcW w:w="1995" w:type="dxa"/>
                </w:tcPr>
                <w:p w14:paraId="508EB3C7">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55.9</w:t>
                  </w:r>
                </w:p>
              </w:tc>
              <w:tc>
                <w:tcPr>
                  <w:tcW w:w="1995" w:type="dxa"/>
                </w:tcPr>
                <w:p w14:paraId="0D93B47C">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56.2</w:t>
                  </w:r>
                </w:p>
              </w:tc>
              <w:tc>
                <w:tcPr>
                  <w:tcW w:w="1999" w:type="dxa"/>
                </w:tcPr>
                <w:p w14:paraId="767FAEB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56.8</w:t>
                  </w:r>
                </w:p>
              </w:tc>
            </w:tr>
            <w:tr w14:paraId="389D3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7665EEF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vertAlign w:val="superscript"/>
                      <w:lang w:eastAsia="zh-CN"/>
                    </w:rPr>
                    <w:t>2-</w:t>
                  </w:r>
                </w:p>
              </w:tc>
              <w:tc>
                <w:tcPr>
                  <w:tcW w:w="1995" w:type="dxa"/>
                </w:tcPr>
                <w:p w14:paraId="3F8E3FF8">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c>
                <w:tcPr>
                  <w:tcW w:w="1995" w:type="dxa"/>
                </w:tcPr>
                <w:p w14:paraId="4F38E1D6">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c>
                <w:tcPr>
                  <w:tcW w:w="1999" w:type="dxa"/>
                </w:tcPr>
                <w:p w14:paraId="543CB94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5L</w:t>
                  </w:r>
                </w:p>
              </w:tc>
            </w:tr>
            <w:tr w14:paraId="38EE2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016C287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HCO</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vertAlign w:val="superscript"/>
                      <w:lang w:eastAsia="zh-CN"/>
                    </w:rPr>
                    <w:t>-</w:t>
                  </w:r>
                </w:p>
              </w:tc>
              <w:tc>
                <w:tcPr>
                  <w:tcW w:w="1995" w:type="dxa"/>
                </w:tcPr>
                <w:p w14:paraId="2D59CBBB">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227</w:t>
                  </w:r>
                </w:p>
              </w:tc>
              <w:tc>
                <w:tcPr>
                  <w:tcW w:w="1995" w:type="dxa"/>
                </w:tcPr>
                <w:p w14:paraId="68E97EA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222</w:t>
                  </w:r>
                </w:p>
              </w:tc>
              <w:tc>
                <w:tcPr>
                  <w:tcW w:w="1999" w:type="dxa"/>
                </w:tcPr>
                <w:p w14:paraId="60ABC69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219</w:t>
                  </w:r>
                </w:p>
              </w:tc>
            </w:tr>
            <w:tr w14:paraId="4DF8D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 w:hRule="atLeast"/>
                <w:jc w:val="center"/>
              </w:trPr>
              <w:tc>
                <w:tcPr>
                  <w:tcW w:w="1999" w:type="dxa"/>
                </w:tcPr>
                <w:p w14:paraId="24518CA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Cl</w:t>
                  </w:r>
                  <w:r>
                    <w:rPr>
                      <w:rFonts w:ascii="Times New Roman" w:hAnsi="Times New Roman" w:eastAsia="宋体" w:cs="Times New Roman"/>
                      <w:color w:val="auto"/>
                      <w:position w:val="5"/>
                    </w:rPr>
                    <w:t>-</w:t>
                  </w:r>
                </w:p>
              </w:tc>
              <w:tc>
                <w:tcPr>
                  <w:tcW w:w="1995" w:type="dxa"/>
                </w:tcPr>
                <w:p w14:paraId="678CFB1D">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27.1</w:t>
                  </w:r>
                </w:p>
              </w:tc>
              <w:tc>
                <w:tcPr>
                  <w:tcW w:w="1995" w:type="dxa"/>
                </w:tcPr>
                <w:p w14:paraId="268A86B1">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27.3</w:t>
                  </w:r>
                </w:p>
              </w:tc>
              <w:tc>
                <w:tcPr>
                  <w:tcW w:w="1999" w:type="dxa"/>
                </w:tcPr>
                <w:p w14:paraId="2B5DF125">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27.8</w:t>
                  </w:r>
                </w:p>
              </w:tc>
            </w:tr>
            <w:tr w14:paraId="4BD52D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1999" w:type="dxa"/>
                </w:tcPr>
                <w:p w14:paraId="5F8827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SO</w:t>
                  </w:r>
                  <w:r>
                    <w:rPr>
                      <w:rFonts w:hint="eastAsia" w:ascii="Times New Roman" w:hAnsi="Times New Roman" w:eastAsia="宋体" w:cs="Times New Roman"/>
                      <w:color w:val="auto"/>
                      <w:vertAlign w:val="subscript"/>
                      <w:lang w:eastAsia="zh-CN"/>
                    </w:rPr>
                    <w:t>4</w:t>
                  </w:r>
                  <w:r>
                    <w:rPr>
                      <w:rFonts w:hint="eastAsia" w:ascii="Times New Roman" w:hAnsi="Times New Roman" w:eastAsia="宋体" w:cs="Times New Roman"/>
                      <w:color w:val="auto"/>
                      <w:vertAlign w:val="superscript"/>
                      <w:lang w:eastAsia="zh-CN"/>
                    </w:rPr>
                    <w:t>2</w:t>
                  </w:r>
                  <w:r>
                    <w:rPr>
                      <w:rFonts w:ascii="Times New Roman" w:hAnsi="Times New Roman" w:eastAsia="宋体" w:cs="Times New Roman"/>
                      <w:color w:val="auto"/>
                      <w:position w:val="5"/>
                      <w:vertAlign w:val="superscript"/>
                    </w:rPr>
                    <w:t>-</w:t>
                  </w:r>
                </w:p>
              </w:tc>
              <w:tc>
                <w:tcPr>
                  <w:tcW w:w="1995" w:type="dxa"/>
                </w:tcPr>
                <w:p w14:paraId="055E63D6">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57.3</w:t>
                  </w:r>
                </w:p>
              </w:tc>
              <w:tc>
                <w:tcPr>
                  <w:tcW w:w="1995" w:type="dxa"/>
                </w:tcPr>
                <w:p w14:paraId="1128C24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57.4</w:t>
                  </w:r>
                </w:p>
              </w:tc>
              <w:tc>
                <w:tcPr>
                  <w:tcW w:w="1999" w:type="dxa"/>
                </w:tcPr>
                <w:p w14:paraId="63B2578A">
                  <w:pPr>
                    <w:pStyle w:val="30"/>
                    <w:kinsoku/>
                    <w:overflowPunct w:val="0"/>
                    <w:autoSpaceDE/>
                    <w:autoSpaceDN/>
                    <w:adjustRightInd/>
                    <w:snapToGrid/>
                    <w:jc w:val="center"/>
                    <w:textAlignment w:val="auto"/>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57.4</w:t>
                  </w:r>
                </w:p>
              </w:tc>
            </w:tr>
            <w:tr w14:paraId="2852B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jc w:val="center"/>
              </w:trPr>
              <w:tc>
                <w:tcPr>
                  <w:tcW w:w="1999" w:type="dxa"/>
                </w:tcPr>
                <w:p w14:paraId="4C52091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相对误差E（%）</w:t>
                  </w:r>
                </w:p>
              </w:tc>
              <w:tc>
                <w:tcPr>
                  <w:tcW w:w="1995" w:type="dxa"/>
                  <w:vAlign w:val="center"/>
                </w:tcPr>
                <w:p w14:paraId="0234A54F">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-0.71</w:t>
                  </w:r>
                </w:p>
              </w:tc>
              <w:tc>
                <w:tcPr>
                  <w:tcW w:w="1995" w:type="dxa"/>
                  <w:vAlign w:val="center"/>
                </w:tcPr>
                <w:p w14:paraId="38B68045">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-1.69</w:t>
                  </w:r>
                </w:p>
              </w:tc>
              <w:tc>
                <w:tcPr>
                  <w:tcW w:w="1999" w:type="dxa"/>
                  <w:vAlign w:val="center"/>
                </w:tcPr>
                <w:p w14:paraId="4C63B63A">
                  <w:pPr>
                    <w:kinsoku/>
                    <w:overflowPunct w:val="0"/>
                    <w:autoSpaceDE/>
                    <w:autoSpaceDN/>
                    <w:adjustRightInd/>
                    <w:snapToGrid/>
                    <w:jc w:val="center"/>
                    <w:textAlignment w:val="center"/>
                    <w:rPr>
                      <w:rFonts w:ascii="Times New Roman" w:hAnsi="Times New Roman" w:eastAsia="宋体" w:cs="Times New Roman"/>
                      <w:color w:val="auto"/>
                    </w:rPr>
                  </w:pPr>
                  <w:r>
                    <w:rPr>
                      <w:rFonts w:hint="eastAsia" w:ascii="Times New Roman" w:hAnsi="Times New Roman" w:eastAsia="宋体" w:cs="Times New Roman"/>
                      <w:color w:val="auto"/>
                      <w:lang w:eastAsia="zh-CN" w:bidi="ar"/>
                    </w:rPr>
                    <w:t>-2.47</w:t>
                  </w:r>
                </w:p>
              </w:tc>
            </w:tr>
            <w:tr w14:paraId="5F37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1999" w:type="dxa"/>
                </w:tcPr>
                <w:p w14:paraId="07C7919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结果判定</w:t>
                  </w:r>
                </w:p>
              </w:tc>
              <w:tc>
                <w:tcPr>
                  <w:tcW w:w="1995" w:type="dxa"/>
                </w:tcPr>
                <w:p w14:paraId="0E282A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c>
                <w:tcPr>
                  <w:tcW w:w="1995" w:type="dxa"/>
                </w:tcPr>
                <w:p w14:paraId="3604FD8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c>
                <w:tcPr>
                  <w:tcW w:w="1999" w:type="dxa"/>
                </w:tcPr>
                <w:p w14:paraId="787FF06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合格</w:t>
                  </w:r>
                </w:p>
              </w:tc>
            </w:tr>
            <w:tr w14:paraId="743BC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jc w:val="center"/>
              </w:trPr>
              <w:tc>
                <w:tcPr>
                  <w:tcW w:w="7988" w:type="dxa"/>
                  <w:gridSpan w:val="4"/>
                </w:tcPr>
                <w:p w14:paraId="68F0AD7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备注：“L”表示检测结果低于分析方法最低方法检出限或范围。</w:t>
                  </w:r>
                </w:p>
              </w:tc>
            </w:tr>
          </w:tbl>
          <w:p w14:paraId="3371298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由上述公式计算得，项目监测点相对误差均小于±5%，说明本次地下水监测数据有效。区域地下水环境良好</w:t>
            </w:r>
            <w:r>
              <w:rPr>
                <w:rFonts w:hint="eastAsia" w:ascii="Times New Roman" w:hAnsi="Times New Roman" w:eastAsia="宋体" w:cs="Times New Roman"/>
                <w:color w:val="auto"/>
                <w:sz w:val="24"/>
                <w:szCs w:val="24"/>
                <w:lang w:eastAsia="zh-CN"/>
              </w:rPr>
              <w:t>。</w:t>
            </w:r>
          </w:p>
          <w:p w14:paraId="175347A9">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5、土壤环境现状</w:t>
            </w:r>
          </w:p>
          <w:p w14:paraId="70F0DE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根据《建设项目环境影响报告表编制技术指南（污染影响类）》，“原则上不开展</w:t>
            </w:r>
            <w:r>
              <w:rPr>
                <w:rFonts w:hint="eastAsia" w:ascii="Times New Roman" w:hAnsi="Times New Roman" w:eastAsia="宋体" w:cs="Times New Roman"/>
                <w:color w:val="auto"/>
                <w:sz w:val="24"/>
                <w:szCs w:val="24"/>
                <w:lang w:eastAsia="zh-CN"/>
              </w:rPr>
              <w:t>土壤</w:t>
            </w:r>
            <w:r>
              <w:rPr>
                <w:rFonts w:ascii="Times New Roman" w:hAnsi="Times New Roman" w:eastAsia="宋体" w:cs="Times New Roman"/>
                <w:color w:val="auto"/>
                <w:sz w:val="24"/>
                <w:szCs w:val="24"/>
                <w:lang w:eastAsia="zh-CN"/>
              </w:rPr>
              <w:t>环境质量现状调查，建设项目存在</w:t>
            </w:r>
            <w:r>
              <w:rPr>
                <w:rFonts w:hint="eastAsia" w:ascii="Times New Roman" w:hAnsi="Times New Roman" w:eastAsia="宋体" w:cs="Times New Roman"/>
                <w:color w:val="auto"/>
                <w:sz w:val="24"/>
                <w:szCs w:val="24"/>
                <w:lang w:eastAsia="zh-CN"/>
              </w:rPr>
              <w:t>土壤</w:t>
            </w:r>
            <w:r>
              <w:rPr>
                <w:rFonts w:ascii="Times New Roman" w:hAnsi="Times New Roman" w:eastAsia="宋体" w:cs="Times New Roman"/>
                <w:color w:val="auto"/>
                <w:sz w:val="24"/>
                <w:szCs w:val="24"/>
                <w:lang w:eastAsia="zh-CN"/>
              </w:rPr>
              <w:t>污染途径的，应结合污染源、保护目标分布情况开展现状调查以保留背景值”。</w:t>
            </w:r>
          </w:p>
          <w:p w14:paraId="6395F3D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项目租用金所街道办事处泽铁社区居委会栽开</w:t>
            </w:r>
            <w:r>
              <w:rPr>
                <w:rFonts w:hint="eastAsia" w:ascii="Times New Roman" w:hAnsi="Times New Roman" w:eastAsia="宋体" w:cs="Times New Roman"/>
                <w:color w:val="auto"/>
                <w:sz w:val="24"/>
                <w:szCs w:val="24"/>
                <w:lang w:eastAsia="zh-CN"/>
              </w:rPr>
              <w:t>居民小组地块</w:t>
            </w:r>
            <w:r>
              <w:rPr>
                <w:rFonts w:ascii="Times New Roman" w:hAnsi="Times New Roman" w:eastAsia="宋体" w:cs="Times New Roman"/>
                <w:color w:val="auto"/>
                <w:sz w:val="24"/>
                <w:szCs w:val="24"/>
                <w:lang w:eastAsia="zh-CN"/>
              </w:rPr>
              <w:t>10亩，项目为改性磷石膏综合利用项目，考虑到当防渗被破坏，项目中污染物会</w:t>
            </w:r>
            <w:r>
              <w:rPr>
                <w:rFonts w:hint="eastAsia" w:ascii="Times New Roman" w:hAnsi="Times New Roman" w:eastAsia="宋体" w:cs="Times New Roman"/>
                <w:color w:val="auto"/>
                <w:sz w:val="24"/>
                <w:szCs w:val="24"/>
                <w:lang w:eastAsia="zh-CN"/>
              </w:rPr>
              <w:t>渗入</w:t>
            </w:r>
            <w:r>
              <w:rPr>
                <w:rFonts w:ascii="Times New Roman" w:hAnsi="Times New Roman" w:eastAsia="宋体" w:cs="Times New Roman"/>
                <w:color w:val="auto"/>
                <w:sz w:val="24"/>
                <w:szCs w:val="24"/>
                <w:lang w:eastAsia="zh-CN"/>
              </w:rPr>
              <w:t>土壤，污染土壤环境，同时根据本项目特征为了解项目区内土壤环境质量以及保留背景值，202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w:t>
            </w:r>
            <w:r>
              <w:rPr>
                <w:rFonts w:hint="eastAsia" w:ascii="Times New Roman" w:hAnsi="Times New Roman" w:eastAsia="宋体" w:cs="Times New Roman"/>
                <w:color w:val="auto"/>
                <w:sz w:val="24"/>
                <w:szCs w:val="24"/>
                <w:lang w:eastAsia="zh-CN"/>
              </w:rPr>
              <w:t>8</w:t>
            </w:r>
            <w:r>
              <w:rPr>
                <w:rFonts w:ascii="Times New Roman" w:hAnsi="Times New Roman" w:eastAsia="宋体" w:cs="Times New Roman"/>
                <w:color w:val="auto"/>
                <w:sz w:val="24"/>
                <w:szCs w:val="24"/>
                <w:lang w:eastAsia="zh-CN"/>
              </w:rPr>
              <w:t>月2</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日</w:t>
            </w:r>
            <w:r>
              <w:rPr>
                <w:rFonts w:hint="eastAsia" w:ascii="Times New Roman" w:hAnsi="Times New Roman" w:eastAsia="宋体" w:cs="Times New Roman"/>
                <w:color w:val="auto"/>
                <w:sz w:val="24"/>
                <w:szCs w:val="24"/>
                <w:lang w:eastAsia="zh-CN"/>
              </w:rPr>
              <w:t>-22日</w:t>
            </w:r>
            <w:r>
              <w:rPr>
                <w:rFonts w:ascii="Times New Roman" w:hAnsi="Times New Roman" w:eastAsia="宋体" w:cs="Times New Roman"/>
                <w:color w:val="auto"/>
                <w:sz w:val="24"/>
                <w:szCs w:val="24"/>
                <w:lang w:eastAsia="zh-CN"/>
              </w:rPr>
              <w:t>委托</w:t>
            </w:r>
            <w:r>
              <w:rPr>
                <w:rFonts w:hint="eastAsia" w:ascii="Times New Roman" w:hAnsi="Times New Roman" w:eastAsia="宋体" w:cs="Times New Roman"/>
                <w:color w:val="auto"/>
                <w:sz w:val="24"/>
                <w:szCs w:val="24"/>
                <w:lang w:eastAsia="zh-CN"/>
              </w:rPr>
              <w:t>云南鼎祺检测有限公司</w:t>
            </w:r>
            <w:r>
              <w:rPr>
                <w:rFonts w:ascii="Times New Roman" w:hAnsi="Times New Roman" w:eastAsia="宋体" w:cs="Times New Roman"/>
                <w:color w:val="auto"/>
                <w:sz w:val="24"/>
                <w:szCs w:val="24"/>
                <w:lang w:eastAsia="zh-CN"/>
              </w:rPr>
              <w:t>对《</w:t>
            </w:r>
            <w:r>
              <w:rPr>
                <w:rFonts w:hint="eastAsia" w:ascii="Times New Roman" w:hAnsi="Times New Roman" w:eastAsia="宋体" w:cs="Times New Roman"/>
                <w:color w:val="auto"/>
                <w:sz w:val="24"/>
                <w:szCs w:val="24"/>
                <w:lang w:eastAsia="zh-CN"/>
              </w:rPr>
              <w:t>云南赛农农业科技有限公司改性磷石膏综合利用项目</w:t>
            </w:r>
            <w:r>
              <w:rPr>
                <w:rFonts w:ascii="Times New Roman" w:hAnsi="Times New Roman" w:eastAsia="宋体" w:cs="Times New Roman"/>
                <w:color w:val="auto"/>
                <w:sz w:val="24"/>
                <w:szCs w:val="24"/>
                <w:lang w:eastAsia="zh-CN"/>
              </w:rPr>
              <w:t>》的土壤环境进行监测，监测结果如下：</w:t>
            </w:r>
          </w:p>
          <w:p w14:paraId="0AB7DF9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（1）检测布点</w:t>
            </w:r>
          </w:p>
          <w:p w14:paraId="4B085F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在厂区范围内共布设</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个监测点位。</w:t>
            </w:r>
          </w:p>
          <w:p w14:paraId="1B34F60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表3-9 土壤环境质量现状监测点位</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2734"/>
              <w:gridCol w:w="2098"/>
              <w:gridCol w:w="2098"/>
            </w:tblGrid>
            <w:tr w14:paraId="2E82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vAlign w:val="center"/>
                </w:tcPr>
                <w:p w14:paraId="59CE7FD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编号</w:t>
                  </w:r>
                </w:p>
              </w:tc>
              <w:tc>
                <w:tcPr>
                  <w:tcW w:w="4798" w:type="dxa"/>
                  <w:gridSpan w:val="2"/>
                  <w:vAlign w:val="center"/>
                </w:tcPr>
                <w:p w14:paraId="620B687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监测点位</w:t>
                  </w:r>
                </w:p>
              </w:tc>
              <w:tc>
                <w:tcPr>
                  <w:tcW w:w="2083" w:type="dxa"/>
                  <w:vAlign w:val="center"/>
                </w:tcPr>
                <w:p w14:paraId="6AB4A09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位置</w:t>
                  </w:r>
                </w:p>
              </w:tc>
            </w:tr>
            <w:tr w14:paraId="4F52E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450" w:type="dxa"/>
                  <w:vAlign w:val="center"/>
                </w:tcPr>
                <w:p w14:paraId="5A4FDFD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B1</w:t>
                  </w:r>
                </w:p>
              </w:tc>
              <w:tc>
                <w:tcPr>
                  <w:tcW w:w="2715" w:type="dxa"/>
                  <w:vAlign w:val="center"/>
                </w:tcPr>
                <w:p w14:paraId="454AB42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表层样</w:t>
                  </w:r>
                </w:p>
              </w:tc>
              <w:tc>
                <w:tcPr>
                  <w:tcW w:w="2083" w:type="dxa"/>
                  <w:vAlign w:val="center"/>
                </w:tcPr>
                <w:p w14:paraId="5DED80AC">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项目区域内</w:t>
                  </w:r>
                </w:p>
              </w:tc>
              <w:tc>
                <w:tcPr>
                  <w:tcW w:w="2083" w:type="dxa"/>
                  <w:vAlign w:val="center"/>
                </w:tcPr>
                <w:p w14:paraId="7B6E3E2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项目区内</w:t>
                  </w:r>
                </w:p>
              </w:tc>
            </w:tr>
          </w:tbl>
          <w:p w14:paraId="3B8ED587">
            <w:pPr>
              <w:pStyle w:val="30"/>
              <w:kinsoku/>
              <w:overflowPunct w:val="0"/>
              <w:autoSpaceDE/>
              <w:autoSpaceDN/>
              <w:adjustRightInd/>
              <w:snapToGrid/>
              <w:spacing w:before="40" w:line="219" w:lineRule="auto"/>
              <w:ind w:left="599"/>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（2）检测项目</w:t>
            </w:r>
          </w:p>
          <w:p w14:paraId="71A265EB">
            <w:pPr>
              <w:pStyle w:val="30"/>
              <w:kinsoku/>
              <w:overflowPunct w:val="0"/>
              <w:autoSpaceDE/>
              <w:autoSpaceDN/>
              <w:adjustRightInd/>
              <w:snapToGrid/>
              <w:spacing w:line="360" w:lineRule="auto"/>
              <w:ind w:firstLine="468"/>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B1</w:t>
            </w:r>
            <w:r>
              <w:rPr>
                <w:rFonts w:ascii="Times New Roman" w:hAnsi="Times New Roman" w:eastAsia="宋体" w:cs="Times New Roman"/>
                <w:color w:val="auto"/>
                <w:sz w:val="24"/>
                <w:szCs w:val="24"/>
                <w:lang w:eastAsia="zh-CN"/>
              </w:rPr>
              <w:t>表层样检测项目：</w:t>
            </w:r>
            <w:r>
              <w:rPr>
                <w:rFonts w:hint="eastAsia" w:ascii="Times New Roman" w:hAnsi="Times New Roman" w:eastAsia="宋体" w:cs="Times New Roman"/>
                <w:color w:val="auto"/>
                <w:sz w:val="24"/>
                <w:szCs w:val="24"/>
                <w:lang w:eastAsia="zh-CN"/>
              </w:rPr>
              <w:t>pH值、*（砷、镉、六价铬、铜、铅、汞、镍、四氯化碳、氯仿、氯甲烷、1，1-二氯乙烷、1，2-二氯乙烷、1，1-二氯乙烯、顺-1，2-二氯乙烯、反-1，2二氯乙烯、二氯甲烷、1，2-二氯丙烷、1，1，1，2-四氯乙烷、1，1，1，2，2-四氯乙烷、四氯乙烯、1，1，1-三氯乙烷、1，1，2-三氯乙烷、三氯乙烯、1，2，3-三氯丙烷、氯乙烯、苯、氯苯、1，2-三氯苯、1，4-二氯苯、乙苯、苯乙烯、甲苯、间二甲苯+对二甲苯、邻二甲苯、硝基苯、苯胺、2-氯酚、苯并[a]蒽、苯并[a]芘、苯并[b]荧蒽、苯并[k]荧蒽、䓛、二苯并[a、h]芘、茚并[1，2，3-cd]芘、萘）共46项；同时监测铬、锌、*铊、磷酸盐、氟化物留作背景值</w:t>
            </w:r>
            <w:r>
              <w:rPr>
                <w:rFonts w:ascii="Times New Roman" w:hAnsi="Times New Roman" w:eastAsia="宋体" w:cs="Times New Roman"/>
                <w:color w:val="auto"/>
                <w:sz w:val="24"/>
                <w:szCs w:val="24"/>
                <w:lang w:eastAsia="zh-CN"/>
              </w:rPr>
              <w:t>。</w:t>
            </w:r>
          </w:p>
          <w:p w14:paraId="7E2CEC51">
            <w:pPr>
              <w:pStyle w:val="30"/>
              <w:kinsoku/>
              <w:overflowPunct w:val="0"/>
              <w:autoSpaceDE/>
              <w:autoSpaceDN/>
              <w:adjustRightInd/>
              <w:snapToGrid/>
              <w:spacing w:line="360" w:lineRule="auto"/>
              <w:ind w:firstLine="48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土壤理化性质：</w:t>
            </w:r>
            <w:r>
              <w:rPr>
                <w:rFonts w:hint="eastAsia" w:ascii="Times New Roman" w:hAnsi="Times New Roman" w:eastAsia="宋体" w:cs="Times New Roman"/>
                <w:color w:val="auto"/>
                <w:sz w:val="24"/>
                <w:szCs w:val="24"/>
                <w:lang w:eastAsia="zh-CN"/>
              </w:rPr>
              <w:t>阳离子交换量、氧化还原电位、饱和导水率、土壤容重、孔隙度。</w:t>
            </w:r>
          </w:p>
          <w:p w14:paraId="1C72DAAF">
            <w:pPr>
              <w:pStyle w:val="30"/>
              <w:kinsoku/>
              <w:overflowPunct w:val="0"/>
              <w:autoSpaceDE/>
              <w:autoSpaceDN/>
              <w:adjustRightInd/>
              <w:snapToGrid/>
              <w:spacing w:line="360" w:lineRule="auto"/>
              <w:ind w:firstLine="48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其他：现场记录土壤颜色、结构、质地、砂砾含量及其他异物。</w:t>
            </w:r>
            <w:r>
              <w:rPr>
                <w:rFonts w:ascii="Times New Roman" w:hAnsi="Times New Roman" w:eastAsia="宋体" w:cs="Times New Roman"/>
                <w:color w:val="auto"/>
                <w:sz w:val="24"/>
                <w:szCs w:val="24"/>
                <w:lang w:eastAsia="zh-CN"/>
              </w:rPr>
              <w:t>各测点的采样方法及样品分析方法均按国家环保总局颁布的技术规范及有关规定执行。</w:t>
            </w:r>
          </w:p>
          <w:p w14:paraId="7D3C3DC4">
            <w:pPr>
              <w:pStyle w:val="30"/>
              <w:kinsoku/>
              <w:overflowPunct w:val="0"/>
              <w:autoSpaceDE/>
              <w:autoSpaceDN/>
              <w:adjustRightInd/>
              <w:snapToGrid/>
              <w:spacing w:before="1" w:line="219" w:lineRule="auto"/>
              <w:ind w:left="599"/>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（3）土壤理化特性调查表如下。</w:t>
            </w:r>
          </w:p>
          <w:p w14:paraId="0B1A926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表3-10 土壤质量现状监测结果表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5"/>
            </w:tblGrid>
            <w:tr w14:paraId="4CA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156E1E4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采样日期</w:t>
                  </w:r>
                </w:p>
              </w:tc>
              <w:tc>
                <w:tcPr>
                  <w:tcW w:w="4100" w:type="dxa"/>
                  <w:vAlign w:val="center"/>
                </w:tcPr>
                <w:p w14:paraId="3C8B71F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2025.8.20</w:t>
                  </w:r>
                </w:p>
              </w:tc>
            </w:tr>
            <w:tr w14:paraId="000E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06F67A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采样点位</w:t>
                  </w:r>
                </w:p>
              </w:tc>
              <w:tc>
                <w:tcPr>
                  <w:tcW w:w="4100" w:type="dxa"/>
                  <w:vAlign w:val="center"/>
                </w:tcPr>
                <w:p w14:paraId="5CE95FD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项目区域内</w:t>
                  </w:r>
                </w:p>
              </w:tc>
            </w:tr>
            <w:tr w14:paraId="4EB9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4E5A4CB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样品编号</w:t>
                  </w:r>
                </w:p>
              </w:tc>
              <w:tc>
                <w:tcPr>
                  <w:tcW w:w="4100" w:type="dxa"/>
                  <w:vAlign w:val="center"/>
                </w:tcPr>
                <w:p w14:paraId="793DB0F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202508572-TR-3-1-1</w:t>
                  </w:r>
                </w:p>
              </w:tc>
            </w:tr>
            <w:tr w14:paraId="5BA6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4F785BD9">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颜色</w:t>
                  </w:r>
                </w:p>
              </w:tc>
              <w:tc>
                <w:tcPr>
                  <w:tcW w:w="4100" w:type="dxa"/>
                  <w:vAlign w:val="center"/>
                </w:tcPr>
                <w:p w14:paraId="5768698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r>
            <w:tr w14:paraId="3FA7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0DFDE4F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层次</w:t>
                  </w:r>
                </w:p>
              </w:tc>
              <w:tc>
                <w:tcPr>
                  <w:tcW w:w="4100" w:type="dxa"/>
                  <w:vAlign w:val="center"/>
                </w:tcPr>
                <w:p w14:paraId="604484C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红棕</w:t>
                  </w:r>
                </w:p>
              </w:tc>
            </w:tr>
            <w:tr w14:paraId="00FB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22836D6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结构</w:t>
                  </w:r>
                </w:p>
              </w:tc>
              <w:tc>
                <w:tcPr>
                  <w:tcW w:w="4100" w:type="dxa"/>
                  <w:vAlign w:val="center"/>
                </w:tcPr>
                <w:p w14:paraId="2708358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颗粒状</w:t>
                  </w:r>
                </w:p>
              </w:tc>
            </w:tr>
            <w:tr w14:paraId="7CAA7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C177EB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质地</w:t>
                  </w:r>
                </w:p>
              </w:tc>
              <w:tc>
                <w:tcPr>
                  <w:tcW w:w="4100" w:type="dxa"/>
                  <w:vAlign w:val="center"/>
                </w:tcPr>
                <w:p w14:paraId="6C65138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砂壤土</w:t>
                  </w:r>
                </w:p>
              </w:tc>
            </w:tr>
            <w:tr w14:paraId="0D3E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291450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砂砾含量</w:t>
                  </w:r>
                </w:p>
              </w:tc>
              <w:tc>
                <w:tcPr>
                  <w:tcW w:w="4100" w:type="dxa"/>
                  <w:vAlign w:val="center"/>
                </w:tcPr>
                <w:p w14:paraId="0A12C5E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少量</w:t>
                  </w:r>
                </w:p>
              </w:tc>
            </w:tr>
            <w:tr w14:paraId="3C56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2BBD1D7D">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其他异物</w:t>
                  </w:r>
                </w:p>
              </w:tc>
              <w:tc>
                <w:tcPr>
                  <w:tcW w:w="4100" w:type="dxa"/>
                  <w:vAlign w:val="center"/>
                </w:tcPr>
                <w:p w14:paraId="11210F5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无</w:t>
                  </w:r>
                </w:p>
              </w:tc>
            </w:tr>
            <w:tr w14:paraId="3082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52E3CE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氧化还原电位（mV）</w:t>
                  </w:r>
                </w:p>
              </w:tc>
              <w:tc>
                <w:tcPr>
                  <w:tcW w:w="4100" w:type="dxa"/>
                  <w:vAlign w:val="center"/>
                </w:tcPr>
                <w:p w14:paraId="69E27A7F">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685</w:t>
                  </w:r>
                </w:p>
              </w:tc>
            </w:tr>
            <w:tr w14:paraId="00CD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133DF3E0">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阳离子交换量（cmol</w:t>
                  </w:r>
                  <w:r>
                    <w:rPr>
                      <w:rFonts w:hint="eastAsia" w:ascii="Times New Roman" w:hAnsi="Times New Roman" w:eastAsia="宋体" w:cs="Times New Roman"/>
                      <w:color w:val="auto"/>
                      <w:vertAlign w:val="superscript"/>
                      <w:lang w:eastAsia="zh-CN"/>
                    </w:rPr>
                    <w:t>+</w:t>
                  </w:r>
                  <w:r>
                    <w:rPr>
                      <w:rFonts w:hint="eastAsia" w:ascii="Times New Roman" w:hAnsi="Times New Roman" w:eastAsia="宋体" w:cs="Times New Roman"/>
                      <w:color w:val="auto"/>
                      <w:lang w:eastAsia="zh-CN"/>
                    </w:rPr>
                    <w:t>/kg）</w:t>
                  </w:r>
                </w:p>
              </w:tc>
              <w:tc>
                <w:tcPr>
                  <w:tcW w:w="4100" w:type="dxa"/>
                  <w:vAlign w:val="center"/>
                </w:tcPr>
                <w:p w14:paraId="4AC19DC2">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10.6</w:t>
                  </w:r>
                </w:p>
              </w:tc>
            </w:tr>
            <w:tr w14:paraId="1005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796E28E7">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饱和导水率（mm/min）</w:t>
                  </w:r>
                </w:p>
              </w:tc>
              <w:tc>
                <w:tcPr>
                  <w:tcW w:w="4100" w:type="dxa"/>
                  <w:vAlign w:val="center"/>
                </w:tcPr>
                <w:p w14:paraId="12242753">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0.37</w:t>
                  </w:r>
                </w:p>
              </w:tc>
            </w:tr>
            <w:tr w14:paraId="1FCFE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36A0886B">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容重（g/cm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4100" w:type="dxa"/>
                  <w:vAlign w:val="center"/>
                </w:tcPr>
                <w:p w14:paraId="479E5281">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1.53</w:t>
                  </w:r>
                </w:p>
              </w:tc>
            </w:tr>
            <w:tr w14:paraId="3BB6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06AA9868">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土壤孔隙度（%）</w:t>
                  </w:r>
                </w:p>
              </w:tc>
              <w:tc>
                <w:tcPr>
                  <w:tcW w:w="4100" w:type="dxa"/>
                  <w:vAlign w:val="center"/>
                </w:tcPr>
                <w:p w14:paraId="59A5763E">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40.1</w:t>
                  </w:r>
                </w:p>
              </w:tc>
            </w:tr>
            <w:tr w14:paraId="1258B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00" w:type="dxa"/>
                  <w:vAlign w:val="center"/>
                </w:tcPr>
                <w:p w14:paraId="5103F5C4">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磷酸盐（mg/kg）</w:t>
                  </w:r>
                </w:p>
              </w:tc>
              <w:tc>
                <w:tcPr>
                  <w:tcW w:w="4100" w:type="dxa"/>
                  <w:vAlign w:val="center"/>
                </w:tcPr>
                <w:p w14:paraId="1FF84416">
                  <w:pPr>
                    <w:keepNext w:val="0"/>
                    <w:keepLines w:val="0"/>
                    <w:pageBreakBefore w:val="0"/>
                    <w:widowControl/>
                    <w:kinsoku/>
                    <w:wordWrap/>
                    <w:overflowPunct w:val="0"/>
                    <w:topLinePunct w:val="0"/>
                    <w:autoSpaceDE/>
                    <w:autoSpaceDN/>
                    <w:bidi w:val="0"/>
                    <w:adjustRightInd/>
                    <w:snapToGrid/>
                    <w:spacing w:line="240" w:lineRule="auto"/>
                    <w:jc w:val="center"/>
                    <w:textAlignment w:val="auto"/>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1.71×10</w:t>
                  </w:r>
                  <w:r>
                    <w:rPr>
                      <w:rFonts w:hint="eastAsia" w:ascii="Times New Roman" w:hAnsi="Times New Roman" w:eastAsia="宋体" w:cs="Times New Roman"/>
                      <w:color w:val="auto"/>
                      <w:vertAlign w:val="superscript"/>
                      <w:lang w:eastAsia="zh-CN"/>
                    </w:rPr>
                    <w:t>3</w:t>
                  </w:r>
                </w:p>
              </w:tc>
            </w:tr>
          </w:tbl>
          <w:p w14:paraId="70A4ABDB">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（4）土壤监测结果如下。</w:t>
            </w:r>
          </w:p>
          <w:p w14:paraId="7861F0FC">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表3-11 土壤质量现状监测结果表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76"/>
              <w:gridCol w:w="1203"/>
              <w:gridCol w:w="2401"/>
              <w:gridCol w:w="1610"/>
            </w:tblGrid>
            <w:tr w14:paraId="4E21D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066DA4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检测因子</w:t>
                  </w:r>
                </w:p>
              </w:tc>
              <w:tc>
                <w:tcPr>
                  <w:tcW w:w="1203" w:type="dxa"/>
                  <w:vAlign w:val="center"/>
                </w:tcPr>
                <w:p w14:paraId="64D08A77">
                  <w:pPr>
                    <w:pStyle w:val="30"/>
                    <w:kinsoku/>
                    <w:overflowPunct w:val="0"/>
                    <w:autoSpaceDE/>
                    <w:autoSpaceDN/>
                    <w:adjustRightInd/>
                    <w:snapToGrid/>
                    <w:jc w:val="center"/>
                    <w:rPr>
                      <w:rFonts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项目区域内</w:t>
                  </w:r>
                </w:p>
              </w:tc>
              <w:tc>
                <w:tcPr>
                  <w:tcW w:w="2401" w:type="dxa"/>
                  <w:vAlign w:val="center"/>
                </w:tcPr>
                <w:p w14:paraId="2F5CEBA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标准值</w:t>
                  </w:r>
                </w:p>
              </w:tc>
              <w:tc>
                <w:tcPr>
                  <w:tcW w:w="1610" w:type="dxa"/>
                  <w:vAlign w:val="center"/>
                </w:tcPr>
                <w:p w14:paraId="1AC9E34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评价结果</w:t>
                  </w:r>
                </w:p>
              </w:tc>
            </w:tr>
            <w:tr w14:paraId="66412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2FC98F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w:t>
                  </w:r>
                  <w:r>
                    <w:rPr>
                      <w:rFonts w:ascii="Times New Roman" w:hAnsi="Times New Roman" w:eastAsia="宋体" w:cs="Times New Roman"/>
                      <w:color w:val="auto"/>
                      <w:spacing w:val="8"/>
                      <w:sz w:val="21"/>
                      <w:szCs w:val="21"/>
                    </w:rPr>
                    <w:t>值（无量纲）</w:t>
                  </w:r>
                </w:p>
              </w:tc>
              <w:tc>
                <w:tcPr>
                  <w:tcW w:w="1203" w:type="dxa"/>
                  <w:vAlign w:val="center"/>
                </w:tcPr>
                <w:p w14:paraId="2F83E46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7.39</w:t>
                  </w:r>
                </w:p>
              </w:tc>
              <w:tc>
                <w:tcPr>
                  <w:tcW w:w="2401" w:type="dxa"/>
                  <w:vAlign w:val="center"/>
                </w:tcPr>
                <w:p w14:paraId="71DD827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59E2A0D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7B3D8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C59F74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*砷（</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52703F6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39.2</w:t>
                  </w:r>
                </w:p>
              </w:tc>
              <w:tc>
                <w:tcPr>
                  <w:tcW w:w="2401" w:type="dxa"/>
                  <w:vAlign w:val="center"/>
                </w:tcPr>
                <w:p w14:paraId="373C24F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1610" w:type="dxa"/>
                  <w:vAlign w:val="center"/>
                </w:tcPr>
                <w:p w14:paraId="1962B81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A7CA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1D3C05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*镉（</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3387B8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0.98</w:t>
                  </w:r>
                </w:p>
              </w:tc>
              <w:tc>
                <w:tcPr>
                  <w:tcW w:w="2401" w:type="dxa"/>
                  <w:vAlign w:val="center"/>
                </w:tcPr>
                <w:p w14:paraId="78ADC0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65</w:t>
                  </w:r>
                </w:p>
              </w:tc>
              <w:tc>
                <w:tcPr>
                  <w:tcW w:w="1610" w:type="dxa"/>
                  <w:vAlign w:val="center"/>
                </w:tcPr>
                <w:p w14:paraId="3CC346B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5E64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A559F8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7"/>
                      <w:position w:val="2"/>
                      <w:sz w:val="21"/>
                      <w:szCs w:val="21"/>
                      <w:lang w:eastAsia="zh-CN"/>
                    </w:rPr>
                    <w:t>*铬（六价铬</w:t>
                  </w:r>
                  <w:r>
                    <w:rPr>
                      <w:rFonts w:ascii="Times New Roman" w:hAnsi="Times New Roman" w:eastAsia="宋体" w:cs="Times New Roman"/>
                      <w:color w:val="auto"/>
                      <w:spacing w:val="12"/>
                      <w:position w:val="2"/>
                      <w:sz w:val="21"/>
                      <w:szCs w:val="21"/>
                      <w:lang w:eastAsia="zh-CN"/>
                    </w:rPr>
                    <w:t>）（</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7"/>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7"/>
                      <w:position w:val="2"/>
                      <w:sz w:val="21"/>
                      <w:szCs w:val="21"/>
                      <w:lang w:eastAsia="zh-CN"/>
                    </w:rPr>
                    <w:t>）</w:t>
                  </w:r>
                </w:p>
              </w:tc>
              <w:tc>
                <w:tcPr>
                  <w:tcW w:w="1203" w:type="dxa"/>
                  <w:vAlign w:val="center"/>
                </w:tcPr>
                <w:p w14:paraId="11D6166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5D251EE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w:t>
                  </w:r>
                </w:p>
              </w:tc>
              <w:tc>
                <w:tcPr>
                  <w:tcW w:w="1610" w:type="dxa"/>
                  <w:vAlign w:val="center"/>
                </w:tcPr>
                <w:p w14:paraId="741FE0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7B35F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F031E1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*铜（</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65A680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28</w:t>
                  </w:r>
                </w:p>
              </w:tc>
              <w:tc>
                <w:tcPr>
                  <w:tcW w:w="2401" w:type="dxa"/>
                  <w:vAlign w:val="center"/>
                </w:tcPr>
                <w:p w14:paraId="3FAD921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18000</w:t>
                  </w:r>
                </w:p>
              </w:tc>
              <w:tc>
                <w:tcPr>
                  <w:tcW w:w="1610" w:type="dxa"/>
                  <w:vAlign w:val="center"/>
                </w:tcPr>
                <w:p w14:paraId="00C95A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B6B3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76238B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*铅（</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1E278E2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sz w:val="21"/>
                      <w:szCs w:val="21"/>
                    </w:rPr>
                    <w:t>90.8</w:t>
                  </w:r>
                </w:p>
              </w:tc>
              <w:tc>
                <w:tcPr>
                  <w:tcW w:w="2401" w:type="dxa"/>
                  <w:vAlign w:val="center"/>
                </w:tcPr>
                <w:p w14:paraId="6E85C37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800</w:t>
                  </w:r>
                </w:p>
              </w:tc>
              <w:tc>
                <w:tcPr>
                  <w:tcW w:w="1610" w:type="dxa"/>
                  <w:vAlign w:val="center"/>
                </w:tcPr>
                <w:p w14:paraId="1CA971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4CD6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BF9418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*汞（</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34542A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0.294</w:t>
                  </w:r>
                </w:p>
              </w:tc>
              <w:tc>
                <w:tcPr>
                  <w:tcW w:w="2401" w:type="dxa"/>
                  <w:vAlign w:val="center"/>
                </w:tcPr>
                <w:p w14:paraId="1BE46D1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38</w:t>
                  </w:r>
                </w:p>
              </w:tc>
              <w:tc>
                <w:tcPr>
                  <w:tcW w:w="1610" w:type="dxa"/>
                  <w:vAlign w:val="center"/>
                </w:tcPr>
                <w:p w14:paraId="25395DB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11FF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78190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*镍（</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409D56F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64</w:t>
                  </w:r>
                </w:p>
              </w:tc>
              <w:tc>
                <w:tcPr>
                  <w:tcW w:w="2401" w:type="dxa"/>
                  <w:vAlign w:val="center"/>
                </w:tcPr>
                <w:p w14:paraId="6F1E7F5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900</w:t>
                  </w:r>
                </w:p>
              </w:tc>
              <w:tc>
                <w:tcPr>
                  <w:tcW w:w="1610" w:type="dxa"/>
                  <w:vAlign w:val="center"/>
                </w:tcPr>
                <w:p w14:paraId="000955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0B3F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1BAE34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*四氯化碳</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39AE07D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46F47E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1C26346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843D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316C63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*氯仿</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6BBDF27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10B61B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0.9</w:t>
                  </w:r>
                </w:p>
              </w:tc>
              <w:tc>
                <w:tcPr>
                  <w:tcW w:w="1610" w:type="dxa"/>
                  <w:vAlign w:val="center"/>
                </w:tcPr>
                <w:p w14:paraId="5CB148D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5B3B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E9A69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*氯甲烷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04DE1C9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57FB73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w:t>
                  </w:r>
                </w:p>
              </w:tc>
              <w:tc>
                <w:tcPr>
                  <w:tcW w:w="1610" w:type="dxa"/>
                  <w:vAlign w:val="center"/>
                </w:tcPr>
                <w:p w14:paraId="648E648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D431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BBAE2C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1-二氯乙烷</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6B9B42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3E4DC19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w:t>
                  </w:r>
                </w:p>
              </w:tc>
              <w:tc>
                <w:tcPr>
                  <w:tcW w:w="1610" w:type="dxa"/>
                  <w:vAlign w:val="center"/>
                </w:tcPr>
                <w:p w14:paraId="4809064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B085C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25A984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2-二氯乙烷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203" w:type="dxa"/>
                  <w:vAlign w:val="center"/>
                </w:tcPr>
                <w:p w14:paraId="588FAD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AFA81A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610" w:type="dxa"/>
                  <w:vAlign w:val="center"/>
                </w:tcPr>
                <w:p w14:paraId="174CDEB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5BDA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AD58F8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20"/>
                      <w:position w:val="2"/>
                      <w:sz w:val="21"/>
                      <w:szCs w:val="21"/>
                    </w:rPr>
                    <w:t xml:space="preserve"> </w:t>
                  </w:r>
                  <w:r>
                    <w:rPr>
                      <w:rFonts w:ascii="Times New Roman" w:hAnsi="Times New Roman" w:eastAsia="宋体" w:cs="Times New Roman"/>
                      <w:color w:val="auto"/>
                      <w:spacing w:val="3"/>
                      <w:position w:val="2"/>
                      <w:sz w:val="21"/>
                      <w:szCs w:val="21"/>
                    </w:rPr>
                    <w:t>1-二氯乙烯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3DEF48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FCF044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w:t>
                  </w:r>
                </w:p>
              </w:tc>
              <w:tc>
                <w:tcPr>
                  <w:tcW w:w="1610" w:type="dxa"/>
                  <w:vAlign w:val="center"/>
                </w:tcPr>
                <w:p w14:paraId="63E4A5E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7993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8D7140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*顺-1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2-二氯乙烯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203" w:type="dxa"/>
                  <w:vAlign w:val="center"/>
                </w:tcPr>
                <w:p w14:paraId="1E274B9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48CE3C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596</w:t>
                  </w:r>
                </w:p>
              </w:tc>
              <w:tc>
                <w:tcPr>
                  <w:tcW w:w="1610" w:type="dxa"/>
                  <w:vAlign w:val="center"/>
                </w:tcPr>
                <w:p w14:paraId="0C0A70E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44967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B8732A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*反-1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2-二氯乙烯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203" w:type="dxa"/>
                  <w:vAlign w:val="center"/>
                </w:tcPr>
                <w:p w14:paraId="2CB028E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D1D40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54</w:t>
                  </w:r>
                </w:p>
              </w:tc>
              <w:tc>
                <w:tcPr>
                  <w:tcW w:w="1610" w:type="dxa"/>
                  <w:vAlign w:val="center"/>
                </w:tcPr>
                <w:p w14:paraId="6644B10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81DC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F08750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*二氯甲烷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427D75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21D8D3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616</w:t>
                  </w:r>
                </w:p>
              </w:tc>
              <w:tc>
                <w:tcPr>
                  <w:tcW w:w="1610" w:type="dxa"/>
                  <w:vAlign w:val="center"/>
                </w:tcPr>
                <w:p w14:paraId="22BF835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3E87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8C6D6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2-二氯丙烷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203" w:type="dxa"/>
                  <w:vAlign w:val="center"/>
                </w:tcPr>
                <w:p w14:paraId="1F0F08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EC0CED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1610" w:type="dxa"/>
                  <w:vAlign w:val="center"/>
                </w:tcPr>
                <w:p w14:paraId="65CC26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0708F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7D7E2C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26"/>
                      <w:position w:val="2"/>
                      <w:sz w:val="21"/>
                      <w:szCs w:val="21"/>
                    </w:rPr>
                    <w:t xml:space="preserve"> </w:t>
                  </w: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2-四氯乙烷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203" w:type="dxa"/>
                  <w:vAlign w:val="center"/>
                </w:tcPr>
                <w:p w14:paraId="6024CC3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EBBD3A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w:t>
                  </w:r>
                </w:p>
              </w:tc>
              <w:tc>
                <w:tcPr>
                  <w:tcW w:w="1610" w:type="dxa"/>
                  <w:vAlign w:val="center"/>
                </w:tcPr>
                <w:p w14:paraId="06B31D1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414B4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9426F1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19"/>
                      <w:position w:val="2"/>
                      <w:sz w:val="21"/>
                      <w:szCs w:val="21"/>
                    </w:rPr>
                    <w:t xml:space="preserve"> </w:t>
                  </w:r>
                  <w:r>
                    <w:rPr>
                      <w:rFonts w:ascii="Times New Roman" w:hAnsi="Times New Roman" w:eastAsia="宋体" w:cs="Times New Roman"/>
                      <w:color w:val="auto"/>
                      <w:spacing w:val="6"/>
                      <w:position w:val="2"/>
                      <w:sz w:val="21"/>
                      <w:szCs w:val="21"/>
                    </w:rPr>
                    <w:t>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2-四氯乙烷</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24ABFB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4CCEE0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6.8</w:t>
                  </w:r>
                </w:p>
              </w:tc>
              <w:tc>
                <w:tcPr>
                  <w:tcW w:w="1610" w:type="dxa"/>
                  <w:vAlign w:val="center"/>
                </w:tcPr>
                <w:p w14:paraId="74D5989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1599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09FDA5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*四氯乙烯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0F88FAF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5101BF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53</w:t>
                  </w:r>
                </w:p>
              </w:tc>
              <w:tc>
                <w:tcPr>
                  <w:tcW w:w="1610" w:type="dxa"/>
                  <w:vAlign w:val="center"/>
                </w:tcPr>
                <w:p w14:paraId="260D8FF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5734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3F8083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2"/>
                      <w:position w:val="2"/>
                      <w:sz w:val="21"/>
                      <w:szCs w:val="21"/>
                    </w:rPr>
                    <w:t>1</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5"/>
                      <w:position w:val="2"/>
                      <w:sz w:val="21"/>
                      <w:szCs w:val="21"/>
                    </w:rPr>
                    <w:t xml:space="preserve"> </w:t>
                  </w:r>
                  <w:r>
                    <w:rPr>
                      <w:rFonts w:ascii="Times New Roman" w:hAnsi="Times New Roman" w:eastAsia="宋体" w:cs="Times New Roman"/>
                      <w:color w:val="auto"/>
                      <w:spacing w:val="2"/>
                      <w:position w:val="2"/>
                      <w:sz w:val="21"/>
                      <w:szCs w:val="21"/>
                    </w:rPr>
                    <w:t>1-三氯乙烷</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2D60252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5C7D6C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840</w:t>
                  </w:r>
                </w:p>
              </w:tc>
              <w:tc>
                <w:tcPr>
                  <w:tcW w:w="1610" w:type="dxa"/>
                  <w:vAlign w:val="center"/>
                </w:tcPr>
                <w:p w14:paraId="52BA70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9FCD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3C49C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17"/>
                      <w:position w:val="2"/>
                      <w:sz w:val="21"/>
                      <w:szCs w:val="21"/>
                    </w:rPr>
                    <w:t xml:space="preserve"> </w:t>
                  </w:r>
                  <w:r>
                    <w:rPr>
                      <w:rFonts w:ascii="Times New Roman" w:hAnsi="Times New Roman" w:eastAsia="宋体" w:cs="Times New Roman"/>
                      <w:color w:val="auto"/>
                      <w:spacing w:val="3"/>
                      <w:position w:val="2"/>
                      <w:sz w:val="21"/>
                      <w:szCs w:val="21"/>
                    </w:rPr>
                    <w:t>1</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2-三氯乙烷</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68C429D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488570A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42405B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167A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4FCB2F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*三氯乙烯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5D6AB30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162F2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2C05B11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5F42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080AC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*1</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2</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3-三氯丙烷</w:t>
                  </w:r>
                  <w:r>
                    <w:rPr>
                      <w:rFonts w:hint="eastAsia" w:ascii="Times New Roman" w:hAnsi="Times New Roman" w:eastAsia="宋体" w:cs="Times New Roman"/>
                      <w:color w:val="auto"/>
                      <w:spacing w:val="5"/>
                      <w:position w:val="2"/>
                      <w:sz w:val="21"/>
                      <w:szCs w:val="21"/>
                      <w:lang w:eastAsia="zh-CN"/>
                    </w:rPr>
                    <w:t>（</w:t>
                  </w:r>
                  <w:r>
                    <w:rPr>
                      <w:rFonts w:ascii="Times New Roman" w:hAnsi="Times New Roman" w:eastAsia="宋体" w:cs="Times New Roman"/>
                      <w:color w:val="auto"/>
                      <w:spacing w:val="5"/>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203" w:type="dxa"/>
                  <w:vAlign w:val="center"/>
                </w:tcPr>
                <w:p w14:paraId="537644F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B411EF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0.5</w:t>
                  </w:r>
                </w:p>
              </w:tc>
              <w:tc>
                <w:tcPr>
                  <w:tcW w:w="1610" w:type="dxa"/>
                  <w:vAlign w:val="center"/>
                </w:tcPr>
                <w:p w14:paraId="0C4D8BA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F1A1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530631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2FB6D01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3596DD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0.43</w:t>
                  </w:r>
                </w:p>
              </w:tc>
              <w:tc>
                <w:tcPr>
                  <w:tcW w:w="1610" w:type="dxa"/>
                  <w:vAlign w:val="center"/>
                </w:tcPr>
                <w:p w14:paraId="68D71A5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110AF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6121D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1"/>
                      <w:position w:val="2"/>
                      <w:sz w:val="21"/>
                      <w:szCs w:val="21"/>
                    </w:rPr>
                    <w:t>*苯</w:t>
                  </w:r>
                  <w:r>
                    <w:rPr>
                      <w:rFonts w:hint="eastAsia" w:ascii="Times New Roman" w:hAnsi="Times New Roman" w:eastAsia="宋体" w:cs="Times New Roman"/>
                      <w:color w:val="auto"/>
                      <w:spacing w:val="1"/>
                      <w:position w:val="2"/>
                      <w:sz w:val="21"/>
                      <w:szCs w:val="21"/>
                      <w:lang w:eastAsia="zh-CN"/>
                    </w:rPr>
                    <w:t>（</w:t>
                  </w:r>
                  <w:r>
                    <w:rPr>
                      <w:rFonts w:ascii="Times New Roman" w:hAnsi="Times New Roman" w:eastAsia="宋体" w:cs="Times New Roman"/>
                      <w:color w:val="auto"/>
                      <w:spacing w:val="1"/>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1"/>
                      <w:position w:val="2"/>
                      <w:sz w:val="21"/>
                      <w:szCs w:val="21"/>
                    </w:rPr>
                    <w:t>）</w:t>
                  </w:r>
                </w:p>
              </w:tc>
              <w:tc>
                <w:tcPr>
                  <w:tcW w:w="1203" w:type="dxa"/>
                  <w:vAlign w:val="center"/>
                </w:tcPr>
                <w:p w14:paraId="4011FA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0CD68E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1610" w:type="dxa"/>
                  <w:vAlign w:val="center"/>
                </w:tcPr>
                <w:p w14:paraId="1E16859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5781D0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583433A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*氯苯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65AF00C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05BEEF4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270</w:t>
                  </w:r>
                </w:p>
              </w:tc>
              <w:tc>
                <w:tcPr>
                  <w:tcW w:w="1610" w:type="dxa"/>
                  <w:vAlign w:val="center"/>
                </w:tcPr>
                <w:p w14:paraId="08EF183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8B62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A1562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2-二氯苯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203" w:type="dxa"/>
                  <w:vAlign w:val="center"/>
                </w:tcPr>
                <w:p w14:paraId="117BFAF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5C567FF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560</w:t>
                  </w:r>
                </w:p>
              </w:tc>
              <w:tc>
                <w:tcPr>
                  <w:tcW w:w="1610" w:type="dxa"/>
                  <w:vAlign w:val="center"/>
                </w:tcPr>
                <w:p w14:paraId="7D77D1B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B662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E7E43E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4"/>
                      <w:position w:val="2"/>
                      <w:sz w:val="21"/>
                      <w:szCs w:val="21"/>
                    </w:rPr>
                    <w:t>*1</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4-二氯苯</w:t>
                  </w:r>
                  <w:r>
                    <w:rPr>
                      <w:rFonts w:hint="eastAsia" w:ascii="Times New Roman" w:hAnsi="Times New Roman" w:eastAsia="宋体" w:cs="Times New Roman"/>
                      <w:color w:val="auto"/>
                      <w:spacing w:val="4"/>
                      <w:position w:val="2"/>
                      <w:sz w:val="21"/>
                      <w:szCs w:val="21"/>
                      <w:lang w:eastAsia="zh-CN"/>
                    </w:rPr>
                    <w:t>（</w:t>
                  </w:r>
                  <w:r>
                    <w:rPr>
                      <w:rFonts w:ascii="Times New Roman" w:hAnsi="Times New Roman" w:eastAsia="宋体" w:cs="Times New Roman"/>
                      <w:color w:val="auto"/>
                      <w:spacing w:val="4"/>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4"/>
                      <w:position w:val="2"/>
                      <w:sz w:val="21"/>
                      <w:szCs w:val="21"/>
                    </w:rPr>
                    <w:t>）</w:t>
                  </w:r>
                </w:p>
              </w:tc>
              <w:tc>
                <w:tcPr>
                  <w:tcW w:w="1203" w:type="dxa"/>
                  <w:vAlign w:val="center"/>
                </w:tcPr>
                <w:p w14:paraId="4D005FA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226300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w:t>
                  </w:r>
                </w:p>
              </w:tc>
              <w:tc>
                <w:tcPr>
                  <w:tcW w:w="1610" w:type="dxa"/>
                  <w:vAlign w:val="center"/>
                </w:tcPr>
                <w:p w14:paraId="4B07F5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9B136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90384E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*乙苯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470F230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2ABFC6D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28</w:t>
                  </w:r>
                </w:p>
              </w:tc>
              <w:tc>
                <w:tcPr>
                  <w:tcW w:w="1610" w:type="dxa"/>
                  <w:vAlign w:val="center"/>
                </w:tcPr>
                <w:p w14:paraId="1A3B22C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518B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E7F1EA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*苯乙烯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7DC774C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7D727F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1290</w:t>
                  </w:r>
                </w:p>
              </w:tc>
              <w:tc>
                <w:tcPr>
                  <w:tcW w:w="1610" w:type="dxa"/>
                  <w:vAlign w:val="center"/>
                </w:tcPr>
                <w:p w14:paraId="44261C4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08E9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15C3F2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2"/>
                      <w:position w:val="2"/>
                      <w:sz w:val="21"/>
                      <w:szCs w:val="21"/>
                    </w:rPr>
                    <w:t>*甲苯</w:t>
                  </w:r>
                  <w:r>
                    <w:rPr>
                      <w:rFonts w:hint="eastAsia" w:ascii="Times New Roman" w:hAnsi="Times New Roman" w:eastAsia="宋体" w:cs="Times New Roman"/>
                      <w:color w:val="auto"/>
                      <w:spacing w:val="2"/>
                      <w:position w:val="2"/>
                      <w:sz w:val="21"/>
                      <w:szCs w:val="21"/>
                      <w:lang w:eastAsia="zh-CN"/>
                    </w:rPr>
                    <w:t>（</w:t>
                  </w:r>
                  <w:r>
                    <w:rPr>
                      <w:rFonts w:ascii="Times New Roman" w:hAnsi="Times New Roman" w:eastAsia="宋体" w:cs="Times New Roman"/>
                      <w:color w:val="auto"/>
                      <w:spacing w:val="2"/>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2"/>
                      <w:position w:val="2"/>
                      <w:sz w:val="21"/>
                      <w:szCs w:val="21"/>
                    </w:rPr>
                    <w:t>）</w:t>
                  </w:r>
                </w:p>
              </w:tc>
              <w:tc>
                <w:tcPr>
                  <w:tcW w:w="1203" w:type="dxa"/>
                  <w:vAlign w:val="center"/>
                </w:tcPr>
                <w:p w14:paraId="6AEF60A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C5AF9C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1200</w:t>
                  </w:r>
                </w:p>
              </w:tc>
              <w:tc>
                <w:tcPr>
                  <w:tcW w:w="1610" w:type="dxa"/>
                  <w:vAlign w:val="center"/>
                </w:tcPr>
                <w:p w14:paraId="492DE3F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298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93DFE2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3"/>
                      <w:position w:val="2"/>
                      <w:sz w:val="21"/>
                      <w:szCs w:val="21"/>
                      <w:lang w:eastAsia="zh-CN"/>
                    </w:rPr>
                    <w:t>*间二甲苯+对二甲苯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lang w:eastAsia="zh-CN"/>
                    </w:rPr>
                    <w:t>µg/</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3"/>
                      <w:position w:val="2"/>
                      <w:sz w:val="21"/>
                      <w:szCs w:val="21"/>
                      <w:lang w:eastAsia="zh-CN"/>
                    </w:rPr>
                    <w:t>）</w:t>
                  </w:r>
                </w:p>
              </w:tc>
              <w:tc>
                <w:tcPr>
                  <w:tcW w:w="1203" w:type="dxa"/>
                  <w:vAlign w:val="center"/>
                </w:tcPr>
                <w:p w14:paraId="5A4C6A5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4098BCA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570</w:t>
                  </w:r>
                </w:p>
              </w:tc>
              <w:tc>
                <w:tcPr>
                  <w:tcW w:w="1610" w:type="dxa"/>
                  <w:vAlign w:val="center"/>
                </w:tcPr>
                <w:p w14:paraId="3E8A818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404F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C5AF2D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position w:val="2"/>
                      <w:sz w:val="21"/>
                      <w:szCs w:val="21"/>
                    </w:rPr>
                    <w:t>*邻二甲苯</w:t>
                  </w:r>
                  <w:r>
                    <w:rPr>
                      <w:rFonts w:hint="eastAsia" w:ascii="Times New Roman" w:hAnsi="Times New Roman" w:eastAsia="宋体" w:cs="Times New Roman"/>
                      <w:color w:val="auto"/>
                      <w:spacing w:val="3"/>
                      <w:position w:val="2"/>
                      <w:sz w:val="21"/>
                      <w:szCs w:val="21"/>
                      <w:lang w:eastAsia="zh-CN"/>
                    </w:rPr>
                    <w:t>（</w:t>
                  </w:r>
                  <w:r>
                    <w:rPr>
                      <w:rFonts w:ascii="Times New Roman" w:hAnsi="Times New Roman" w:eastAsia="宋体" w:cs="Times New Roman"/>
                      <w:color w:val="auto"/>
                      <w:spacing w:val="3"/>
                      <w:position w:val="2"/>
                      <w:sz w:val="21"/>
                      <w:szCs w:val="21"/>
                    </w:rPr>
                    <w:t>µg/</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3"/>
                      <w:position w:val="2"/>
                      <w:sz w:val="21"/>
                      <w:szCs w:val="21"/>
                    </w:rPr>
                    <w:t>）</w:t>
                  </w:r>
                </w:p>
              </w:tc>
              <w:tc>
                <w:tcPr>
                  <w:tcW w:w="1203" w:type="dxa"/>
                  <w:vAlign w:val="center"/>
                </w:tcPr>
                <w:p w14:paraId="682340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2B65CE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640</w:t>
                  </w:r>
                </w:p>
              </w:tc>
              <w:tc>
                <w:tcPr>
                  <w:tcW w:w="1610" w:type="dxa"/>
                  <w:vAlign w:val="center"/>
                </w:tcPr>
                <w:p w14:paraId="7BB5442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246C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7C819DC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7"/>
                      <w:position w:val="2"/>
                      <w:sz w:val="21"/>
                      <w:szCs w:val="21"/>
                    </w:rPr>
                    <w:t>*硝基苯（</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7"/>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7"/>
                      <w:position w:val="2"/>
                      <w:sz w:val="21"/>
                      <w:szCs w:val="21"/>
                    </w:rPr>
                    <w:t>）</w:t>
                  </w:r>
                </w:p>
              </w:tc>
              <w:tc>
                <w:tcPr>
                  <w:tcW w:w="1203" w:type="dxa"/>
                  <w:vAlign w:val="center"/>
                </w:tcPr>
                <w:p w14:paraId="138F46C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7A9BAF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76</w:t>
                  </w:r>
                </w:p>
              </w:tc>
              <w:tc>
                <w:tcPr>
                  <w:tcW w:w="1610" w:type="dxa"/>
                  <w:vAlign w:val="center"/>
                </w:tcPr>
                <w:p w14:paraId="41AFD9E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7BE98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40AC62B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7"/>
                      <w:position w:val="2"/>
                      <w:sz w:val="21"/>
                      <w:szCs w:val="21"/>
                    </w:rPr>
                    <w:t>*苯胺（</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7"/>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7"/>
                      <w:position w:val="2"/>
                      <w:sz w:val="21"/>
                      <w:szCs w:val="21"/>
                    </w:rPr>
                    <w:t>）</w:t>
                  </w:r>
                </w:p>
              </w:tc>
              <w:tc>
                <w:tcPr>
                  <w:tcW w:w="1203" w:type="dxa"/>
                  <w:vAlign w:val="center"/>
                </w:tcPr>
                <w:p w14:paraId="30545AC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2F2A682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260</w:t>
                  </w:r>
                </w:p>
              </w:tc>
              <w:tc>
                <w:tcPr>
                  <w:tcW w:w="1610" w:type="dxa"/>
                  <w:vAlign w:val="center"/>
                </w:tcPr>
                <w:p w14:paraId="08EA189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384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5EE18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*2-氯酚（</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1A31E60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07530C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2256</w:t>
                  </w:r>
                </w:p>
              </w:tc>
              <w:tc>
                <w:tcPr>
                  <w:tcW w:w="1610" w:type="dxa"/>
                  <w:vAlign w:val="center"/>
                </w:tcPr>
                <w:p w14:paraId="18189E7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50A8B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tcBorders>
                    <w:bottom w:val="single" w:color="000000" w:sz="6" w:space="0"/>
                  </w:tcBorders>
                  <w:vAlign w:val="center"/>
                </w:tcPr>
                <w:p w14:paraId="1838AD8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*苯并[a]蒽（</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tcBorders>
                    <w:bottom w:val="single" w:color="000000" w:sz="6" w:space="0"/>
                  </w:tcBorders>
                  <w:vAlign w:val="center"/>
                </w:tcPr>
                <w:p w14:paraId="51663E8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tcBorders>
                    <w:bottom w:val="single" w:color="000000" w:sz="6" w:space="0"/>
                  </w:tcBorders>
                  <w:vAlign w:val="center"/>
                </w:tcPr>
                <w:p w14:paraId="5A78BD9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tcBorders>
                    <w:bottom w:val="single" w:color="000000" w:sz="6" w:space="0"/>
                  </w:tcBorders>
                  <w:vAlign w:val="center"/>
                </w:tcPr>
                <w:p w14:paraId="650F3FA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7E6CD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tcBorders>
                    <w:top w:val="single" w:color="000000" w:sz="6" w:space="0"/>
                  </w:tcBorders>
                  <w:vAlign w:val="center"/>
                </w:tcPr>
                <w:p w14:paraId="508AAB3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*苯并[a]芘（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tcBorders>
                    <w:top w:val="single" w:color="000000" w:sz="6" w:space="0"/>
                  </w:tcBorders>
                  <w:vAlign w:val="center"/>
                </w:tcPr>
                <w:p w14:paraId="72D85E8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tcBorders>
                    <w:top w:val="single" w:color="000000" w:sz="6" w:space="0"/>
                  </w:tcBorders>
                  <w:vAlign w:val="center"/>
                </w:tcPr>
                <w:p w14:paraId="71B0898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tcBorders>
                    <w:top w:val="single" w:color="000000" w:sz="6" w:space="0"/>
                  </w:tcBorders>
                  <w:vAlign w:val="center"/>
                </w:tcPr>
                <w:p w14:paraId="1C9840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1E6D8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C78655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position w:val="2"/>
                      <w:sz w:val="21"/>
                      <w:szCs w:val="21"/>
                      <w:lang w:eastAsia="zh-CN"/>
                    </w:rPr>
                    <w:t>*苯并[b]荧蒽（</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6"/>
                      <w:position w:val="2"/>
                      <w:sz w:val="21"/>
                      <w:szCs w:val="21"/>
                      <w:lang w:eastAsia="zh-CN"/>
                    </w:rPr>
                    <w:t>）</w:t>
                  </w:r>
                </w:p>
              </w:tc>
              <w:tc>
                <w:tcPr>
                  <w:tcW w:w="1203" w:type="dxa"/>
                  <w:vAlign w:val="center"/>
                </w:tcPr>
                <w:p w14:paraId="01D4373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4557CBF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5438B46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91D29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BB7470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6"/>
                      <w:position w:val="2"/>
                      <w:sz w:val="21"/>
                      <w:szCs w:val="21"/>
                      <w:lang w:eastAsia="zh-CN"/>
                    </w:rPr>
                    <w:t>*苯并[k]荧蒽（</w:t>
                  </w:r>
                  <w:r>
                    <w:rPr>
                      <w:rFonts w:ascii="Times New Roman" w:hAnsi="Times New Roman" w:eastAsia="宋体" w:cs="Times New Roman"/>
                      <w:color w:val="auto"/>
                      <w:position w:val="2"/>
                      <w:sz w:val="21"/>
                      <w:szCs w:val="21"/>
                      <w:lang w:eastAsia="zh-CN"/>
                    </w:rPr>
                    <w:t>mg</w:t>
                  </w:r>
                  <w:r>
                    <w:rPr>
                      <w:rFonts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position w:val="2"/>
                      <w:sz w:val="21"/>
                      <w:szCs w:val="21"/>
                      <w:lang w:eastAsia="zh-CN"/>
                    </w:rPr>
                    <w:t>kg</w:t>
                  </w:r>
                  <w:r>
                    <w:rPr>
                      <w:rFonts w:ascii="Times New Roman" w:hAnsi="Times New Roman" w:eastAsia="宋体" w:cs="Times New Roman"/>
                      <w:color w:val="auto"/>
                      <w:spacing w:val="6"/>
                      <w:position w:val="2"/>
                      <w:sz w:val="21"/>
                      <w:szCs w:val="21"/>
                      <w:lang w:eastAsia="zh-CN"/>
                    </w:rPr>
                    <w:t>）</w:t>
                  </w:r>
                </w:p>
              </w:tc>
              <w:tc>
                <w:tcPr>
                  <w:tcW w:w="1203" w:type="dxa"/>
                  <w:vAlign w:val="center"/>
                </w:tcPr>
                <w:p w14:paraId="712CF7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651A95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151</w:t>
                  </w:r>
                </w:p>
              </w:tc>
              <w:tc>
                <w:tcPr>
                  <w:tcW w:w="1610" w:type="dxa"/>
                  <w:vAlign w:val="center"/>
                </w:tcPr>
                <w:p w14:paraId="47E862A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02F5D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ED40A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*䓛（</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17A166E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25F6255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1293</w:t>
                  </w:r>
                </w:p>
              </w:tc>
              <w:tc>
                <w:tcPr>
                  <w:tcW w:w="1610" w:type="dxa"/>
                  <w:vAlign w:val="center"/>
                </w:tcPr>
                <w:p w14:paraId="6F03E1A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7BD99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C51B85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*二苯并[a</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h]蒽（</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561A5FE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4CDE713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0CAA49B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2EA2DC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669C01F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*茚并[1</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2</w:t>
                  </w:r>
                  <w:r>
                    <w:rPr>
                      <w:rFonts w:hint="eastAsia" w:ascii="Times New Roman" w:hAnsi="Times New Roman" w:eastAsia="宋体" w:cs="Times New Roman"/>
                      <w:color w:val="auto"/>
                      <w:spacing w:val="6"/>
                      <w:position w:val="2"/>
                      <w:sz w:val="21"/>
                      <w:szCs w:val="21"/>
                      <w:lang w:eastAsia="zh-CN"/>
                    </w:rPr>
                    <w:t>，</w:t>
                  </w:r>
                  <w:r>
                    <w:rPr>
                      <w:rFonts w:ascii="Times New Roman" w:hAnsi="Times New Roman" w:eastAsia="宋体" w:cs="Times New Roman"/>
                      <w:color w:val="auto"/>
                      <w:spacing w:val="6"/>
                      <w:position w:val="2"/>
                      <w:sz w:val="21"/>
                      <w:szCs w:val="21"/>
                    </w:rPr>
                    <w:t>3-</w:t>
                  </w:r>
                  <w:r>
                    <w:rPr>
                      <w:rFonts w:ascii="Times New Roman" w:hAnsi="Times New Roman" w:eastAsia="宋体" w:cs="Times New Roman"/>
                      <w:color w:val="auto"/>
                      <w:position w:val="2"/>
                      <w:sz w:val="21"/>
                      <w:szCs w:val="21"/>
                    </w:rPr>
                    <w:t>cd</w:t>
                  </w:r>
                  <w:r>
                    <w:rPr>
                      <w:rFonts w:ascii="Times New Roman" w:hAnsi="Times New Roman" w:eastAsia="宋体" w:cs="Times New Roman"/>
                      <w:color w:val="auto"/>
                      <w:spacing w:val="6"/>
                      <w:position w:val="2"/>
                      <w:sz w:val="21"/>
                      <w:szCs w:val="21"/>
                    </w:rPr>
                    <w:t>]芘（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0A04278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5C6DA58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w:t>
                  </w:r>
                </w:p>
              </w:tc>
              <w:tc>
                <w:tcPr>
                  <w:tcW w:w="1610" w:type="dxa"/>
                  <w:vAlign w:val="center"/>
                </w:tcPr>
                <w:p w14:paraId="757543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37F67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39032E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5"/>
                      <w:position w:val="2"/>
                      <w:sz w:val="21"/>
                      <w:szCs w:val="21"/>
                    </w:rPr>
                    <w:t>*萘（</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5"/>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5"/>
                      <w:position w:val="2"/>
                      <w:sz w:val="21"/>
                      <w:szCs w:val="21"/>
                    </w:rPr>
                    <w:t>）</w:t>
                  </w:r>
                </w:p>
              </w:tc>
              <w:tc>
                <w:tcPr>
                  <w:tcW w:w="1203" w:type="dxa"/>
                  <w:vAlign w:val="center"/>
                </w:tcPr>
                <w:p w14:paraId="4A14C3A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5"/>
                    </w:rPr>
                    <w:t>未检出</w:t>
                  </w:r>
                </w:p>
              </w:tc>
              <w:tc>
                <w:tcPr>
                  <w:tcW w:w="2401" w:type="dxa"/>
                  <w:vAlign w:val="center"/>
                </w:tcPr>
                <w:p w14:paraId="19A38D0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70</w:t>
                  </w:r>
                </w:p>
              </w:tc>
              <w:tc>
                <w:tcPr>
                  <w:tcW w:w="1610" w:type="dxa"/>
                  <w:vAlign w:val="center"/>
                </w:tcPr>
                <w:p w14:paraId="3267175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低于风险筛选值</w:t>
                  </w:r>
                </w:p>
              </w:tc>
            </w:tr>
            <w:tr w14:paraId="626D7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573430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6"/>
                      <w:position w:val="2"/>
                      <w:sz w:val="21"/>
                      <w:szCs w:val="21"/>
                    </w:rPr>
                    <w:t>*铊（</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6"/>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6"/>
                      <w:position w:val="2"/>
                      <w:sz w:val="21"/>
                      <w:szCs w:val="21"/>
                    </w:rPr>
                    <w:t>）</w:t>
                  </w:r>
                </w:p>
              </w:tc>
              <w:tc>
                <w:tcPr>
                  <w:tcW w:w="1203" w:type="dxa"/>
                  <w:vAlign w:val="center"/>
                </w:tcPr>
                <w:p w14:paraId="31DF177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1"/>
                      <w:sz w:val="21"/>
                      <w:szCs w:val="21"/>
                    </w:rPr>
                    <w:t>3.7</w:t>
                  </w:r>
                </w:p>
              </w:tc>
              <w:tc>
                <w:tcPr>
                  <w:tcW w:w="2401" w:type="dxa"/>
                  <w:vAlign w:val="center"/>
                </w:tcPr>
                <w:p w14:paraId="56942BB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0D5DCC2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4B1B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1C9E28F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铬（</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203" w:type="dxa"/>
                  <w:vAlign w:val="center"/>
                </w:tcPr>
                <w:p w14:paraId="7A97821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53</w:t>
                  </w:r>
                </w:p>
              </w:tc>
              <w:tc>
                <w:tcPr>
                  <w:tcW w:w="2401" w:type="dxa"/>
                  <w:vAlign w:val="center"/>
                </w:tcPr>
                <w:p w14:paraId="2165D8A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5B35A96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3F06F3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211BBED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锌（</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203" w:type="dxa"/>
                  <w:vAlign w:val="center"/>
                </w:tcPr>
                <w:p w14:paraId="4075E12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3"/>
                      <w:sz w:val="21"/>
                      <w:szCs w:val="21"/>
                    </w:rPr>
                    <w:t>47</w:t>
                  </w:r>
                </w:p>
              </w:tc>
              <w:tc>
                <w:tcPr>
                  <w:tcW w:w="2401" w:type="dxa"/>
                  <w:vAlign w:val="center"/>
                </w:tcPr>
                <w:p w14:paraId="054A755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1484A05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6B5B3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3176" w:type="dxa"/>
                  <w:vAlign w:val="center"/>
                </w:tcPr>
                <w:p w14:paraId="08C2130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pacing w:val="8"/>
                      <w:position w:val="2"/>
                      <w:sz w:val="21"/>
                      <w:szCs w:val="21"/>
                    </w:rPr>
                    <w:t>氟化物（</w:t>
                  </w:r>
                  <w:r>
                    <w:rPr>
                      <w:rFonts w:ascii="Times New Roman" w:hAnsi="Times New Roman" w:eastAsia="宋体" w:cs="Times New Roman"/>
                      <w:color w:val="auto"/>
                      <w:position w:val="2"/>
                      <w:sz w:val="21"/>
                      <w:szCs w:val="21"/>
                    </w:rPr>
                    <w:t>mg</w:t>
                  </w:r>
                  <w:r>
                    <w:rPr>
                      <w:rFonts w:ascii="Times New Roman" w:hAnsi="Times New Roman" w:eastAsia="宋体" w:cs="Times New Roman"/>
                      <w:color w:val="auto"/>
                      <w:spacing w:val="8"/>
                      <w:position w:val="2"/>
                      <w:sz w:val="21"/>
                      <w:szCs w:val="21"/>
                    </w:rPr>
                    <w:t>/</w:t>
                  </w:r>
                  <w:r>
                    <w:rPr>
                      <w:rFonts w:ascii="Times New Roman" w:hAnsi="Times New Roman" w:eastAsia="宋体" w:cs="Times New Roman"/>
                      <w:color w:val="auto"/>
                      <w:position w:val="2"/>
                      <w:sz w:val="21"/>
                      <w:szCs w:val="21"/>
                    </w:rPr>
                    <w:t>kg</w:t>
                  </w:r>
                  <w:r>
                    <w:rPr>
                      <w:rFonts w:ascii="Times New Roman" w:hAnsi="Times New Roman" w:eastAsia="宋体" w:cs="Times New Roman"/>
                      <w:color w:val="auto"/>
                      <w:spacing w:val="8"/>
                      <w:position w:val="2"/>
                      <w:sz w:val="21"/>
                      <w:szCs w:val="21"/>
                    </w:rPr>
                    <w:t>）</w:t>
                  </w:r>
                </w:p>
              </w:tc>
              <w:tc>
                <w:tcPr>
                  <w:tcW w:w="1203" w:type="dxa"/>
                  <w:vAlign w:val="center"/>
                </w:tcPr>
                <w:p w14:paraId="186093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pacing w:val="2"/>
                      <w:sz w:val="21"/>
                      <w:szCs w:val="21"/>
                    </w:rPr>
                    <w:t>8.73×10</w:t>
                  </w:r>
                  <w:r>
                    <w:rPr>
                      <w:rFonts w:hint="eastAsia" w:ascii="Times New Roman" w:hAnsi="Times New Roman" w:eastAsia="宋体" w:cs="Times New Roman"/>
                      <w:color w:val="auto"/>
                      <w:spacing w:val="2"/>
                      <w:sz w:val="21"/>
                      <w:szCs w:val="21"/>
                      <w:vertAlign w:val="superscript"/>
                      <w:lang w:eastAsia="zh-CN"/>
                    </w:rPr>
                    <w:t>3</w:t>
                  </w:r>
                </w:p>
              </w:tc>
              <w:tc>
                <w:tcPr>
                  <w:tcW w:w="2401" w:type="dxa"/>
                  <w:vAlign w:val="center"/>
                </w:tcPr>
                <w:p w14:paraId="4C145D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1610" w:type="dxa"/>
                  <w:vAlign w:val="center"/>
                </w:tcPr>
                <w:p w14:paraId="44577CC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4DA15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8390" w:type="dxa"/>
                  <w:gridSpan w:val="4"/>
                  <w:vAlign w:val="center"/>
                </w:tcPr>
                <w:p w14:paraId="24B84E52">
                  <w:pPr>
                    <w:kinsoku/>
                    <w:overflowPunct w:val="0"/>
                    <w:autoSpaceDE/>
                    <w:autoSpaceDN/>
                    <w:adjustRightInd/>
                    <w:snapToGrid/>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注：*为分包项目，检测数据由江苏格林勒斯检测科技有限公司提供，其报告编号为：GE2508203901B。</w:t>
                  </w:r>
                </w:p>
              </w:tc>
            </w:tr>
          </w:tbl>
          <w:p w14:paraId="41D3201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根据监测结果，项目区内监测点</w:t>
            </w:r>
            <w:r>
              <w:rPr>
                <w:rFonts w:hint="eastAsia" w:ascii="Times New Roman" w:hAnsi="Times New Roman" w:eastAsia="宋体" w:cs="Times New Roman"/>
                <w:color w:val="auto"/>
                <w:sz w:val="24"/>
                <w:szCs w:val="24"/>
                <w:lang w:eastAsia="zh-CN"/>
              </w:rPr>
              <w:t>B1</w:t>
            </w:r>
            <w:r>
              <w:rPr>
                <w:rFonts w:ascii="Times New Roman" w:hAnsi="Times New Roman" w:eastAsia="宋体" w:cs="Times New Roman"/>
                <w:color w:val="auto"/>
                <w:sz w:val="24"/>
                <w:szCs w:val="24"/>
                <w:lang w:eastAsia="zh-CN"/>
              </w:rPr>
              <w:t>土壤监测指标均低于《土壤环境质量-建设用地土壤污染风险管控标准》（GB36600-2018）中的风险筛选值</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项目区域土壤环境良好。</w:t>
            </w:r>
          </w:p>
          <w:p w14:paraId="5B81E96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6、生态环境现状</w:t>
            </w:r>
          </w:p>
          <w:p w14:paraId="21E38A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本项目位于云南省昆明市寻甸回族彝族自治县金所街道办事处泽铁村委会栽开居民小组，项目是在金所街道办事处泽铁社区居委会栽开居民小组地块进行</w:t>
            </w:r>
            <w:r>
              <w:rPr>
                <w:rFonts w:hint="eastAsia" w:ascii="Times New Roman" w:hAnsi="Times New Roman" w:eastAsia="宋体" w:cs="Times New Roman"/>
                <w:color w:val="auto"/>
                <w:sz w:val="24"/>
                <w:szCs w:val="24"/>
                <w:lang w:eastAsia="zh-CN"/>
              </w:rPr>
              <w:t>建设</w:t>
            </w:r>
            <w:r>
              <w:rPr>
                <w:rFonts w:ascii="Times New Roman" w:hAnsi="Times New Roman" w:eastAsia="宋体" w:cs="Times New Roman"/>
                <w:color w:val="auto"/>
                <w:sz w:val="24"/>
                <w:szCs w:val="24"/>
                <w:lang w:eastAsia="zh-CN"/>
              </w:rPr>
              <w:t>，用地范围</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已无自然植被，未涉及国家保护的珍贵野生动、植物。</w:t>
            </w:r>
          </w:p>
        </w:tc>
      </w:tr>
      <w:tr w14:paraId="410F9D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6DD6CC38">
            <w:pPr>
              <w:pStyle w:val="30"/>
              <w:kinsoku/>
              <w:overflowPunct w:val="0"/>
              <w:autoSpaceDE/>
              <w:autoSpaceDN/>
              <w:adjustRightInd/>
              <w:snapToGrid/>
              <w:jc w:val="center"/>
              <w:rPr>
                <w:rFonts w:ascii="Times New Roman" w:hAnsi="Times New Roman" w:eastAsia="宋体" w:cs="Times New Roman"/>
                <w:color w:val="auto"/>
                <w:sz w:val="21"/>
              </w:rPr>
            </w:pPr>
            <w:r>
              <w:rPr>
                <w:rFonts w:ascii="Times New Roman" w:hAnsi="Times New Roman" w:eastAsia="宋体" w:cs="Times New Roman"/>
                <w:color w:val="auto"/>
                <w:sz w:val="24"/>
                <w:szCs w:val="24"/>
              </w:rPr>
              <w:t>环境保护目标</w:t>
            </w:r>
          </w:p>
        </w:tc>
        <w:tc>
          <w:tcPr>
            <w:tcW w:w="8589" w:type="dxa"/>
            <w:tcBorders>
              <w:top w:val="single" w:color="auto" w:sz="4" w:space="0"/>
              <w:left w:val="single" w:color="auto" w:sz="4" w:space="0"/>
              <w:bottom w:val="single" w:color="auto" w:sz="4" w:space="0"/>
              <w:right w:val="single" w:color="auto" w:sz="4" w:space="0"/>
            </w:tcBorders>
          </w:tcPr>
          <w:p w14:paraId="6465750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、保护目标</w:t>
            </w:r>
          </w:p>
          <w:p w14:paraId="2346A08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（1）大气环境</w:t>
            </w:r>
          </w:p>
          <w:p w14:paraId="6789038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项目厂界外500米范围内不涉及自然保护区、风景名胜区等环境敏感区，项目500m范围内大气环境保护目标</w:t>
            </w:r>
            <w:r>
              <w:rPr>
                <w:rFonts w:hint="eastAsia" w:ascii="Times New Roman" w:hAnsi="Times New Roman" w:eastAsia="宋体" w:cs="Times New Roman"/>
                <w:color w:val="auto"/>
                <w:sz w:val="24"/>
                <w:szCs w:val="24"/>
                <w:lang w:eastAsia="zh-CN"/>
              </w:rPr>
              <w:t>为东北侧泽铁社区、西南侧小潘所村和东侧泽铁社区散户。</w:t>
            </w:r>
          </w:p>
          <w:p w14:paraId="0E58490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表3-12 大气环境保护目标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145"/>
              <w:gridCol w:w="1690"/>
              <w:gridCol w:w="1116"/>
              <w:gridCol w:w="1436"/>
              <w:gridCol w:w="1566"/>
            </w:tblGrid>
            <w:tr w14:paraId="6005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tcBorders>
                    <w:top w:val="single" w:color="auto" w:sz="4" w:space="0"/>
                    <w:left w:val="single" w:color="auto" w:sz="4" w:space="0"/>
                    <w:right w:val="single" w:color="auto" w:sz="4" w:space="0"/>
                  </w:tcBorders>
                  <w:vAlign w:val="center"/>
                </w:tcPr>
                <w:p w14:paraId="6BF5565F">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278" w:type="pct"/>
                  <w:tcBorders>
                    <w:top w:val="single" w:color="auto" w:sz="4" w:space="0"/>
                    <w:left w:val="single" w:color="auto" w:sz="4" w:space="0"/>
                    <w:right w:val="single" w:color="auto" w:sz="4" w:space="0"/>
                  </w:tcBorders>
                  <w:vAlign w:val="center"/>
                </w:tcPr>
                <w:p w14:paraId="3DFF5E64">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保护目标名称</w:t>
                  </w:r>
                </w:p>
              </w:tc>
              <w:tc>
                <w:tcPr>
                  <w:tcW w:w="1006" w:type="pct"/>
                  <w:tcBorders>
                    <w:top w:val="single" w:color="auto" w:sz="4" w:space="0"/>
                    <w:left w:val="single" w:color="auto" w:sz="4" w:space="0"/>
                    <w:bottom w:val="single" w:color="auto" w:sz="4" w:space="0"/>
                    <w:right w:val="single" w:color="auto" w:sz="4" w:space="0"/>
                  </w:tcBorders>
                  <w:vAlign w:val="center"/>
                </w:tcPr>
                <w:p w14:paraId="08D5011E">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坐标</w:t>
                  </w:r>
                </w:p>
              </w:tc>
              <w:tc>
                <w:tcPr>
                  <w:tcW w:w="664" w:type="pct"/>
                  <w:tcBorders>
                    <w:top w:val="single" w:color="auto" w:sz="4" w:space="0"/>
                    <w:left w:val="single" w:color="auto" w:sz="4" w:space="0"/>
                    <w:bottom w:val="single" w:color="auto" w:sz="4" w:space="0"/>
                    <w:right w:val="single" w:color="auto" w:sz="4" w:space="0"/>
                  </w:tcBorders>
                  <w:vAlign w:val="center"/>
                </w:tcPr>
                <w:p w14:paraId="6E9886C1">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相对厂址方位</w:t>
                  </w:r>
                </w:p>
              </w:tc>
              <w:tc>
                <w:tcPr>
                  <w:tcW w:w="855" w:type="pct"/>
                  <w:tcBorders>
                    <w:top w:val="single" w:color="auto" w:sz="4" w:space="0"/>
                    <w:left w:val="single" w:color="auto" w:sz="4" w:space="0"/>
                    <w:bottom w:val="single" w:color="auto" w:sz="4" w:space="0"/>
                    <w:right w:val="single" w:color="auto" w:sz="4" w:space="0"/>
                  </w:tcBorders>
                  <w:vAlign w:val="center"/>
                </w:tcPr>
                <w:p w14:paraId="6C76966B">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相对厂界距</w:t>
                  </w:r>
                  <w:r>
                    <w:rPr>
                      <w:rFonts w:hint="eastAsia" w:ascii="Times New Roman" w:hAnsi="Times New Roman" w:eastAsia="宋体" w:cs="Times New Roman"/>
                      <w:b/>
                      <w:bCs/>
                      <w:color w:val="auto"/>
                    </w:rPr>
                    <w:t>（m）</w:t>
                  </w:r>
                </w:p>
              </w:tc>
              <w:tc>
                <w:tcPr>
                  <w:tcW w:w="932" w:type="pct"/>
                  <w:tcBorders>
                    <w:top w:val="single" w:color="auto" w:sz="4" w:space="0"/>
                    <w:left w:val="single" w:color="auto" w:sz="4" w:space="0"/>
                    <w:right w:val="single" w:color="auto" w:sz="4" w:space="0"/>
                  </w:tcBorders>
                  <w:vAlign w:val="center"/>
                </w:tcPr>
                <w:p w14:paraId="1C756DE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7F16F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restart"/>
                  <w:tcBorders>
                    <w:top w:val="single" w:color="auto" w:sz="4" w:space="0"/>
                    <w:left w:val="single" w:color="auto" w:sz="4" w:space="0"/>
                    <w:right w:val="single" w:color="auto" w:sz="4" w:space="0"/>
                  </w:tcBorders>
                  <w:vAlign w:val="center"/>
                </w:tcPr>
                <w:p w14:paraId="5C998666">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大气环境</w:t>
                  </w:r>
                </w:p>
              </w:tc>
              <w:tc>
                <w:tcPr>
                  <w:tcW w:w="1278" w:type="pct"/>
                  <w:tcBorders>
                    <w:top w:val="single" w:color="auto" w:sz="4" w:space="0"/>
                    <w:left w:val="single" w:color="auto" w:sz="4" w:space="0"/>
                    <w:right w:val="single" w:color="auto" w:sz="4" w:space="0"/>
                  </w:tcBorders>
                  <w:vAlign w:val="center"/>
                </w:tcPr>
                <w:p w14:paraId="08C5DCBC">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泽铁社区</w:t>
                  </w:r>
                </w:p>
                <w:p w14:paraId="29B1DE6E">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（约</w:t>
                  </w:r>
                  <w:r>
                    <w:rPr>
                      <w:rFonts w:hint="eastAsia" w:ascii="Times New Roman" w:hAnsi="Times New Roman" w:eastAsia="宋体" w:cs="Times New Roman"/>
                      <w:color w:val="auto"/>
                      <w:lang w:eastAsia="zh-CN"/>
                    </w:rPr>
                    <w:t>35户124</w:t>
                  </w:r>
                  <w:r>
                    <w:rPr>
                      <w:rFonts w:hint="eastAsia" w:ascii="Times New Roman" w:hAnsi="Times New Roman" w:eastAsia="宋体" w:cs="Times New Roman"/>
                      <w:color w:val="auto"/>
                    </w:rPr>
                    <w:t>人）</w:t>
                  </w:r>
                </w:p>
              </w:tc>
              <w:tc>
                <w:tcPr>
                  <w:tcW w:w="1006" w:type="pct"/>
                  <w:tcBorders>
                    <w:top w:val="single" w:color="auto" w:sz="4" w:space="0"/>
                    <w:left w:val="single" w:color="auto" w:sz="4" w:space="0"/>
                    <w:bottom w:val="single" w:color="auto" w:sz="4" w:space="0"/>
                    <w:right w:val="single" w:color="auto" w:sz="4" w:space="0"/>
                  </w:tcBorders>
                  <w:vAlign w:val="center"/>
                </w:tcPr>
                <w:p w14:paraId="27AEFC67">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E10</w:t>
                  </w:r>
                  <w:r>
                    <w:rPr>
                      <w:rFonts w:hint="eastAsia" w:ascii="Times New Roman" w:hAnsi="Times New Roman" w:eastAsia="宋体" w:cs="Times New Roman"/>
                      <w:color w:val="auto"/>
                      <w:lang w:eastAsia="zh-CN"/>
                    </w:rPr>
                    <w:t>3</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62</w:t>
                  </w:r>
                  <w:r>
                    <w:rPr>
                      <w:rFonts w:ascii="Times New Roman" w:hAnsi="Times New Roman" w:eastAsia="宋体" w:cs="Times New Roman"/>
                      <w:color w:val="auto"/>
                    </w:rPr>
                    <w:t>″</w:t>
                  </w:r>
                </w:p>
                <w:p w14:paraId="7F15B81B">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N</w:t>
                  </w:r>
                  <w:r>
                    <w:rPr>
                      <w:rFonts w:ascii="Times New Roman" w:hAnsi="Times New Roman" w:eastAsia="宋体" w:cs="Times New Roman"/>
                      <w:color w:val="auto"/>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32</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35</w:t>
                  </w:r>
                  <w:r>
                    <w:rPr>
                      <w:rFonts w:ascii="Times New Roman" w:hAnsi="Times New Roman" w:eastAsia="宋体" w:cs="Times New Roman"/>
                      <w:color w:val="auto"/>
                    </w:rPr>
                    <w:t>″</w:t>
                  </w:r>
                </w:p>
              </w:tc>
              <w:tc>
                <w:tcPr>
                  <w:tcW w:w="664" w:type="pct"/>
                  <w:tcBorders>
                    <w:top w:val="single" w:color="auto" w:sz="4" w:space="0"/>
                    <w:left w:val="single" w:color="auto" w:sz="4" w:space="0"/>
                    <w:right w:val="single" w:color="auto" w:sz="4" w:space="0"/>
                  </w:tcBorders>
                  <w:vAlign w:val="center"/>
                </w:tcPr>
                <w:p w14:paraId="7F44E8F4">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东北侧</w:t>
                  </w:r>
                </w:p>
              </w:tc>
              <w:tc>
                <w:tcPr>
                  <w:tcW w:w="855" w:type="pct"/>
                  <w:tcBorders>
                    <w:top w:val="single" w:color="auto" w:sz="4" w:space="0"/>
                    <w:left w:val="single" w:color="auto" w:sz="4" w:space="0"/>
                    <w:right w:val="single" w:color="auto" w:sz="4" w:space="0"/>
                  </w:tcBorders>
                  <w:vAlign w:val="center"/>
                </w:tcPr>
                <w:p w14:paraId="11A9D04E">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155</w:t>
                  </w:r>
                </w:p>
              </w:tc>
              <w:tc>
                <w:tcPr>
                  <w:tcW w:w="932" w:type="pct"/>
                  <w:vMerge w:val="restart"/>
                  <w:tcBorders>
                    <w:top w:val="single" w:color="auto" w:sz="4" w:space="0"/>
                    <w:left w:val="single" w:color="auto" w:sz="4" w:space="0"/>
                    <w:right w:val="single" w:color="auto" w:sz="4" w:space="0"/>
                  </w:tcBorders>
                  <w:vAlign w:val="center"/>
                </w:tcPr>
                <w:p w14:paraId="3AA8F6F6">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《环境空气质量标准》（GB3095-2026）中过渡阶段浓度限值二级标准</w:t>
                  </w:r>
                </w:p>
              </w:tc>
            </w:tr>
            <w:tr w14:paraId="7EFAD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tcBorders>
                    <w:left w:val="single" w:color="auto" w:sz="4" w:space="0"/>
                    <w:right w:val="single" w:color="auto" w:sz="4" w:space="0"/>
                  </w:tcBorders>
                  <w:vAlign w:val="center"/>
                </w:tcPr>
                <w:p w14:paraId="3039EA98">
                  <w:pPr>
                    <w:kinsoku/>
                    <w:overflowPunct w:val="0"/>
                    <w:autoSpaceDE/>
                    <w:autoSpaceDN/>
                    <w:adjustRightInd/>
                    <w:snapToGrid/>
                    <w:spacing w:line="264" w:lineRule="auto"/>
                    <w:jc w:val="center"/>
                    <w:rPr>
                      <w:rFonts w:ascii="Times New Roman" w:hAnsi="Times New Roman" w:eastAsia="宋体" w:cs="Times New Roman"/>
                      <w:color w:val="auto"/>
                      <w:lang w:eastAsia="zh-CN"/>
                    </w:rPr>
                  </w:pPr>
                </w:p>
              </w:tc>
              <w:tc>
                <w:tcPr>
                  <w:tcW w:w="1278" w:type="pct"/>
                  <w:tcBorders>
                    <w:top w:val="single" w:color="auto" w:sz="4" w:space="0"/>
                    <w:left w:val="single" w:color="auto" w:sz="4" w:space="0"/>
                    <w:right w:val="single" w:color="auto" w:sz="4" w:space="0"/>
                  </w:tcBorders>
                  <w:vAlign w:val="center"/>
                </w:tcPr>
                <w:p w14:paraId="38E9A741">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小潘所村</w:t>
                  </w:r>
                </w:p>
                <w:p w14:paraId="76C240E0">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（约</w:t>
                  </w:r>
                  <w:r>
                    <w:rPr>
                      <w:rFonts w:hint="eastAsia" w:ascii="Times New Roman" w:hAnsi="Times New Roman" w:eastAsia="宋体" w:cs="Times New Roman"/>
                      <w:color w:val="auto"/>
                      <w:lang w:eastAsia="zh-CN"/>
                    </w:rPr>
                    <w:t>26户90</w:t>
                  </w:r>
                  <w:r>
                    <w:rPr>
                      <w:rFonts w:hint="eastAsia" w:ascii="Times New Roman" w:hAnsi="Times New Roman" w:eastAsia="宋体" w:cs="Times New Roman"/>
                      <w:color w:val="auto"/>
                    </w:rPr>
                    <w:t>人）</w:t>
                  </w:r>
                </w:p>
              </w:tc>
              <w:tc>
                <w:tcPr>
                  <w:tcW w:w="1006" w:type="pct"/>
                  <w:tcBorders>
                    <w:top w:val="single" w:color="auto" w:sz="4" w:space="0"/>
                    <w:left w:val="single" w:color="auto" w:sz="4" w:space="0"/>
                    <w:bottom w:val="single" w:color="auto" w:sz="4" w:space="0"/>
                    <w:right w:val="single" w:color="auto" w:sz="4" w:space="0"/>
                  </w:tcBorders>
                  <w:vAlign w:val="center"/>
                </w:tcPr>
                <w:p w14:paraId="153FD088">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E10</w:t>
                  </w:r>
                  <w:r>
                    <w:rPr>
                      <w:rFonts w:hint="eastAsia" w:ascii="Times New Roman" w:hAnsi="Times New Roman" w:eastAsia="宋体" w:cs="Times New Roman"/>
                      <w:color w:val="auto"/>
                      <w:lang w:eastAsia="zh-CN"/>
                    </w:rPr>
                    <w:t>3</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1</w:t>
                  </w:r>
                  <w:r>
                    <w:rPr>
                      <w:rFonts w:hint="eastAsia" w:ascii="Times New Roman" w:hAnsi="Times New Roman" w:eastAsia="宋体" w:cs="Times New Roman"/>
                      <w:color w:val="auto"/>
                    </w:rPr>
                    <w:t>6</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65</w:t>
                  </w:r>
                  <w:r>
                    <w:rPr>
                      <w:rFonts w:ascii="Times New Roman" w:hAnsi="Times New Roman" w:eastAsia="宋体" w:cs="Times New Roman"/>
                      <w:color w:val="auto"/>
                    </w:rPr>
                    <w:t>″</w:t>
                  </w:r>
                </w:p>
                <w:p w14:paraId="4C2FAE53">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N</w:t>
                  </w:r>
                  <w:r>
                    <w:rPr>
                      <w:rFonts w:ascii="Times New Roman" w:hAnsi="Times New Roman" w:eastAsia="宋体" w:cs="Times New Roman"/>
                      <w:color w:val="auto"/>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22</w:t>
                  </w:r>
                  <w:r>
                    <w:rPr>
                      <w:rFonts w:ascii="Times New Roman" w:hAnsi="Times New Roman" w:eastAsia="宋体" w:cs="Times New Roman"/>
                      <w:color w:val="auto"/>
                    </w:rPr>
                    <w:t>.</w:t>
                  </w:r>
                  <w:r>
                    <w:rPr>
                      <w:rFonts w:hint="eastAsia" w:ascii="Times New Roman" w:hAnsi="Times New Roman" w:eastAsia="宋体" w:cs="Times New Roman"/>
                      <w:color w:val="auto"/>
                      <w:lang w:eastAsia="zh-CN"/>
                    </w:rPr>
                    <w:t>68</w:t>
                  </w:r>
                  <w:r>
                    <w:rPr>
                      <w:rFonts w:ascii="Times New Roman" w:hAnsi="Times New Roman" w:eastAsia="宋体" w:cs="Times New Roman"/>
                      <w:color w:val="auto"/>
                    </w:rPr>
                    <w:t>″</w:t>
                  </w:r>
                </w:p>
              </w:tc>
              <w:tc>
                <w:tcPr>
                  <w:tcW w:w="664" w:type="pct"/>
                  <w:tcBorders>
                    <w:top w:val="single" w:color="auto" w:sz="4" w:space="0"/>
                    <w:left w:val="single" w:color="auto" w:sz="4" w:space="0"/>
                    <w:right w:val="single" w:color="auto" w:sz="4" w:space="0"/>
                  </w:tcBorders>
                  <w:vAlign w:val="center"/>
                </w:tcPr>
                <w:p w14:paraId="5C3F737A">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rPr>
                    <w:t>西南侧</w:t>
                  </w:r>
                </w:p>
              </w:tc>
              <w:tc>
                <w:tcPr>
                  <w:tcW w:w="855" w:type="pct"/>
                  <w:tcBorders>
                    <w:top w:val="single" w:color="auto" w:sz="4" w:space="0"/>
                    <w:left w:val="single" w:color="auto" w:sz="4" w:space="0"/>
                    <w:right w:val="single" w:color="auto" w:sz="4" w:space="0"/>
                  </w:tcBorders>
                  <w:vAlign w:val="center"/>
                </w:tcPr>
                <w:p w14:paraId="093DFA8C">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90</w:t>
                  </w:r>
                </w:p>
              </w:tc>
              <w:tc>
                <w:tcPr>
                  <w:tcW w:w="932" w:type="pct"/>
                  <w:vMerge w:val="continue"/>
                  <w:tcBorders>
                    <w:left w:val="single" w:color="auto" w:sz="4" w:space="0"/>
                    <w:right w:val="single" w:color="auto" w:sz="4" w:space="0"/>
                  </w:tcBorders>
                  <w:vAlign w:val="center"/>
                </w:tcPr>
                <w:p w14:paraId="29C17D90">
                  <w:pPr>
                    <w:kinsoku/>
                    <w:overflowPunct w:val="0"/>
                    <w:autoSpaceDE/>
                    <w:autoSpaceDN/>
                    <w:adjustRightInd/>
                    <w:snapToGrid/>
                    <w:spacing w:line="264" w:lineRule="auto"/>
                    <w:jc w:val="center"/>
                    <w:rPr>
                      <w:rFonts w:ascii="Times New Roman" w:hAnsi="Times New Roman" w:eastAsia="宋体" w:cs="Times New Roman"/>
                      <w:color w:val="auto"/>
                    </w:rPr>
                  </w:pPr>
                </w:p>
              </w:tc>
            </w:tr>
            <w:tr w14:paraId="79A0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1" w:type="pct"/>
                  <w:vMerge w:val="continue"/>
                  <w:tcBorders>
                    <w:left w:val="single" w:color="auto" w:sz="4" w:space="0"/>
                    <w:right w:val="single" w:color="auto" w:sz="4" w:space="0"/>
                  </w:tcBorders>
                  <w:vAlign w:val="center"/>
                </w:tcPr>
                <w:p w14:paraId="787E8071">
                  <w:pPr>
                    <w:kinsoku/>
                    <w:overflowPunct w:val="0"/>
                    <w:autoSpaceDE/>
                    <w:autoSpaceDN/>
                    <w:adjustRightInd/>
                    <w:snapToGrid/>
                    <w:spacing w:line="264" w:lineRule="auto"/>
                    <w:jc w:val="center"/>
                    <w:rPr>
                      <w:rFonts w:ascii="Times New Roman" w:hAnsi="Times New Roman" w:eastAsia="宋体" w:cs="Times New Roman"/>
                      <w:color w:val="auto"/>
                    </w:rPr>
                  </w:pPr>
                </w:p>
              </w:tc>
              <w:tc>
                <w:tcPr>
                  <w:tcW w:w="1278" w:type="pct"/>
                  <w:tcBorders>
                    <w:top w:val="single" w:color="auto" w:sz="4" w:space="0"/>
                    <w:left w:val="single" w:color="auto" w:sz="4" w:space="0"/>
                    <w:right w:val="single" w:color="auto" w:sz="4" w:space="0"/>
                  </w:tcBorders>
                  <w:vAlign w:val="center"/>
                </w:tcPr>
                <w:p w14:paraId="281255C7">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1006" w:type="pct"/>
                  <w:tcBorders>
                    <w:top w:val="single" w:color="auto" w:sz="4" w:space="0"/>
                    <w:left w:val="single" w:color="auto" w:sz="4" w:space="0"/>
                    <w:bottom w:val="single" w:color="auto" w:sz="4" w:space="0"/>
                    <w:right w:val="single" w:color="auto" w:sz="4" w:space="0"/>
                  </w:tcBorders>
                  <w:vAlign w:val="center"/>
                </w:tcPr>
                <w:p w14:paraId="62718E54">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E103</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11</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14</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65</w:t>
                  </w:r>
                  <w:r>
                    <w:rPr>
                      <w:rFonts w:ascii="Times New Roman" w:hAnsi="Times New Roman" w:eastAsia="宋体" w:cs="Times New Roman"/>
                      <w:color w:val="auto"/>
                      <w:lang w:eastAsia="zh-CN"/>
                    </w:rPr>
                    <w:t>″</w:t>
                  </w:r>
                </w:p>
                <w:p w14:paraId="396E20F4">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N</w:t>
                  </w:r>
                  <w:r>
                    <w:rPr>
                      <w:rFonts w:ascii="Times New Roman" w:hAnsi="Times New Roman" w:eastAsia="宋体" w:cs="Times New Roman"/>
                      <w:color w:val="auto"/>
                      <w:lang w:eastAsia="zh-CN"/>
                    </w:rPr>
                    <w:t>2</w:t>
                  </w:r>
                  <w:r>
                    <w:rPr>
                      <w:rFonts w:hint="eastAsia" w:ascii="Times New Roman" w:hAnsi="Times New Roman" w:eastAsia="宋体" w:cs="Times New Roman"/>
                      <w:color w:val="auto"/>
                      <w:lang w:eastAsia="zh-CN"/>
                    </w:rPr>
                    <w:t>5</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31</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27</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7</w:t>
                  </w:r>
                  <w:r>
                    <w:rPr>
                      <w:rFonts w:ascii="Times New Roman" w:hAnsi="Times New Roman" w:eastAsia="宋体" w:cs="Times New Roman"/>
                      <w:color w:val="auto"/>
                      <w:lang w:eastAsia="zh-CN"/>
                    </w:rPr>
                    <w:t>5″</w:t>
                  </w:r>
                </w:p>
              </w:tc>
              <w:tc>
                <w:tcPr>
                  <w:tcW w:w="664" w:type="pct"/>
                  <w:tcBorders>
                    <w:top w:val="single" w:color="auto" w:sz="4" w:space="0"/>
                    <w:left w:val="single" w:color="auto" w:sz="4" w:space="0"/>
                    <w:right w:val="single" w:color="auto" w:sz="4" w:space="0"/>
                  </w:tcBorders>
                  <w:vAlign w:val="center"/>
                </w:tcPr>
                <w:p w14:paraId="50F314D2">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东侧</w:t>
                  </w:r>
                </w:p>
              </w:tc>
              <w:tc>
                <w:tcPr>
                  <w:tcW w:w="855" w:type="pct"/>
                  <w:tcBorders>
                    <w:top w:val="single" w:color="auto" w:sz="4" w:space="0"/>
                    <w:left w:val="single" w:color="auto" w:sz="4" w:space="0"/>
                    <w:right w:val="single" w:color="auto" w:sz="4" w:space="0"/>
                  </w:tcBorders>
                  <w:vAlign w:val="center"/>
                </w:tcPr>
                <w:p w14:paraId="18729083">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w:t>
                  </w:r>
                </w:p>
              </w:tc>
              <w:tc>
                <w:tcPr>
                  <w:tcW w:w="932" w:type="pct"/>
                  <w:vMerge w:val="continue"/>
                  <w:tcBorders>
                    <w:left w:val="single" w:color="auto" w:sz="4" w:space="0"/>
                    <w:right w:val="single" w:color="auto" w:sz="4" w:space="0"/>
                  </w:tcBorders>
                  <w:vAlign w:val="center"/>
                </w:tcPr>
                <w:p w14:paraId="7E1EAB5B">
                  <w:pPr>
                    <w:kinsoku/>
                    <w:overflowPunct w:val="0"/>
                    <w:autoSpaceDE/>
                    <w:autoSpaceDN/>
                    <w:adjustRightInd/>
                    <w:snapToGrid/>
                    <w:spacing w:line="264" w:lineRule="auto"/>
                    <w:jc w:val="center"/>
                    <w:rPr>
                      <w:rFonts w:ascii="Times New Roman" w:hAnsi="Times New Roman" w:eastAsia="宋体" w:cs="Times New Roman"/>
                      <w:color w:val="auto"/>
                      <w:lang w:eastAsia="zh-CN"/>
                    </w:rPr>
                  </w:pPr>
                </w:p>
              </w:tc>
            </w:tr>
          </w:tbl>
          <w:p w14:paraId="278B733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（2）地表水环境</w:t>
            </w:r>
          </w:p>
          <w:p w14:paraId="2BCECDC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本项目位于云南省昆明市寻甸回族彝族自治县金所街道办事处泽铁村委会栽开居民小组，所在区域地表水环境保护目标为</w:t>
            </w:r>
            <w:r>
              <w:rPr>
                <w:rFonts w:ascii="Times New Roman" w:hAnsi="Times New Roman" w:eastAsia="宋体" w:cs="Times New Roman"/>
                <w:color w:val="auto"/>
                <w:sz w:val="24"/>
                <w:szCs w:val="24"/>
                <w:lang w:eastAsia="zh-CN"/>
              </w:rPr>
              <w:t>项目东</w:t>
            </w:r>
            <w:r>
              <w:rPr>
                <w:rFonts w:hint="eastAsia" w:ascii="Times New Roman" w:hAnsi="Times New Roman" w:eastAsia="宋体" w:cs="Times New Roman"/>
                <w:color w:val="auto"/>
                <w:sz w:val="24"/>
                <w:szCs w:val="24"/>
                <w:lang w:eastAsia="zh-CN"/>
              </w:rPr>
              <w:t>北</w:t>
            </w:r>
            <w:r>
              <w:rPr>
                <w:rFonts w:ascii="Times New Roman" w:hAnsi="Times New Roman" w:eastAsia="宋体" w:cs="Times New Roman"/>
                <w:color w:val="auto"/>
                <w:sz w:val="24"/>
                <w:szCs w:val="24"/>
                <w:lang w:eastAsia="zh-CN"/>
              </w:rPr>
              <w:t>侧</w:t>
            </w:r>
            <w:r>
              <w:rPr>
                <w:rFonts w:hint="eastAsia" w:ascii="Times New Roman" w:hAnsi="Times New Roman" w:eastAsia="宋体" w:cs="Times New Roman"/>
                <w:color w:val="auto"/>
                <w:sz w:val="24"/>
                <w:szCs w:val="24"/>
                <w:lang w:eastAsia="zh-CN"/>
              </w:rPr>
              <w:t>1050m</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潘所海，具体见下表：</w:t>
            </w:r>
          </w:p>
          <w:p w14:paraId="37B9473A">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表3-13 地表水环境保护目标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688"/>
              <w:gridCol w:w="1408"/>
              <w:gridCol w:w="1091"/>
              <w:gridCol w:w="3010"/>
            </w:tblGrid>
            <w:tr w14:paraId="2F9E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bottom w:val="single" w:color="auto" w:sz="4" w:space="0"/>
                    <w:right w:val="single" w:color="auto" w:sz="4" w:space="0"/>
                  </w:tcBorders>
                  <w:vAlign w:val="center"/>
                </w:tcPr>
                <w:p w14:paraId="59EE402E">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005" w:type="pct"/>
                  <w:tcBorders>
                    <w:top w:val="single" w:color="auto" w:sz="4" w:space="0"/>
                    <w:left w:val="single" w:color="auto" w:sz="4" w:space="0"/>
                    <w:bottom w:val="single" w:color="auto" w:sz="4" w:space="0"/>
                    <w:right w:val="single" w:color="auto" w:sz="4" w:space="0"/>
                  </w:tcBorders>
                  <w:vAlign w:val="center"/>
                </w:tcPr>
                <w:p w14:paraId="242102D3">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w:t>
                  </w:r>
                </w:p>
              </w:tc>
              <w:tc>
                <w:tcPr>
                  <w:tcW w:w="838" w:type="pct"/>
                  <w:tcBorders>
                    <w:top w:val="single" w:color="auto" w:sz="4" w:space="0"/>
                    <w:left w:val="single" w:color="auto" w:sz="4" w:space="0"/>
                    <w:bottom w:val="single" w:color="auto" w:sz="4" w:space="0"/>
                    <w:right w:val="single" w:color="auto" w:sz="4" w:space="0"/>
                  </w:tcBorders>
                  <w:vAlign w:val="center"/>
                </w:tcPr>
                <w:p w14:paraId="2176118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方向</w:t>
                  </w:r>
                </w:p>
              </w:tc>
              <w:tc>
                <w:tcPr>
                  <w:tcW w:w="650" w:type="pct"/>
                  <w:tcBorders>
                    <w:top w:val="single" w:color="auto" w:sz="4" w:space="0"/>
                    <w:left w:val="single" w:color="auto" w:sz="4" w:space="0"/>
                    <w:bottom w:val="single" w:color="auto" w:sz="4" w:space="0"/>
                    <w:right w:val="single" w:color="auto" w:sz="4" w:space="0"/>
                  </w:tcBorders>
                  <w:vAlign w:val="center"/>
                </w:tcPr>
                <w:p w14:paraId="498B1659">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距离</w:t>
                  </w:r>
                </w:p>
              </w:tc>
              <w:tc>
                <w:tcPr>
                  <w:tcW w:w="1793" w:type="pct"/>
                  <w:tcBorders>
                    <w:top w:val="single" w:color="auto" w:sz="4" w:space="0"/>
                    <w:left w:val="single" w:color="auto" w:sz="4" w:space="0"/>
                    <w:bottom w:val="single" w:color="auto" w:sz="4" w:space="0"/>
                    <w:right w:val="single" w:color="auto" w:sz="4" w:space="0"/>
                  </w:tcBorders>
                  <w:vAlign w:val="center"/>
                </w:tcPr>
                <w:p w14:paraId="77E537E9">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2F8A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right w:val="single" w:color="auto" w:sz="4" w:space="0"/>
                  </w:tcBorders>
                  <w:vAlign w:val="center"/>
                </w:tcPr>
                <w:p w14:paraId="7A720F34">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地表水</w:t>
                  </w:r>
                </w:p>
              </w:tc>
              <w:tc>
                <w:tcPr>
                  <w:tcW w:w="1005" w:type="pct"/>
                  <w:tcBorders>
                    <w:top w:val="single" w:color="auto" w:sz="4" w:space="0"/>
                    <w:left w:val="single" w:color="auto" w:sz="4" w:space="0"/>
                    <w:bottom w:val="single" w:color="auto" w:sz="4" w:space="0"/>
                    <w:right w:val="single" w:color="auto" w:sz="4" w:space="0"/>
                  </w:tcBorders>
                  <w:vAlign w:val="center"/>
                </w:tcPr>
                <w:p w14:paraId="04BE3CD3">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潘所海</w:t>
                  </w:r>
                </w:p>
              </w:tc>
              <w:tc>
                <w:tcPr>
                  <w:tcW w:w="838" w:type="pct"/>
                  <w:tcBorders>
                    <w:top w:val="single" w:color="auto" w:sz="4" w:space="0"/>
                    <w:left w:val="single" w:color="auto" w:sz="4" w:space="0"/>
                    <w:bottom w:val="single" w:color="auto" w:sz="4" w:space="0"/>
                    <w:right w:val="single" w:color="auto" w:sz="4" w:space="0"/>
                  </w:tcBorders>
                  <w:vAlign w:val="center"/>
                </w:tcPr>
                <w:p w14:paraId="113012BE">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东</w:t>
                  </w:r>
                  <w:r>
                    <w:rPr>
                      <w:rFonts w:hint="eastAsia" w:ascii="Times New Roman" w:hAnsi="Times New Roman" w:eastAsia="宋体" w:cs="Times New Roman"/>
                      <w:color w:val="auto"/>
                      <w:lang w:eastAsia="zh-CN"/>
                    </w:rPr>
                    <w:t>北</w:t>
                  </w:r>
                  <w:r>
                    <w:rPr>
                      <w:rFonts w:ascii="Times New Roman" w:hAnsi="Times New Roman" w:eastAsia="宋体" w:cs="Times New Roman"/>
                      <w:color w:val="auto"/>
                    </w:rPr>
                    <w:t>侧</w:t>
                  </w:r>
                </w:p>
              </w:tc>
              <w:tc>
                <w:tcPr>
                  <w:tcW w:w="650" w:type="pct"/>
                  <w:tcBorders>
                    <w:top w:val="single" w:color="auto" w:sz="4" w:space="0"/>
                    <w:left w:val="single" w:color="auto" w:sz="4" w:space="0"/>
                    <w:bottom w:val="single" w:color="auto" w:sz="4" w:space="0"/>
                    <w:right w:val="single" w:color="auto" w:sz="4" w:space="0"/>
                  </w:tcBorders>
                  <w:vAlign w:val="center"/>
                </w:tcPr>
                <w:p w14:paraId="7C4BBD50">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1050</w:t>
                  </w:r>
                  <w:r>
                    <w:rPr>
                      <w:rFonts w:hint="eastAsia" w:ascii="Times New Roman" w:hAnsi="Times New Roman" w:eastAsia="宋体" w:cs="Times New Roman"/>
                      <w:color w:val="auto"/>
                    </w:rPr>
                    <w:t>m</w:t>
                  </w:r>
                </w:p>
              </w:tc>
              <w:tc>
                <w:tcPr>
                  <w:tcW w:w="1793" w:type="pct"/>
                  <w:tcBorders>
                    <w:top w:val="single" w:color="auto" w:sz="4" w:space="0"/>
                    <w:left w:val="single" w:color="auto" w:sz="4" w:space="0"/>
                    <w:right w:val="single" w:color="auto" w:sz="4" w:space="0"/>
                  </w:tcBorders>
                  <w:vAlign w:val="center"/>
                </w:tcPr>
                <w:p w14:paraId="00AAB268">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《地表水环境质量标准》（GB3838-2002）</w:t>
                  </w:r>
                  <w:r>
                    <w:rPr>
                      <w:rFonts w:hint="eastAsia" w:ascii="Times New Roman" w:hAnsi="Times New Roman" w:eastAsia="宋体" w:cs="Times New Roman"/>
                      <w:color w:val="auto"/>
                      <w:lang w:eastAsia="zh-CN"/>
                    </w:rPr>
                    <w:t>Ⅲ</w:t>
                  </w:r>
                  <w:r>
                    <w:rPr>
                      <w:rFonts w:ascii="Times New Roman" w:hAnsi="Times New Roman" w:eastAsia="宋体" w:cs="Times New Roman"/>
                      <w:color w:val="auto"/>
                      <w:lang w:eastAsia="zh-CN"/>
                    </w:rPr>
                    <w:t>类标准</w:t>
                  </w:r>
                </w:p>
              </w:tc>
            </w:tr>
          </w:tbl>
          <w:p w14:paraId="01DF2E6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（3）地下水环境</w:t>
            </w:r>
          </w:p>
          <w:p w14:paraId="6A04D1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本项目所在厂界外500m范围内不涉及地下水集中式饮用水水源和热水、矿泉水、温泉等特殊地下水资源。</w:t>
            </w:r>
          </w:p>
          <w:p w14:paraId="55D93E5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（4）声环境</w:t>
            </w:r>
          </w:p>
          <w:p w14:paraId="0A39955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项目厂界外50m范围内声环境保护目标为东侧30m处泽铁社区散户。</w:t>
            </w:r>
          </w:p>
          <w:p w14:paraId="5E23804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表3-14 声环境保护目标</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688"/>
              <w:gridCol w:w="1408"/>
              <w:gridCol w:w="1091"/>
              <w:gridCol w:w="3010"/>
            </w:tblGrid>
            <w:tr w14:paraId="3511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bottom w:val="single" w:color="auto" w:sz="4" w:space="0"/>
                    <w:right w:val="single" w:color="auto" w:sz="4" w:space="0"/>
                  </w:tcBorders>
                  <w:vAlign w:val="center"/>
                </w:tcPr>
                <w:p w14:paraId="12FDE550">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类别</w:t>
                  </w:r>
                </w:p>
              </w:tc>
              <w:tc>
                <w:tcPr>
                  <w:tcW w:w="1005" w:type="pct"/>
                  <w:tcBorders>
                    <w:top w:val="single" w:color="auto" w:sz="4" w:space="0"/>
                    <w:left w:val="single" w:color="auto" w:sz="4" w:space="0"/>
                    <w:bottom w:val="single" w:color="auto" w:sz="4" w:space="0"/>
                    <w:right w:val="single" w:color="auto" w:sz="4" w:space="0"/>
                  </w:tcBorders>
                  <w:vAlign w:val="center"/>
                </w:tcPr>
                <w:p w14:paraId="3152F1A6">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保护目标</w:t>
                  </w:r>
                </w:p>
              </w:tc>
              <w:tc>
                <w:tcPr>
                  <w:tcW w:w="838" w:type="pct"/>
                  <w:tcBorders>
                    <w:top w:val="single" w:color="auto" w:sz="4" w:space="0"/>
                    <w:left w:val="single" w:color="auto" w:sz="4" w:space="0"/>
                    <w:bottom w:val="single" w:color="auto" w:sz="4" w:space="0"/>
                    <w:right w:val="single" w:color="auto" w:sz="4" w:space="0"/>
                  </w:tcBorders>
                  <w:vAlign w:val="center"/>
                </w:tcPr>
                <w:p w14:paraId="560D4100">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方向</w:t>
                  </w:r>
                </w:p>
              </w:tc>
              <w:tc>
                <w:tcPr>
                  <w:tcW w:w="650" w:type="pct"/>
                  <w:tcBorders>
                    <w:top w:val="single" w:color="auto" w:sz="4" w:space="0"/>
                    <w:left w:val="single" w:color="auto" w:sz="4" w:space="0"/>
                    <w:bottom w:val="single" w:color="auto" w:sz="4" w:space="0"/>
                    <w:right w:val="single" w:color="auto" w:sz="4" w:space="0"/>
                  </w:tcBorders>
                  <w:vAlign w:val="center"/>
                </w:tcPr>
                <w:p w14:paraId="558372B8">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距离</w:t>
                  </w:r>
                </w:p>
              </w:tc>
              <w:tc>
                <w:tcPr>
                  <w:tcW w:w="1793" w:type="pct"/>
                  <w:tcBorders>
                    <w:top w:val="single" w:color="auto" w:sz="4" w:space="0"/>
                    <w:left w:val="single" w:color="auto" w:sz="4" w:space="0"/>
                    <w:bottom w:val="single" w:color="auto" w:sz="4" w:space="0"/>
                    <w:right w:val="single" w:color="auto" w:sz="4" w:space="0"/>
                  </w:tcBorders>
                  <w:vAlign w:val="center"/>
                </w:tcPr>
                <w:p w14:paraId="2ED4CEE4">
                  <w:pPr>
                    <w:kinsoku/>
                    <w:overflowPunct w:val="0"/>
                    <w:autoSpaceDE/>
                    <w:autoSpaceDN/>
                    <w:adjustRightInd/>
                    <w:snapToGrid/>
                    <w:spacing w:line="264" w:lineRule="auto"/>
                    <w:jc w:val="center"/>
                    <w:rPr>
                      <w:rFonts w:ascii="Times New Roman" w:hAnsi="Times New Roman" w:eastAsia="宋体" w:cs="Times New Roman"/>
                      <w:b/>
                      <w:bCs/>
                      <w:color w:val="auto"/>
                    </w:rPr>
                  </w:pPr>
                  <w:r>
                    <w:rPr>
                      <w:rFonts w:ascii="Times New Roman" w:hAnsi="Times New Roman" w:eastAsia="宋体" w:cs="Times New Roman"/>
                      <w:b/>
                      <w:bCs/>
                      <w:color w:val="auto"/>
                    </w:rPr>
                    <w:t>保护级别</w:t>
                  </w:r>
                </w:p>
              </w:tc>
            </w:tr>
            <w:tr w14:paraId="3FC7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pct"/>
                  <w:tcBorders>
                    <w:top w:val="single" w:color="auto" w:sz="4" w:space="0"/>
                    <w:left w:val="single" w:color="auto" w:sz="4" w:space="0"/>
                    <w:right w:val="single" w:color="auto" w:sz="4" w:space="0"/>
                  </w:tcBorders>
                  <w:vAlign w:val="center"/>
                </w:tcPr>
                <w:p w14:paraId="08664AA7">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声环境</w:t>
                  </w:r>
                </w:p>
              </w:tc>
              <w:tc>
                <w:tcPr>
                  <w:tcW w:w="1005" w:type="pct"/>
                  <w:tcBorders>
                    <w:top w:val="single" w:color="auto" w:sz="4" w:space="0"/>
                    <w:left w:val="single" w:color="auto" w:sz="4" w:space="0"/>
                    <w:bottom w:val="single" w:color="auto" w:sz="4" w:space="0"/>
                    <w:right w:val="single" w:color="auto" w:sz="4" w:space="0"/>
                  </w:tcBorders>
                  <w:vAlign w:val="center"/>
                </w:tcPr>
                <w:p w14:paraId="574A8FEE">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838" w:type="pct"/>
                  <w:tcBorders>
                    <w:top w:val="single" w:color="auto" w:sz="4" w:space="0"/>
                    <w:left w:val="single" w:color="auto" w:sz="4" w:space="0"/>
                    <w:bottom w:val="single" w:color="auto" w:sz="4" w:space="0"/>
                    <w:right w:val="single" w:color="auto" w:sz="4" w:space="0"/>
                  </w:tcBorders>
                  <w:vAlign w:val="center"/>
                </w:tcPr>
                <w:p w14:paraId="62807E31">
                  <w:pPr>
                    <w:kinsoku/>
                    <w:overflowPunct w:val="0"/>
                    <w:autoSpaceDE/>
                    <w:autoSpaceDN/>
                    <w:adjustRightInd/>
                    <w:snapToGrid/>
                    <w:spacing w:line="264" w:lineRule="auto"/>
                    <w:jc w:val="center"/>
                    <w:rPr>
                      <w:rFonts w:ascii="Times New Roman" w:hAnsi="Times New Roman" w:eastAsia="宋体" w:cs="Times New Roman"/>
                      <w:color w:val="auto"/>
                    </w:rPr>
                  </w:pPr>
                  <w:r>
                    <w:rPr>
                      <w:rFonts w:ascii="Times New Roman" w:hAnsi="Times New Roman" w:eastAsia="宋体" w:cs="Times New Roman"/>
                      <w:color w:val="auto"/>
                    </w:rPr>
                    <w:t>东侧</w:t>
                  </w:r>
                </w:p>
              </w:tc>
              <w:tc>
                <w:tcPr>
                  <w:tcW w:w="650" w:type="pct"/>
                  <w:tcBorders>
                    <w:top w:val="single" w:color="auto" w:sz="4" w:space="0"/>
                    <w:left w:val="single" w:color="auto" w:sz="4" w:space="0"/>
                    <w:bottom w:val="single" w:color="auto" w:sz="4" w:space="0"/>
                    <w:right w:val="single" w:color="auto" w:sz="4" w:space="0"/>
                  </w:tcBorders>
                  <w:vAlign w:val="center"/>
                </w:tcPr>
                <w:p w14:paraId="76760ABE">
                  <w:pPr>
                    <w:kinsoku/>
                    <w:overflowPunct w:val="0"/>
                    <w:autoSpaceDE/>
                    <w:autoSpaceDN/>
                    <w:adjustRightInd/>
                    <w:snapToGrid/>
                    <w:spacing w:line="264" w:lineRule="auto"/>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30</w:t>
                  </w:r>
                  <w:r>
                    <w:rPr>
                      <w:rFonts w:hint="eastAsia" w:ascii="Times New Roman" w:hAnsi="Times New Roman" w:eastAsia="宋体" w:cs="Times New Roman"/>
                      <w:color w:val="auto"/>
                    </w:rPr>
                    <w:t>m</w:t>
                  </w:r>
                </w:p>
              </w:tc>
              <w:tc>
                <w:tcPr>
                  <w:tcW w:w="1793" w:type="pct"/>
                  <w:tcBorders>
                    <w:top w:val="single" w:color="auto" w:sz="4" w:space="0"/>
                    <w:left w:val="single" w:color="auto" w:sz="4" w:space="0"/>
                    <w:right w:val="single" w:color="auto" w:sz="4" w:space="0"/>
                  </w:tcBorders>
                  <w:vAlign w:val="center"/>
                </w:tcPr>
                <w:p w14:paraId="29871F46">
                  <w:pPr>
                    <w:kinsoku/>
                    <w:overflowPunct w:val="0"/>
                    <w:autoSpaceDE/>
                    <w:autoSpaceDN/>
                    <w:adjustRightInd/>
                    <w:snapToGrid/>
                    <w:spacing w:line="264" w:lineRule="auto"/>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《声环境质量标准》（GB3096-2008）2类标准</w:t>
                  </w:r>
                </w:p>
              </w:tc>
            </w:tr>
          </w:tbl>
          <w:p w14:paraId="6525F56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（5）生态环境</w:t>
            </w:r>
          </w:p>
          <w:p w14:paraId="7C43689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项目租用金所街道办事处泽铁社区居委会栽开居民小组地块进行建设，用地范围内不涉及生态环境保护目标。</w:t>
            </w:r>
          </w:p>
        </w:tc>
      </w:tr>
      <w:tr w14:paraId="1AFFB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0F0DB62B">
            <w:pPr>
              <w:pStyle w:val="30"/>
              <w:kinsoku/>
              <w:overflowPunct w:val="0"/>
              <w:autoSpaceDE/>
              <w:autoSpaceDN/>
              <w:adjustRightInd/>
              <w:snapToGrid/>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污染物排放控制标准</w:t>
            </w:r>
          </w:p>
        </w:tc>
        <w:tc>
          <w:tcPr>
            <w:tcW w:w="8589" w:type="dxa"/>
            <w:tcBorders>
              <w:top w:val="single" w:color="auto" w:sz="4" w:space="0"/>
              <w:left w:val="single" w:color="auto" w:sz="4" w:space="0"/>
              <w:bottom w:val="single" w:color="auto" w:sz="4" w:space="0"/>
              <w:right w:val="single" w:color="auto" w:sz="4" w:space="0"/>
            </w:tcBorders>
          </w:tcPr>
          <w:p w14:paraId="1C125BE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、废气</w:t>
            </w:r>
          </w:p>
          <w:p w14:paraId="075C5CF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7D669A4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项目施工期无组织颗粒物排放执行《大气污染物综合排放标准》（GB16297-1996）中表2规定的限值，标准如下。</w:t>
            </w:r>
          </w:p>
          <w:p w14:paraId="643AC63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表3-15 大气污染物综合排放标准</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7"/>
              <w:gridCol w:w="5643"/>
            </w:tblGrid>
            <w:tr w14:paraId="1A37C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jc w:val="center"/>
              </w:trPr>
              <w:tc>
                <w:tcPr>
                  <w:tcW w:w="2747" w:type="dxa"/>
                  <w:vAlign w:val="center"/>
                </w:tcPr>
                <w:p w14:paraId="3DD29C52">
                  <w:pPr>
                    <w:pStyle w:val="30"/>
                    <w:keepNext w:val="0"/>
                    <w:keepLines w:val="0"/>
                    <w:pageBreakBefore w:val="0"/>
                    <w:widowControl/>
                    <w:kinsoku/>
                    <w:wordWrap/>
                    <w:overflowPunct w:val="0"/>
                    <w:topLinePunct w:val="0"/>
                    <w:autoSpaceDE/>
                    <w:autoSpaceDN/>
                    <w:bidi w:val="0"/>
                    <w:adjustRightInd w:val="0"/>
                    <w:snapToGrid w:val="0"/>
                    <w:spacing w:line="240" w:lineRule="auto"/>
                    <w:ind w:left="0"/>
                    <w:jc w:val="center"/>
                    <w:textAlignment w:val="baseline"/>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w:t>
                  </w:r>
                </w:p>
              </w:tc>
              <w:tc>
                <w:tcPr>
                  <w:tcW w:w="5643" w:type="dxa"/>
                  <w:vAlign w:val="center"/>
                </w:tcPr>
                <w:p w14:paraId="53C3D10D">
                  <w:pPr>
                    <w:pStyle w:val="30"/>
                    <w:keepNext w:val="0"/>
                    <w:keepLines w:val="0"/>
                    <w:pageBreakBefore w:val="0"/>
                    <w:widowControl/>
                    <w:kinsoku/>
                    <w:wordWrap/>
                    <w:overflowPunct w:val="0"/>
                    <w:topLinePunct w:val="0"/>
                    <w:autoSpaceDE/>
                    <w:autoSpaceDN/>
                    <w:bidi w:val="0"/>
                    <w:adjustRightInd w:val="0"/>
                    <w:snapToGrid w:val="0"/>
                    <w:spacing w:line="240" w:lineRule="auto"/>
                    <w:ind w:left="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无组织排放监控浓度限值</w:t>
                  </w:r>
                </w:p>
              </w:tc>
            </w:tr>
            <w:tr w14:paraId="264A94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2747" w:type="dxa"/>
                  <w:vAlign w:val="center"/>
                </w:tcPr>
                <w:p w14:paraId="68354B34">
                  <w:pPr>
                    <w:pStyle w:val="30"/>
                    <w:keepNext w:val="0"/>
                    <w:keepLines w:val="0"/>
                    <w:pageBreakBefore w:val="0"/>
                    <w:widowControl/>
                    <w:kinsoku/>
                    <w:wordWrap/>
                    <w:overflowPunct w:val="0"/>
                    <w:topLinePunct w:val="0"/>
                    <w:autoSpaceDE/>
                    <w:autoSpaceDN/>
                    <w:bidi w:val="0"/>
                    <w:adjustRightInd w:val="0"/>
                    <w:snapToGrid w:val="0"/>
                    <w:spacing w:line="240" w:lineRule="auto"/>
                    <w:ind w:left="0"/>
                    <w:jc w:val="center"/>
                    <w:textAlignment w:val="baseline"/>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颗粒物</w:t>
                  </w:r>
                </w:p>
              </w:tc>
              <w:tc>
                <w:tcPr>
                  <w:tcW w:w="5643" w:type="dxa"/>
                  <w:vAlign w:val="center"/>
                </w:tcPr>
                <w:p w14:paraId="5F930598">
                  <w:pPr>
                    <w:keepNext w:val="0"/>
                    <w:keepLines w:val="0"/>
                    <w:pageBreakBefore w:val="0"/>
                    <w:widowControl/>
                    <w:kinsoku/>
                    <w:wordWrap/>
                    <w:overflowPunct w:val="0"/>
                    <w:topLinePunct w:val="0"/>
                    <w:autoSpaceDE/>
                    <w:autoSpaceDN/>
                    <w:bidi w:val="0"/>
                    <w:adjustRightInd w:val="0"/>
                    <w:snapToGrid w:val="0"/>
                    <w:spacing w:line="240" w:lineRule="auto"/>
                    <w:ind w:left="0"/>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1.0mg/m</w:t>
                  </w:r>
                  <w:r>
                    <w:rPr>
                      <w:rFonts w:hint="eastAsia" w:ascii="Times New Roman" w:hAnsi="Times New Roman" w:eastAsia="宋体" w:cs="Times New Roman"/>
                      <w:color w:val="auto"/>
                      <w:vertAlign w:val="superscript"/>
                      <w:lang w:eastAsia="zh-CN"/>
                    </w:rPr>
                    <w:t>3</w:t>
                  </w:r>
                </w:p>
              </w:tc>
            </w:tr>
          </w:tbl>
          <w:p w14:paraId="16226048">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3FD461E7">
            <w:pPr>
              <w:kinsoku/>
              <w:overflowPunct w:val="0"/>
              <w:autoSpaceDE/>
              <w:autoSpaceDN/>
              <w:adjustRightInd/>
              <w:snapToGrid/>
              <w:spacing w:line="360" w:lineRule="auto"/>
              <w:ind w:firstLine="482" w:firstLineChars="200"/>
              <w:jc w:val="both"/>
              <w:rPr>
                <w:rFonts w:ascii="Times New Roman" w:hAnsi="Times New Roman" w:eastAsia="宋体" w:cs="Times New Roman"/>
                <w:b/>
                <w:color w:val="auto"/>
                <w:sz w:val="24"/>
                <w:lang w:eastAsia="zh-CN"/>
              </w:rPr>
            </w:pPr>
            <w:r>
              <w:rPr>
                <w:rFonts w:hint="eastAsia" w:ascii="Times New Roman" w:hAnsi="Times New Roman" w:eastAsia="宋体" w:cs="Times New Roman"/>
                <w:b/>
                <w:color w:val="auto"/>
                <w:sz w:val="24"/>
                <w:lang w:eastAsia="zh-CN"/>
              </w:rPr>
              <w:t>①生产废气</w:t>
            </w:r>
          </w:p>
          <w:p w14:paraId="51BCBA27">
            <w:pPr>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无组织废气：</w:t>
            </w:r>
            <w:r>
              <w:rPr>
                <w:rFonts w:ascii="Times New Roman" w:hAnsi="Times New Roman" w:eastAsia="宋体" w:cs="Times New Roman"/>
                <w:bCs/>
                <w:color w:val="auto"/>
                <w:sz w:val="24"/>
                <w:lang w:eastAsia="zh-CN"/>
              </w:rPr>
              <w:t>运营期产生的</w:t>
            </w:r>
            <w:r>
              <w:rPr>
                <w:rFonts w:hint="eastAsia" w:ascii="Times New Roman" w:hAnsi="Times New Roman" w:eastAsia="宋体" w:cs="Times New Roman"/>
                <w:bCs/>
                <w:color w:val="auto"/>
                <w:sz w:val="24"/>
                <w:lang w:eastAsia="zh-CN"/>
              </w:rPr>
              <w:t>无组织</w:t>
            </w:r>
            <w:r>
              <w:rPr>
                <w:rFonts w:ascii="Times New Roman" w:hAnsi="Times New Roman" w:eastAsia="宋体" w:cs="Times New Roman"/>
                <w:bCs/>
                <w:color w:val="auto"/>
                <w:sz w:val="24"/>
                <w:lang w:eastAsia="zh-CN"/>
              </w:rPr>
              <w:t>颗粒物</w:t>
            </w:r>
            <w:r>
              <w:rPr>
                <w:rFonts w:hint="eastAsia" w:ascii="Times New Roman" w:hAnsi="Times New Roman" w:eastAsia="宋体" w:cs="Times New Roman"/>
                <w:bCs/>
                <w:color w:val="auto"/>
                <w:sz w:val="24"/>
                <w:lang w:eastAsia="zh-CN"/>
              </w:rPr>
              <w:t>排放执行</w:t>
            </w:r>
            <w:r>
              <w:rPr>
                <w:rFonts w:ascii="Times New Roman" w:hAnsi="Times New Roman" w:eastAsia="宋体" w:cs="Times New Roman"/>
                <w:bCs/>
                <w:color w:val="auto"/>
                <w:sz w:val="24"/>
                <w:lang w:eastAsia="zh-CN"/>
              </w:rPr>
              <w:t>《大气污染物综合排放标准》（GB16297-1996）表2中无组织排放监控浓度限</w:t>
            </w:r>
            <w:r>
              <w:rPr>
                <w:rFonts w:hint="eastAsia" w:ascii="Times New Roman" w:hAnsi="Times New Roman" w:eastAsia="宋体" w:cs="Times New Roman"/>
                <w:bCs/>
                <w:color w:val="auto"/>
                <w:sz w:val="24"/>
                <w:lang w:eastAsia="zh-CN"/>
              </w:rPr>
              <w:t>值</w:t>
            </w:r>
            <w:r>
              <w:rPr>
                <w:rFonts w:ascii="Times New Roman" w:hAnsi="Times New Roman" w:eastAsia="宋体" w:cs="Times New Roman"/>
                <w:bCs/>
                <w:color w:val="auto"/>
                <w:sz w:val="24"/>
                <w:lang w:eastAsia="zh-CN"/>
              </w:rPr>
              <w:t>。</w:t>
            </w:r>
          </w:p>
          <w:p w14:paraId="503E3ED6">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表3-16 无组织废气排放限值</w:t>
            </w:r>
          </w:p>
          <w:tbl>
            <w:tblPr>
              <w:tblStyle w:val="19"/>
              <w:tblW w:w="48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69"/>
              <w:gridCol w:w="1782"/>
              <w:gridCol w:w="2435"/>
              <w:gridCol w:w="2804"/>
            </w:tblGrid>
            <w:tr w14:paraId="18BE5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5" w:type="pct"/>
                  <w:vAlign w:val="center"/>
                </w:tcPr>
                <w:p w14:paraId="7EFD7B52">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污染物</w:t>
                  </w:r>
                </w:p>
              </w:tc>
              <w:tc>
                <w:tcPr>
                  <w:tcW w:w="1061" w:type="pct"/>
                  <w:vAlign w:val="center"/>
                </w:tcPr>
                <w:p w14:paraId="5D70E1FD">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无组织排放监控浓度限值</w:t>
                  </w:r>
                </w:p>
              </w:tc>
              <w:tc>
                <w:tcPr>
                  <w:tcW w:w="1451" w:type="pct"/>
                  <w:vAlign w:val="center"/>
                </w:tcPr>
                <w:p w14:paraId="4E9A81A6">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无组织排放监控点</w:t>
                  </w:r>
                </w:p>
              </w:tc>
              <w:tc>
                <w:tcPr>
                  <w:tcW w:w="1671" w:type="pct"/>
                  <w:vAlign w:val="center"/>
                </w:tcPr>
                <w:p w14:paraId="186C95DF">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rPr>
                    <w:t>执行标准</w:t>
                  </w:r>
                </w:p>
              </w:tc>
            </w:tr>
            <w:tr w14:paraId="1F141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15" w:type="pct"/>
                  <w:vAlign w:val="center"/>
                </w:tcPr>
                <w:p w14:paraId="599B81C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颗粒物</w:t>
                  </w:r>
                </w:p>
              </w:tc>
              <w:tc>
                <w:tcPr>
                  <w:tcW w:w="1061" w:type="pct"/>
                  <w:vAlign w:val="center"/>
                </w:tcPr>
                <w:p w14:paraId="3DCEC3E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1.0mg/m</w:t>
                  </w:r>
                  <w:r>
                    <w:rPr>
                      <w:rFonts w:ascii="Times New Roman" w:hAnsi="Times New Roman" w:eastAsia="宋体" w:cs="Times New Roman"/>
                      <w:color w:val="auto"/>
                      <w:vertAlign w:val="superscript"/>
                    </w:rPr>
                    <w:t>3</w:t>
                  </w:r>
                </w:p>
              </w:tc>
              <w:tc>
                <w:tcPr>
                  <w:tcW w:w="1451" w:type="pct"/>
                  <w:vAlign w:val="center"/>
                </w:tcPr>
                <w:p w14:paraId="403D49A2">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周界外浓度最高点</w:t>
                  </w:r>
                </w:p>
              </w:tc>
              <w:tc>
                <w:tcPr>
                  <w:tcW w:w="1671" w:type="pct"/>
                  <w:vAlign w:val="center"/>
                </w:tcPr>
                <w:p w14:paraId="0A3E9CD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lang w:eastAsia="zh-CN"/>
                    </w:rPr>
                    <w:t>《大气污染物综合排放标准》（GB16297-1996）</w:t>
                  </w:r>
                </w:p>
              </w:tc>
            </w:tr>
          </w:tbl>
          <w:p w14:paraId="1E7BAF00">
            <w:pPr>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t>有组织废气：</w:t>
            </w:r>
            <w:r>
              <w:rPr>
                <w:rFonts w:ascii="Times New Roman" w:hAnsi="Times New Roman" w:eastAsia="宋体" w:cs="Times New Roman"/>
                <w:bCs/>
                <w:color w:val="auto"/>
                <w:sz w:val="24"/>
                <w:lang w:eastAsia="zh-CN"/>
              </w:rPr>
              <w:t>项目</w:t>
            </w:r>
            <w:r>
              <w:rPr>
                <w:rFonts w:hint="eastAsia" w:ascii="Times New Roman" w:hAnsi="Times New Roman" w:eastAsia="宋体" w:cs="Times New Roman"/>
                <w:bCs/>
                <w:color w:val="auto"/>
                <w:sz w:val="24"/>
                <w:lang w:eastAsia="zh-CN"/>
              </w:rPr>
              <w:t>新增</w:t>
            </w:r>
            <w:r>
              <w:rPr>
                <w:rFonts w:ascii="Times New Roman" w:hAnsi="Times New Roman" w:eastAsia="宋体" w:cs="Times New Roman"/>
                <w:bCs/>
                <w:color w:val="auto"/>
                <w:sz w:val="24"/>
                <w:lang w:eastAsia="zh-CN"/>
              </w:rPr>
              <w:t>排气筒</w:t>
            </w:r>
            <w:r>
              <w:rPr>
                <w:rFonts w:hint="eastAsia" w:ascii="Times New Roman" w:hAnsi="Times New Roman" w:eastAsia="宋体" w:cs="Times New Roman"/>
                <w:bCs/>
                <w:color w:val="auto"/>
                <w:sz w:val="24"/>
                <w:lang w:eastAsia="zh-CN"/>
              </w:rPr>
              <w:t>DA001</w:t>
            </w:r>
            <w:r>
              <w:rPr>
                <w:rFonts w:hint="eastAsia" w:cs="Times New Roman"/>
                <w:bCs/>
                <w:color w:val="auto"/>
                <w:sz w:val="24"/>
                <w:lang w:eastAsia="zh-CN"/>
              </w:rPr>
              <w:t>、</w:t>
            </w:r>
            <w:r>
              <w:rPr>
                <w:rFonts w:hint="eastAsia" w:cs="Times New Roman"/>
                <w:bCs/>
                <w:color w:val="auto"/>
                <w:sz w:val="24"/>
                <w:lang w:val="en-US" w:eastAsia="zh-CN"/>
              </w:rPr>
              <w:t>DA002</w:t>
            </w:r>
            <w:r>
              <w:rPr>
                <w:rFonts w:ascii="Times New Roman" w:hAnsi="Times New Roman" w:eastAsia="宋体" w:cs="Times New Roman"/>
                <w:bCs/>
                <w:color w:val="auto"/>
                <w:sz w:val="24"/>
                <w:lang w:eastAsia="zh-CN"/>
              </w:rPr>
              <w:t>外排的有组织颗粒物执行</w:t>
            </w:r>
            <w:r>
              <w:rPr>
                <w:rFonts w:ascii="Times New Roman" w:hAnsi="Times New Roman" w:eastAsia="宋体" w:cs="Times New Roman"/>
                <w:color w:val="auto"/>
                <w:sz w:val="24"/>
                <w:lang w:eastAsia="zh-CN"/>
              </w:rPr>
              <w:t>《大气污染物综合排放标准》（GB16297-1996）表2中有组织最高允许排放浓度限值</w:t>
            </w:r>
            <w:r>
              <w:rPr>
                <w:rFonts w:hint="eastAsia" w:ascii="Times New Roman" w:hAnsi="Times New Roman" w:eastAsia="宋体" w:cs="Times New Roman"/>
                <w:color w:val="auto"/>
                <w:sz w:val="24"/>
                <w:lang w:eastAsia="zh-CN"/>
              </w:rPr>
              <w:t>，具体见下表</w:t>
            </w:r>
            <w:r>
              <w:rPr>
                <w:rFonts w:ascii="Times New Roman" w:hAnsi="Times New Roman" w:eastAsia="宋体" w:cs="Times New Roman"/>
                <w:bCs/>
                <w:color w:val="auto"/>
                <w:sz w:val="24"/>
                <w:lang w:eastAsia="zh-CN"/>
              </w:rPr>
              <w:t>。</w:t>
            </w:r>
          </w:p>
          <w:p w14:paraId="09F564C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表3-17 大气污染物排放标准</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1661"/>
              <w:gridCol w:w="1972"/>
              <w:gridCol w:w="880"/>
              <w:gridCol w:w="1785"/>
              <w:gridCol w:w="1360"/>
            </w:tblGrid>
            <w:tr w14:paraId="002B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tcBorders>
                    <w:top w:val="single" w:color="auto" w:sz="4" w:space="0"/>
                    <w:left w:val="single" w:color="auto" w:sz="4" w:space="0"/>
                    <w:right w:val="single" w:color="auto" w:sz="4" w:space="0"/>
                  </w:tcBorders>
                  <w:vAlign w:val="center"/>
                </w:tcPr>
                <w:p w14:paraId="2626D3B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1661" w:type="dxa"/>
                  <w:vMerge w:val="restart"/>
                  <w:tcBorders>
                    <w:top w:val="single" w:color="auto" w:sz="4" w:space="0"/>
                    <w:left w:val="single" w:color="auto" w:sz="4" w:space="0"/>
                    <w:right w:val="single" w:color="auto" w:sz="4" w:space="0"/>
                  </w:tcBorders>
                  <w:vAlign w:val="center"/>
                </w:tcPr>
                <w:p w14:paraId="3A96107E">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最高允许排放浓度（mg/m</w:t>
                  </w:r>
                  <w:r>
                    <w:rPr>
                      <w:rFonts w:ascii="Times New Roman" w:hAnsi="Times New Roman" w:eastAsia="宋体" w:cs="Times New Roman"/>
                      <w:b/>
                      <w:bCs/>
                      <w:color w:val="auto"/>
                      <w:vertAlign w:val="superscript"/>
                      <w:lang w:eastAsia="zh-CN"/>
                    </w:rPr>
                    <w:t>3</w:t>
                  </w:r>
                  <w:r>
                    <w:rPr>
                      <w:rFonts w:ascii="Times New Roman" w:hAnsi="Times New Roman" w:eastAsia="宋体" w:cs="Times New Roman"/>
                      <w:b/>
                      <w:bCs/>
                      <w:color w:val="auto"/>
                      <w:lang w:eastAsia="zh-CN"/>
                    </w:rPr>
                    <w:t>）</w:t>
                  </w:r>
                </w:p>
              </w:tc>
              <w:tc>
                <w:tcPr>
                  <w:tcW w:w="2852" w:type="dxa"/>
                  <w:gridSpan w:val="2"/>
                  <w:tcBorders>
                    <w:top w:val="single" w:color="auto" w:sz="4" w:space="0"/>
                    <w:left w:val="single" w:color="auto" w:sz="4" w:space="0"/>
                    <w:right w:val="single" w:color="auto" w:sz="4" w:space="0"/>
                  </w:tcBorders>
                  <w:vAlign w:val="center"/>
                </w:tcPr>
                <w:p w14:paraId="2A037DE7">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最高允许排放速率（kg/h）</w:t>
                  </w:r>
                </w:p>
              </w:tc>
              <w:tc>
                <w:tcPr>
                  <w:tcW w:w="1785" w:type="dxa"/>
                  <w:vMerge w:val="restart"/>
                  <w:tcBorders>
                    <w:top w:val="single" w:color="auto" w:sz="4" w:space="0"/>
                    <w:left w:val="single" w:color="auto" w:sz="4" w:space="0"/>
                    <w:right w:val="single" w:color="auto" w:sz="4" w:space="0"/>
                  </w:tcBorders>
                  <w:vAlign w:val="center"/>
                </w:tcPr>
                <w:p w14:paraId="6301CF5F">
                  <w:pPr>
                    <w:spacing w:line="276" w:lineRule="auto"/>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本项目执行排放速率</w:t>
                  </w:r>
                  <w:r>
                    <w:rPr>
                      <w:rFonts w:ascii="Times New Roman" w:hAnsi="Times New Roman" w:eastAsia="宋体" w:cs="Times New Roman"/>
                      <w:b/>
                      <w:bCs/>
                      <w:color w:val="auto"/>
                      <w:lang w:eastAsia="zh-CN"/>
                    </w:rPr>
                    <w:t>（kg/h）</w:t>
                  </w:r>
                </w:p>
              </w:tc>
              <w:tc>
                <w:tcPr>
                  <w:tcW w:w="1360" w:type="dxa"/>
                  <w:vMerge w:val="restart"/>
                  <w:tcBorders>
                    <w:top w:val="single" w:color="auto" w:sz="4" w:space="0"/>
                    <w:left w:val="single" w:color="auto" w:sz="4" w:space="0"/>
                    <w:right w:val="single" w:color="auto" w:sz="4" w:space="0"/>
                  </w:tcBorders>
                  <w:vAlign w:val="center"/>
                </w:tcPr>
                <w:p w14:paraId="577D6227">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执行标准</w:t>
                  </w:r>
                </w:p>
              </w:tc>
            </w:tr>
            <w:tr w14:paraId="17A8C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tcBorders>
                    <w:left w:val="single" w:color="auto" w:sz="4" w:space="0"/>
                    <w:bottom w:val="single" w:color="auto" w:sz="4" w:space="0"/>
                    <w:right w:val="single" w:color="auto" w:sz="4" w:space="0"/>
                  </w:tcBorders>
                  <w:vAlign w:val="center"/>
                </w:tcPr>
                <w:p w14:paraId="178B805A">
                  <w:pPr>
                    <w:kinsoku/>
                    <w:overflowPunct w:val="0"/>
                    <w:autoSpaceDE/>
                    <w:autoSpaceDN/>
                    <w:adjustRightInd/>
                    <w:snapToGrid/>
                    <w:jc w:val="center"/>
                    <w:rPr>
                      <w:rFonts w:ascii="Times New Roman" w:hAnsi="Times New Roman" w:eastAsia="宋体" w:cs="Times New Roman"/>
                      <w:color w:val="auto"/>
                    </w:rPr>
                  </w:pPr>
                </w:p>
              </w:tc>
              <w:tc>
                <w:tcPr>
                  <w:tcW w:w="1661" w:type="dxa"/>
                  <w:vMerge w:val="continue"/>
                  <w:tcBorders>
                    <w:left w:val="single" w:color="auto" w:sz="4" w:space="0"/>
                    <w:bottom w:val="single" w:color="auto" w:sz="4" w:space="0"/>
                    <w:right w:val="single" w:color="auto" w:sz="4" w:space="0"/>
                  </w:tcBorders>
                  <w:vAlign w:val="center"/>
                </w:tcPr>
                <w:p w14:paraId="5DC7AD79">
                  <w:pPr>
                    <w:kinsoku/>
                    <w:overflowPunct w:val="0"/>
                    <w:autoSpaceDE/>
                    <w:autoSpaceDN/>
                    <w:adjustRightInd/>
                    <w:snapToGrid/>
                    <w:jc w:val="center"/>
                    <w:rPr>
                      <w:rFonts w:ascii="Times New Roman" w:hAnsi="Times New Roman" w:eastAsia="宋体" w:cs="Times New Roman"/>
                      <w:color w:val="auto"/>
                    </w:rPr>
                  </w:pPr>
                </w:p>
              </w:tc>
              <w:tc>
                <w:tcPr>
                  <w:tcW w:w="1972" w:type="dxa"/>
                  <w:tcBorders>
                    <w:left w:val="single" w:color="auto" w:sz="4" w:space="0"/>
                    <w:bottom w:val="single" w:color="auto" w:sz="4" w:space="0"/>
                    <w:right w:val="single" w:color="auto" w:sz="4" w:space="0"/>
                  </w:tcBorders>
                  <w:vAlign w:val="center"/>
                </w:tcPr>
                <w:p w14:paraId="31C2A69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排气筒高度（m）</w:t>
                  </w:r>
                </w:p>
              </w:tc>
              <w:tc>
                <w:tcPr>
                  <w:tcW w:w="880" w:type="dxa"/>
                  <w:tcBorders>
                    <w:left w:val="single" w:color="auto" w:sz="4" w:space="0"/>
                    <w:bottom w:val="single" w:color="auto" w:sz="4" w:space="0"/>
                    <w:right w:val="single" w:color="auto" w:sz="4" w:space="0"/>
                  </w:tcBorders>
                  <w:vAlign w:val="center"/>
                </w:tcPr>
                <w:p w14:paraId="137D4DAA">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二级</w:t>
                  </w:r>
                </w:p>
              </w:tc>
              <w:tc>
                <w:tcPr>
                  <w:tcW w:w="1785" w:type="dxa"/>
                  <w:vMerge w:val="continue"/>
                  <w:tcBorders>
                    <w:left w:val="single" w:color="auto" w:sz="4" w:space="0"/>
                    <w:bottom w:val="single" w:color="auto" w:sz="4" w:space="0"/>
                    <w:right w:val="single" w:color="auto" w:sz="4" w:space="0"/>
                  </w:tcBorders>
                  <w:vAlign w:val="center"/>
                </w:tcPr>
                <w:p w14:paraId="49193AB0">
                  <w:pPr>
                    <w:kinsoku/>
                    <w:overflowPunct w:val="0"/>
                    <w:autoSpaceDE/>
                    <w:autoSpaceDN/>
                    <w:adjustRightInd/>
                    <w:snapToGrid/>
                    <w:jc w:val="center"/>
                    <w:rPr>
                      <w:rFonts w:ascii="Times New Roman" w:hAnsi="Times New Roman" w:eastAsia="宋体" w:cs="Times New Roman"/>
                      <w:color w:val="auto"/>
                    </w:rPr>
                  </w:pPr>
                </w:p>
              </w:tc>
              <w:tc>
                <w:tcPr>
                  <w:tcW w:w="1360" w:type="dxa"/>
                  <w:vMerge w:val="continue"/>
                  <w:tcBorders>
                    <w:left w:val="single" w:color="auto" w:sz="4" w:space="0"/>
                    <w:bottom w:val="single" w:color="auto" w:sz="4" w:space="0"/>
                    <w:right w:val="single" w:color="auto" w:sz="4" w:space="0"/>
                  </w:tcBorders>
                  <w:vAlign w:val="center"/>
                </w:tcPr>
                <w:p w14:paraId="67ED5A29">
                  <w:pPr>
                    <w:kinsoku/>
                    <w:overflowPunct w:val="0"/>
                    <w:autoSpaceDE/>
                    <w:autoSpaceDN/>
                    <w:adjustRightInd/>
                    <w:snapToGrid/>
                    <w:jc w:val="center"/>
                    <w:rPr>
                      <w:rFonts w:ascii="Times New Roman" w:hAnsi="Times New Roman" w:eastAsia="宋体" w:cs="Times New Roman"/>
                      <w:color w:val="auto"/>
                    </w:rPr>
                  </w:pPr>
                </w:p>
              </w:tc>
            </w:tr>
            <w:tr w14:paraId="65CA1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restart"/>
                  <w:tcBorders>
                    <w:top w:val="single" w:color="auto" w:sz="4" w:space="0"/>
                    <w:left w:val="single" w:color="auto" w:sz="4" w:space="0"/>
                    <w:right w:val="single" w:color="auto" w:sz="4" w:space="0"/>
                  </w:tcBorders>
                  <w:vAlign w:val="center"/>
                </w:tcPr>
                <w:p w14:paraId="415F62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颗粒物</w:t>
                  </w:r>
                </w:p>
              </w:tc>
              <w:tc>
                <w:tcPr>
                  <w:tcW w:w="1661" w:type="dxa"/>
                  <w:vMerge w:val="restart"/>
                  <w:tcBorders>
                    <w:top w:val="single" w:color="auto" w:sz="4" w:space="0"/>
                    <w:left w:val="single" w:color="auto" w:sz="4" w:space="0"/>
                    <w:right w:val="single" w:color="auto" w:sz="4" w:space="0"/>
                  </w:tcBorders>
                  <w:vAlign w:val="center"/>
                </w:tcPr>
                <w:p w14:paraId="0344556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120</w:t>
                  </w:r>
                </w:p>
              </w:tc>
              <w:tc>
                <w:tcPr>
                  <w:tcW w:w="1972" w:type="dxa"/>
                  <w:tcBorders>
                    <w:top w:val="single" w:color="auto" w:sz="4" w:space="0"/>
                    <w:left w:val="single" w:color="auto" w:sz="4" w:space="0"/>
                    <w:bottom w:val="single" w:color="auto" w:sz="4" w:space="0"/>
                    <w:right w:val="single" w:color="auto" w:sz="4" w:space="0"/>
                  </w:tcBorders>
                  <w:vAlign w:val="center"/>
                </w:tcPr>
                <w:p w14:paraId="6F8DC40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15</w:t>
                  </w:r>
                </w:p>
              </w:tc>
              <w:tc>
                <w:tcPr>
                  <w:tcW w:w="880" w:type="dxa"/>
                  <w:tcBorders>
                    <w:top w:val="single" w:color="auto" w:sz="4" w:space="0"/>
                    <w:left w:val="single" w:color="auto" w:sz="4" w:space="0"/>
                    <w:bottom w:val="single" w:color="auto" w:sz="4" w:space="0"/>
                    <w:right w:val="single" w:color="auto" w:sz="4" w:space="0"/>
                  </w:tcBorders>
                  <w:vAlign w:val="center"/>
                </w:tcPr>
                <w:p w14:paraId="2CA56E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3.5</w:t>
                  </w:r>
                </w:p>
              </w:tc>
              <w:tc>
                <w:tcPr>
                  <w:tcW w:w="1785" w:type="dxa"/>
                  <w:tcBorders>
                    <w:top w:val="single" w:color="auto" w:sz="4" w:space="0"/>
                    <w:left w:val="single" w:color="auto" w:sz="4" w:space="0"/>
                    <w:bottom w:val="single" w:color="auto" w:sz="4" w:space="0"/>
                    <w:right w:val="single" w:color="auto" w:sz="4" w:space="0"/>
                  </w:tcBorders>
                  <w:vAlign w:val="center"/>
                </w:tcPr>
                <w:p w14:paraId="61845369">
                  <w:pPr>
                    <w:spacing w:line="276" w:lineRule="auto"/>
                    <w:jc w:val="center"/>
                    <w:rPr>
                      <w:rFonts w:ascii="Times New Roman" w:hAnsi="Times New Roman" w:eastAsia="宋体" w:cs="Times New Roman"/>
                      <w:bCs/>
                      <w:color w:val="auto"/>
                    </w:rPr>
                  </w:pPr>
                  <w:r>
                    <w:rPr>
                      <w:rFonts w:hint="eastAsia" w:ascii="Times New Roman" w:hAnsi="Times New Roman" w:eastAsia="宋体" w:cs="Times New Roman"/>
                      <w:color w:val="auto"/>
                      <w:lang w:eastAsia="zh-CN"/>
                    </w:rPr>
                    <w:t>1.75</w:t>
                  </w:r>
                </w:p>
              </w:tc>
              <w:tc>
                <w:tcPr>
                  <w:tcW w:w="1360" w:type="dxa"/>
                  <w:vMerge w:val="restart"/>
                  <w:tcBorders>
                    <w:top w:val="single" w:color="auto" w:sz="4" w:space="0"/>
                    <w:left w:val="single" w:color="auto" w:sz="4" w:space="0"/>
                    <w:right w:val="single" w:color="auto" w:sz="4" w:space="0"/>
                  </w:tcBorders>
                  <w:vAlign w:val="center"/>
                </w:tcPr>
                <w:p w14:paraId="2C80D72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lang w:eastAsia="zh-CN"/>
                    </w:rPr>
                    <w:t>《大气污染物综合排放标准》（GB16297-1996）</w:t>
                  </w:r>
                </w:p>
              </w:tc>
            </w:tr>
            <w:tr w14:paraId="1510A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vMerge w:val="continue"/>
                  <w:tcBorders>
                    <w:left w:val="single" w:color="auto" w:sz="4" w:space="0"/>
                    <w:bottom w:val="single" w:color="auto" w:sz="4" w:space="0"/>
                    <w:right w:val="single" w:color="auto" w:sz="4" w:space="0"/>
                  </w:tcBorders>
                  <w:vAlign w:val="center"/>
                </w:tcPr>
                <w:p w14:paraId="01280351">
                  <w:pPr>
                    <w:kinsoku/>
                    <w:overflowPunct w:val="0"/>
                    <w:autoSpaceDE/>
                    <w:autoSpaceDN/>
                    <w:adjustRightInd/>
                    <w:snapToGrid/>
                    <w:jc w:val="center"/>
                    <w:rPr>
                      <w:rFonts w:ascii="Times New Roman" w:hAnsi="Times New Roman" w:eastAsia="宋体" w:cs="Times New Roman"/>
                      <w:color w:val="auto"/>
                    </w:rPr>
                  </w:pPr>
                </w:p>
              </w:tc>
              <w:tc>
                <w:tcPr>
                  <w:tcW w:w="1661" w:type="dxa"/>
                  <w:vMerge w:val="continue"/>
                  <w:tcBorders>
                    <w:left w:val="single" w:color="auto" w:sz="4" w:space="0"/>
                    <w:bottom w:val="single" w:color="auto" w:sz="4" w:space="0"/>
                    <w:right w:val="single" w:color="auto" w:sz="4" w:space="0"/>
                  </w:tcBorders>
                  <w:vAlign w:val="center"/>
                </w:tcPr>
                <w:p w14:paraId="360EA036">
                  <w:pPr>
                    <w:kinsoku/>
                    <w:overflowPunct w:val="0"/>
                    <w:autoSpaceDE/>
                    <w:autoSpaceDN/>
                    <w:adjustRightInd/>
                    <w:snapToGrid/>
                    <w:jc w:val="center"/>
                    <w:rPr>
                      <w:rFonts w:ascii="Times New Roman" w:hAnsi="Times New Roman" w:eastAsia="宋体" w:cs="Times New Roman"/>
                      <w:color w:val="auto"/>
                    </w:rPr>
                  </w:pPr>
                </w:p>
              </w:tc>
              <w:tc>
                <w:tcPr>
                  <w:tcW w:w="1972" w:type="dxa"/>
                  <w:tcBorders>
                    <w:top w:val="single" w:color="auto" w:sz="4" w:space="0"/>
                    <w:left w:val="single" w:color="auto" w:sz="4" w:space="0"/>
                    <w:bottom w:val="single" w:color="auto" w:sz="4" w:space="0"/>
                    <w:right w:val="single" w:color="auto" w:sz="4" w:space="0"/>
                  </w:tcBorders>
                  <w:vAlign w:val="center"/>
                </w:tcPr>
                <w:p w14:paraId="7D751E4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18</w:t>
                  </w:r>
                </w:p>
              </w:tc>
              <w:tc>
                <w:tcPr>
                  <w:tcW w:w="880" w:type="dxa"/>
                  <w:tcBorders>
                    <w:top w:val="single" w:color="auto" w:sz="4" w:space="0"/>
                    <w:left w:val="single" w:color="auto" w:sz="4" w:space="0"/>
                    <w:bottom w:val="single" w:color="auto" w:sz="4" w:space="0"/>
                    <w:right w:val="single" w:color="auto" w:sz="4" w:space="0"/>
                  </w:tcBorders>
                  <w:vAlign w:val="center"/>
                </w:tcPr>
                <w:p w14:paraId="3C4FC18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4.94</w:t>
                  </w:r>
                </w:p>
              </w:tc>
              <w:tc>
                <w:tcPr>
                  <w:tcW w:w="1785" w:type="dxa"/>
                  <w:tcBorders>
                    <w:top w:val="single" w:color="auto" w:sz="4" w:space="0"/>
                    <w:left w:val="single" w:color="auto" w:sz="4" w:space="0"/>
                    <w:bottom w:val="single" w:color="auto" w:sz="4" w:space="0"/>
                    <w:right w:val="single" w:color="auto" w:sz="4" w:space="0"/>
                  </w:tcBorders>
                  <w:vAlign w:val="center"/>
                </w:tcPr>
                <w:p w14:paraId="1BAF9D16">
                  <w:pPr>
                    <w:spacing w:line="276" w:lineRule="auto"/>
                    <w:jc w:val="center"/>
                    <w:rPr>
                      <w:rFonts w:hint="default" w:ascii="Times New Roman" w:hAnsi="Times New Roman" w:eastAsia="宋体" w:cs="Times New Roman"/>
                      <w:color w:val="auto"/>
                      <w:lang w:val="en-US" w:eastAsia="zh-CN"/>
                    </w:rPr>
                  </w:pPr>
                  <w:r>
                    <w:rPr>
                      <w:rFonts w:hint="eastAsia" w:cs="Times New Roman"/>
                      <w:color w:val="auto"/>
                      <w:lang w:val="en-US" w:eastAsia="zh-CN"/>
                    </w:rPr>
                    <w:t>2.47</w:t>
                  </w:r>
                </w:p>
              </w:tc>
              <w:tc>
                <w:tcPr>
                  <w:tcW w:w="1360" w:type="dxa"/>
                  <w:vMerge w:val="continue"/>
                  <w:tcBorders>
                    <w:left w:val="single" w:color="auto" w:sz="4" w:space="0"/>
                    <w:bottom w:val="single" w:color="auto" w:sz="4" w:space="0"/>
                    <w:right w:val="single" w:color="auto" w:sz="4" w:space="0"/>
                  </w:tcBorders>
                  <w:vAlign w:val="center"/>
                </w:tcPr>
                <w:p w14:paraId="3916C5AC">
                  <w:pPr>
                    <w:kinsoku/>
                    <w:overflowPunct w:val="0"/>
                    <w:autoSpaceDE/>
                    <w:autoSpaceDN/>
                    <w:adjustRightInd/>
                    <w:snapToGrid/>
                    <w:jc w:val="center"/>
                    <w:rPr>
                      <w:rFonts w:ascii="Times New Roman" w:hAnsi="Times New Roman" w:eastAsia="宋体" w:cs="Times New Roman"/>
                      <w:bCs/>
                      <w:color w:val="auto"/>
                      <w:lang w:eastAsia="zh-CN"/>
                    </w:rPr>
                  </w:pPr>
                </w:p>
              </w:tc>
            </w:tr>
            <w:tr w14:paraId="083D9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90" w:type="dxa"/>
                  <w:gridSpan w:val="6"/>
                  <w:tcBorders>
                    <w:top w:val="single" w:color="auto" w:sz="4" w:space="0"/>
                    <w:left w:val="single" w:color="auto" w:sz="4" w:space="0"/>
                    <w:right w:val="single" w:color="auto" w:sz="4" w:space="0"/>
                  </w:tcBorders>
                  <w:vAlign w:val="center"/>
                </w:tcPr>
                <w:p w14:paraId="14715694">
                  <w:pPr>
                    <w:kinsoku/>
                    <w:overflowPunct w:val="0"/>
                    <w:autoSpaceDE/>
                    <w:autoSpaceDN/>
                    <w:adjustRightInd/>
                    <w:snapToGrid/>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A.若某排气筒的高度处于本标准列出的两个值之间，其执行的最高允许排放速率以内插法计算。</w:t>
                  </w:r>
                </w:p>
                <w:p w14:paraId="5B132349">
                  <w:pPr>
                    <w:kinsoku/>
                    <w:overflowPunct w:val="0"/>
                    <w:autoSpaceDE/>
                    <w:autoSpaceDN/>
                    <w:adjustRightInd/>
                    <w:snapToGrid/>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B.排气筒高度应高出周围200m半径范围内的建筑5m以上，不能达到该要求的排气筒，其排放速率标准值应严格50%执行。</w:t>
                  </w:r>
                </w:p>
              </w:tc>
            </w:tr>
          </w:tbl>
          <w:p w14:paraId="3E0530A6">
            <w:pPr>
              <w:pStyle w:val="30"/>
              <w:kinsoku/>
              <w:overflowPunct w:val="0"/>
              <w:autoSpaceDE/>
              <w:autoSpaceDN/>
              <w:adjustRightInd/>
              <w:snapToGrid/>
              <w:spacing w:line="360" w:lineRule="auto"/>
              <w:ind w:firstLine="482" w:firstLineChars="200"/>
              <w:rPr>
                <w:rFonts w:ascii="Times New Roman" w:hAnsi="Times New Roman" w:eastAsia="宋体" w:cs="Times New Roman"/>
                <w:b/>
                <w:color w:val="auto"/>
                <w:sz w:val="24"/>
                <w:szCs w:val="24"/>
                <w:lang w:eastAsia="zh-CN"/>
              </w:rPr>
            </w:pPr>
            <w:r>
              <w:rPr>
                <w:rFonts w:hint="eastAsia" w:ascii="Times New Roman" w:hAnsi="Times New Roman" w:eastAsia="宋体" w:cs="Times New Roman"/>
                <w:b/>
                <w:color w:val="auto"/>
                <w:sz w:val="24"/>
                <w:lang w:eastAsia="zh-CN"/>
              </w:rPr>
              <w:t>②</w:t>
            </w:r>
            <w:r>
              <w:rPr>
                <w:rFonts w:ascii="Times New Roman" w:hAnsi="Times New Roman" w:eastAsia="宋体" w:cs="Times New Roman"/>
                <w:b/>
                <w:color w:val="auto"/>
                <w:sz w:val="24"/>
                <w:szCs w:val="24"/>
                <w:lang w:eastAsia="zh-CN"/>
              </w:rPr>
              <w:t>厨房油烟</w:t>
            </w:r>
          </w:p>
          <w:p w14:paraId="682832C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项目厨房设置有1个标准灶台，运营期</w:t>
            </w:r>
            <w:r>
              <w:rPr>
                <w:rFonts w:hint="eastAsia" w:ascii="Times New Roman" w:hAnsi="Times New Roman" w:eastAsia="宋体" w:cs="Times New Roman"/>
                <w:color w:val="auto"/>
                <w:sz w:val="24"/>
                <w:szCs w:val="24"/>
                <w:lang w:eastAsia="zh-CN"/>
              </w:rPr>
              <w:t>厨房油烟</w:t>
            </w:r>
            <w:r>
              <w:rPr>
                <w:rFonts w:ascii="Times New Roman" w:hAnsi="Times New Roman" w:eastAsia="宋体" w:cs="Times New Roman"/>
                <w:color w:val="auto"/>
                <w:sz w:val="24"/>
                <w:szCs w:val="24"/>
                <w:lang w:eastAsia="zh-CN"/>
              </w:rPr>
              <w:t>执行</w:t>
            </w:r>
            <w:r>
              <w:rPr>
                <w:rFonts w:hint="eastAsia" w:ascii="Times New Roman" w:hAnsi="Times New Roman" w:eastAsia="宋体" w:cs="Times New Roman"/>
                <w:color w:val="auto"/>
                <w:sz w:val="24"/>
                <w:szCs w:val="24"/>
                <w:lang w:eastAsia="zh-CN"/>
              </w:rPr>
              <w:t>《饮食业油烟排放标准（试行）》</w:t>
            </w:r>
            <w:r>
              <w:rPr>
                <w:rFonts w:ascii="Times New Roman" w:hAnsi="Times New Roman" w:eastAsia="宋体" w:cs="Times New Roman"/>
                <w:color w:val="auto"/>
                <w:sz w:val="24"/>
                <w:szCs w:val="24"/>
                <w:lang w:eastAsia="zh-CN"/>
              </w:rPr>
              <w:t>（GB18483-2001）标准中的小型标准，其最高允许排放浓度和油烟净化设施最低去除效率如下。</w:t>
            </w:r>
          </w:p>
          <w:p w14:paraId="6930303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表3-18 饮食业油烟排放标准</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35"/>
              <w:gridCol w:w="2955"/>
            </w:tblGrid>
            <w:tr w14:paraId="1B745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5177" w:type="dxa"/>
                </w:tcPr>
                <w:p w14:paraId="78B7865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规模</w:t>
                  </w:r>
                </w:p>
              </w:tc>
              <w:tc>
                <w:tcPr>
                  <w:tcW w:w="2814" w:type="dxa"/>
                </w:tcPr>
                <w:p w14:paraId="33A9FDA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小型</w:t>
                  </w:r>
                </w:p>
              </w:tc>
            </w:tr>
            <w:tr w14:paraId="05140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jc w:val="center"/>
              </w:trPr>
              <w:tc>
                <w:tcPr>
                  <w:tcW w:w="5177" w:type="dxa"/>
                </w:tcPr>
                <w:p w14:paraId="5997135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基准灶头数</w:t>
                  </w:r>
                </w:p>
              </w:tc>
              <w:tc>
                <w:tcPr>
                  <w:tcW w:w="2814" w:type="dxa"/>
                </w:tcPr>
                <w:p w14:paraId="13CEF18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3</w:t>
                  </w:r>
                </w:p>
              </w:tc>
            </w:tr>
            <w:tr w14:paraId="453B6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5177" w:type="dxa"/>
                </w:tcPr>
                <w:p w14:paraId="6D158FD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对应灶头总功率10</w:t>
                  </w:r>
                  <w:r>
                    <w:rPr>
                      <w:rFonts w:hint="eastAsia" w:ascii="Times New Roman" w:hAnsi="Times New Roman" w:eastAsia="宋体" w:cs="Times New Roman"/>
                      <w:color w:val="auto"/>
                      <w:sz w:val="21"/>
                      <w:szCs w:val="21"/>
                      <w:vertAlign w:val="superscript"/>
                      <w:lang w:eastAsia="zh-CN"/>
                    </w:rPr>
                    <w:t>8</w:t>
                  </w:r>
                  <w:r>
                    <w:rPr>
                      <w:rFonts w:ascii="Times New Roman" w:hAnsi="Times New Roman" w:eastAsia="宋体" w:cs="Times New Roman"/>
                      <w:color w:val="auto"/>
                      <w:sz w:val="21"/>
                      <w:szCs w:val="21"/>
                    </w:rPr>
                    <w:t>J/h</w:t>
                  </w:r>
                </w:p>
              </w:tc>
              <w:tc>
                <w:tcPr>
                  <w:tcW w:w="2814" w:type="dxa"/>
                </w:tcPr>
                <w:p w14:paraId="6F3AFE5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1.67</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5.00</w:t>
                  </w:r>
                </w:p>
              </w:tc>
            </w:tr>
            <w:tr w14:paraId="124C0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jc w:val="center"/>
              </w:trPr>
              <w:tc>
                <w:tcPr>
                  <w:tcW w:w="5177" w:type="dxa"/>
                </w:tcPr>
                <w:p w14:paraId="141F0DE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对应排气罩灶面总投影面积</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m</w:t>
                  </w:r>
                  <w:r>
                    <w:rPr>
                      <w:rFonts w:hint="eastAsia" w:ascii="Times New Roman" w:hAnsi="Times New Roman" w:eastAsia="宋体" w:cs="Times New Roman"/>
                      <w:color w:val="auto"/>
                      <w:sz w:val="21"/>
                      <w:szCs w:val="21"/>
                      <w:vertAlign w:val="superscript"/>
                      <w:lang w:eastAsia="zh-CN"/>
                    </w:rPr>
                    <w:t>2</w:t>
                  </w:r>
                  <w:r>
                    <w:rPr>
                      <w:rFonts w:hint="eastAsia" w:ascii="Times New Roman" w:hAnsi="Times New Roman" w:eastAsia="宋体" w:cs="Times New Roman"/>
                      <w:color w:val="auto"/>
                      <w:sz w:val="21"/>
                      <w:szCs w:val="21"/>
                      <w:lang w:eastAsia="zh-CN"/>
                    </w:rPr>
                    <w:t>）</w:t>
                  </w:r>
                </w:p>
              </w:tc>
              <w:tc>
                <w:tcPr>
                  <w:tcW w:w="2814" w:type="dxa"/>
                </w:tcPr>
                <w:p w14:paraId="0666014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w:t>
                  </w:r>
                  <w:r>
                    <w:rPr>
                      <w:rFonts w:hint="eastAsia" w:ascii="Times New Roman" w:hAnsi="Times New Roman" w:eastAsia="宋体" w:cs="Times New Roman"/>
                      <w:color w:val="auto"/>
                      <w:sz w:val="21"/>
                      <w:szCs w:val="21"/>
                      <w:lang w:eastAsia="zh-CN"/>
                    </w:rPr>
                    <w:t>,&lt;</w:t>
                  </w:r>
                  <w:r>
                    <w:rPr>
                      <w:rFonts w:ascii="Times New Roman" w:hAnsi="Times New Roman" w:eastAsia="宋体" w:cs="Times New Roman"/>
                      <w:color w:val="auto"/>
                      <w:sz w:val="21"/>
                      <w:szCs w:val="21"/>
                    </w:rPr>
                    <w:t>3.3</w:t>
                  </w:r>
                </w:p>
              </w:tc>
            </w:tr>
            <w:tr w14:paraId="47547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 w:hRule="atLeast"/>
                <w:jc w:val="center"/>
              </w:trPr>
              <w:tc>
                <w:tcPr>
                  <w:tcW w:w="5177" w:type="dxa"/>
                </w:tcPr>
                <w:p w14:paraId="0A7E34E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最高允许排放浓度</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mg/m</w:t>
                  </w:r>
                  <w:r>
                    <w:rPr>
                      <w:rFonts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w:t>
                  </w:r>
                </w:p>
              </w:tc>
              <w:tc>
                <w:tcPr>
                  <w:tcW w:w="2814" w:type="dxa"/>
                </w:tcPr>
                <w:p w14:paraId="26C0A3B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2.0</w:t>
                  </w:r>
                </w:p>
              </w:tc>
            </w:tr>
            <w:tr w14:paraId="0CB1E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 w:hRule="atLeast"/>
                <w:jc w:val="center"/>
              </w:trPr>
              <w:tc>
                <w:tcPr>
                  <w:tcW w:w="5177" w:type="dxa"/>
                </w:tcPr>
                <w:p w14:paraId="0E65E93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净化设施最低去除率</w:t>
                  </w:r>
                  <w:r>
                    <w:rPr>
                      <w:rFonts w:hint="eastAsia" w:ascii="Times New Roman" w:hAnsi="Times New Roman" w:eastAsia="宋体" w:cs="Times New Roman"/>
                      <w:color w:val="auto"/>
                      <w:sz w:val="21"/>
                      <w:szCs w:val="21"/>
                      <w:lang w:eastAsia="zh-CN"/>
                    </w:rPr>
                    <w:t>（</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w:t>
                  </w:r>
                </w:p>
              </w:tc>
              <w:tc>
                <w:tcPr>
                  <w:tcW w:w="2814" w:type="dxa"/>
                </w:tcPr>
                <w:p w14:paraId="76B1590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60</w:t>
                  </w:r>
                </w:p>
              </w:tc>
            </w:tr>
            <w:tr w14:paraId="10C71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jc w:val="center"/>
              </w:trPr>
              <w:tc>
                <w:tcPr>
                  <w:tcW w:w="7991" w:type="dxa"/>
                  <w:gridSpan w:val="2"/>
                </w:tcPr>
                <w:p w14:paraId="202A45DE">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依据：《饮食业油烟排放标准（试行）》（GB18483-2001）小型标准</w:t>
                  </w:r>
                </w:p>
              </w:tc>
            </w:tr>
          </w:tbl>
          <w:p w14:paraId="4017726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废水</w:t>
            </w:r>
          </w:p>
          <w:p w14:paraId="5E8C378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443BF22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项目施工期施工废水及施工人员产生的少量生活污水经收集沉淀处理后回用于施工场地的降尘洒水，不外排，不</w:t>
            </w:r>
            <w:r>
              <w:rPr>
                <w:rFonts w:hint="eastAsia" w:ascii="Times New Roman" w:hAnsi="Times New Roman" w:eastAsia="宋体" w:cs="Times New Roman"/>
                <w:color w:val="auto"/>
                <w:sz w:val="24"/>
                <w:szCs w:val="24"/>
                <w:lang w:eastAsia="zh-CN"/>
              </w:rPr>
              <w:t>设定</w:t>
            </w:r>
            <w:r>
              <w:rPr>
                <w:rFonts w:ascii="Times New Roman" w:hAnsi="Times New Roman" w:eastAsia="宋体" w:cs="Times New Roman"/>
                <w:color w:val="auto"/>
                <w:sz w:val="24"/>
                <w:szCs w:val="24"/>
                <w:lang w:eastAsia="zh-CN"/>
              </w:rPr>
              <w:t>废水排水标准。</w:t>
            </w:r>
          </w:p>
          <w:p w14:paraId="4AC61C3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2D350D20">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项目生产过程不产生废水，食堂废水经隔油池处理后与其他生活污水经过</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进入一体化污水处理设施，处理后回用于厂内绿化及降尘</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回用水执行</w:t>
            </w:r>
            <w:r>
              <w:rPr>
                <w:rFonts w:ascii="Times New Roman" w:hAnsi="Times New Roman" w:eastAsia="宋体" w:cs="Times New Roman"/>
                <w:color w:val="auto"/>
                <w:sz w:val="24"/>
                <w:lang w:eastAsia="zh-CN"/>
              </w:rPr>
              <w:t>《城市污水再生利用 城市杂用水水质》（GB/T18920-2020）中城市绿化、道路清扫、消防、建筑施工的标准要求，具体标准限值见</w:t>
            </w:r>
            <w:r>
              <w:rPr>
                <w:rFonts w:hint="eastAsia" w:ascii="Times New Roman" w:hAnsi="Times New Roman" w:eastAsia="宋体" w:cs="Times New Roman"/>
                <w:color w:val="auto"/>
                <w:sz w:val="24"/>
                <w:lang w:eastAsia="zh-CN"/>
              </w:rPr>
              <w:t>下</w:t>
            </w:r>
            <w:r>
              <w:rPr>
                <w:rFonts w:ascii="Times New Roman" w:hAnsi="Times New Roman" w:eastAsia="宋体" w:cs="Times New Roman"/>
                <w:color w:val="auto"/>
                <w:sz w:val="24"/>
                <w:lang w:eastAsia="zh-CN"/>
              </w:rPr>
              <w:t>表。</w:t>
            </w:r>
          </w:p>
          <w:p w14:paraId="67453F5E">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1</w:t>
            </w:r>
            <w:r>
              <w:rPr>
                <w:rFonts w:hint="eastAsia" w:ascii="Times New Roman" w:hAnsi="Times New Roman" w:eastAsia="宋体" w:cs="Times New Roman"/>
                <w:b/>
                <w:bCs/>
                <w:color w:val="auto"/>
                <w:sz w:val="24"/>
                <w:szCs w:val="24"/>
                <w:lang w:eastAsia="zh-CN"/>
              </w:rPr>
              <w:t>9 城市污水再生利用 城市杂用水水质</w:t>
            </w:r>
            <w:r>
              <w:rPr>
                <w:rFonts w:ascii="Times New Roman" w:hAnsi="Times New Roman" w:eastAsia="宋体" w:cs="Times New Roman"/>
                <w:b/>
                <w:bCs/>
                <w:color w:val="auto"/>
                <w:sz w:val="24"/>
                <w:szCs w:val="24"/>
                <w:lang w:eastAsia="zh-CN"/>
              </w:rPr>
              <w:t xml:space="preserve">  单位：mg/L</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07"/>
              <w:gridCol w:w="3752"/>
              <w:gridCol w:w="3631"/>
            </w:tblGrid>
            <w:tr w14:paraId="4C9B2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669CE29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spacing w:val="1"/>
                    </w:rPr>
                    <w:t>序号</w:t>
                  </w:r>
                </w:p>
              </w:tc>
              <w:tc>
                <w:tcPr>
                  <w:tcW w:w="2235" w:type="pct"/>
                  <w:tcMar>
                    <w:top w:w="0" w:type="dxa"/>
                    <w:left w:w="108" w:type="dxa"/>
                    <w:bottom w:w="0" w:type="dxa"/>
                    <w:right w:w="108" w:type="dxa"/>
                  </w:tcMar>
                  <w:vAlign w:val="center"/>
                </w:tcPr>
                <w:p w14:paraId="2BACEAA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spacing w:val="1"/>
                    </w:rPr>
                    <w:t>项目</w:t>
                  </w:r>
                </w:p>
              </w:tc>
              <w:tc>
                <w:tcPr>
                  <w:tcW w:w="2163" w:type="pct"/>
                  <w:tcMar>
                    <w:top w:w="0" w:type="dxa"/>
                    <w:left w:w="108" w:type="dxa"/>
                    <w:bottom w:w="0" w:type="dxa"/>
                    <w:right w:w="108" w:type="dxa"/>
                  </w:tcMar>
                  <w:vAlign w:val="center"/>
                </w:tcPr>
                <w:p w14:paraId="23B407C7">
                  <w:pPr>
                    <w:kinsoku/>
                    <w:overflowPunct w:val="0"/>
                    <w:autoSpaceDE/>
                    <w:autoSpaceDN/>
                    <w:adjustRightInd/>
                    <w:snapToGrid/>
                    <w:jc w:val="center"/>
                    <w:rPr>
                      <w:rFonts w:ascii="Times New Roman" w:hAnsi="Times New Roman" w:eastAsia="宋体" w:cs="Times New Roman"/>
                      <w:b/>
                      <w:bCs/>
                      <w:color w:val="auto"/>
                      <w:spacing w:val="1"/>
                      <w:lang w:eastAsia="zh-CN"/>
                    </w:rPr>
                  </w:pPr>
                  <w:r>
                    <w:rPr>
                      <w:rFonts w:ascii="Times New Roman" w:hAnsi="Times New Roman" w:eastAsia="宋体" w:cs="Times New Roman"/>
                      <w:b/>
                      <w:bCs/>
                      <w:color w:val="auto"/>
                      <w:spacing w:val="1"/>
                      <w:lang w:eastAsia="zh-CN"/>
                    </w:rPr>
                    <w:t>限值（城市绿化、道路清扫）</w:t>
                  </w:r>
                </w:p>
              </w:tc>
            </w:tr>
            <w:tr w14:paraId="2A2BC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80F56F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w:t>
                  </w:r>
                </w:p>
              </w:tc>
              <w:tc>
                <w:tcPr>
                  <w:tcW w:w="2235" w:type="pct"/>
                  <w:tcMar>
                    <w:top w:w="0" w:type="dxa"/>
                    <w:left w:w="108" w:type="dxa"/>
                    <w:bottom w:w="0" w:type="dxa"/>
                    <w:right w:w="108" w:type="dxa"/>
                  </w:tcMar>
                  <w:vAlign w:val="center"/>
                </w:tcPr>
                <w:p w14:paraId="7F8971C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pH</w:t>
                  </w:r>
                </w:p>
              </w:tc>
              <w:tc>
                <w:tcPr>
                  <w:tcW w:w="2163" w:type="pct"/>
                  <w:tcMar>
                    <w:top w:w="0" w:type="dxa"/>
                    <w:left w:w="108" w:type="dxa"/>
                    <w:bottom w:w="0" w:type="dxa"/>
                    <w:right w:w="108" w:type="dxa"/>
                  </w:tcMar>
                  <w:vAlign w:val="center"/>
                </w:tcPr>
                <w:p w14:paraId="56DE533A">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6～9</w:t>
                  </w:r>
                </w:p>
              </w:tc>
            </w:tr>
            <w:tr w14:paraId="37FE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6DB05723">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2</w:t>
                  </w:r>
                </w:p>
              </w:tc>
              <w:tc>
                <w:tcPr>
                  <w:tcW w:w="2235" w:type="pct"/>
                  <w:tcMar>
                    <w:top w:w="0" w:type="dxa"/>
                    <w:left w:w="108" w:type="dxa"/>
                    <w:bottom w:w="0" w:type="dxa"/>
                    <w:right w:w="108" w:type="dxa"/>
                  </w:tcMar>
                  <w:vAlign w:val="center"/>
                </w:tcPr>
                <w:p w14:paraId="210BBF65">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嗅</w:t>
                  </w:r>
                </w:p>
              </w:tc>
              <w:tc>
                <w:tcPr>
                  <w:tcW w:w="2163" w:type="pct"/>
                  <w:tcMar>
                    <w:top w:w="0" w:type="dxa"/>
                    <w:left w:w="108" w:type="dxa"/>
                    <w:bottom w:w="0" w:type="dxa"/>
                    <w:right w:w="108" w:type="dxa"/>
                  </w:tcMar>
                  <w:vAlign w:val="center"/>
                </w:tcPr>
                <w:p w14:paraId="5ABA4BE6">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无不快感</w:t>
                  </w:r>
                </w:p>
              </w:tc>
            </w:tr>
            <w:tr w14:paraId="17D5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3D18974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3</w:t>
                  </w:r>
                </w:p>
              </w:tc>
              <w:tc>
                <w:tcPr>
                  <w:tcW w:w="2235" w:type="pct"/>
                  <w:tcMar>
                    <w:top w:w="0" w:type="dxa"/>
                    <w:left w:w="108" w:type="dxa"/>
                    <w:bottom w:w="0" w:type="dxa"/>
                    <w:right w:w="108" w:type="dxa"/>
                  </w:tcMar>
                  <w:vAlign w:val="center"/>
                </w:tcPr>
                <w:p w14:paraId="7371442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五日生化需氧量</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BOD</w:t>
                  </w:r>
                  <w:r>
                    <w:rPr>
                      <w:rFonts w:ascii="Times New Roman" w:hAnsi="Times New Roman" w:eastAsia="宋体" w:cs="Times New Roman"/>
                      <w:color w:val="auto"/>
                      <w:spacing w:val="1"/>
                      <w:vertAlign w:val="subscript"/>
                    </w:rPr>
                    <w:t>5</w:t>
                  </w:r>
                  <w:r>
                    <w:rPr>
                      <w:rFonts w:ascii="Times New Roman" w:hAnsi="Times New Roman" w:eastAsia="宋体" w:cs="Times New Roman"/>
                      <w:color w:val="auto"/>
                      <w:spacing w:val="1"/>
                      <w:lang w:eastAsia="zh-CN"/>
                    </w:rPr>
                    <w:t>）</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5B4F9A0D">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≤1</w:t>
                  </w:r>
                  <w:r>
                    <w:rPr>
                      <w:rFonts w:ascii="Times New Roman" w:hAnsi="Times New Roman" w:eastAsia="宋体" w:cs="Times New Roman"/>
                      <w:color w:val="auto"/>
                      <w:spacing w:val="1"/>
                      <w:lang w:eastAsia="zh-CN"/>
                    </w:rPr>
                    <w:t>0</w:t>
                  </w:r>
                </w:p>
              </w:tc>
            </w:tr>
            <w:tr w14:paraId="005D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001313E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4</w:t>
                  </w:r>
                </w:p>
              </w:tc>
              <w:tc>
                <w:tcPr>
                  <w:tcW w:w="2235" w:type="pct"/>
                  <w:tcMar>
                    <w:top w:w="0" w:type="dxa"/>
                    <w:left w:w="108" w:type="dxa"/>
                    <w:bottom w:w="0" w:type="dxa"/>
                    <w:right w:w="108" w:type="dxa"/>
                  </w:tcMar>
                  <w:vAlign w:val="center"/>
                </w:tcPr>
                <w:p w14:paraId="76F06B9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溶解性总固体</w:t>
                  </w:r>
                  <w:r>
                    <w:rPr>
                      <w:rFonts w:ascii="Times New Roman" w:hAnsi="Times New Roman" w:eastAsia="宋体" w:cs="Times New Roman"/>
                      <w:color w:val="auto"/>
                      <w:lang w:eastAsia="zh-CN"/>
                    </w:rPr>
                    <w:t>（mg/L）</w:t>
                  </w:r>
                </w:p>
              </w:tc>
              <w:tc>
                <w:tcPr>
                  <w:tcW w:w="2163" w:type="pct"/>
                  <w:tcMar>
                    <w:top w:w="0" w:type="dxa"/>
                    <w:left w:w="108" w:type="dxa"/>
                    <w:bottom w:w="0" w:type="dxa"/>
                    <w:right w:w="108" w:type="dxa"/>
                  </w:tcMar>
                  <w:vAlign w:val="center"/>
                </w:tcPr>
                <w:p w14:paraId="005CBA2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1000</w:t>
                  </w:r>
                </w:p>
              </w:tc>
            </w:tr>
            <w:tr w14:paraId="0E22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186CA52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5</w:t>
                  </w:r>
                </w:p>
              </w:tc>
              <w:tc>
                <w:tcPr>
                  <w:tcW w:w="2235" w:type="pct"/>
                  <w:tcMar>
                    <w:top w:w="0" w:type="dxa"/>
                    <w:left w:w="108" w:type="dxa"/>
                    <w:bottom w:w="0" w:type="dxa"/>
                    <w:right w:w="108" w:type="dxa"/>
                  </w:tcMar>
                  <w:vAlign w:val="center"/>
                </w:tcPr>
                <w:p w14:paraId="1B076B4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浊度</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NTU</w:t>
                  </w:r>
                  <w:r>
                    <w:rPr>
                      <w:rFonts w:ascii="Times New Roman" w:hAnsi="Times New Roman" w:eastAsia="宋体" w:cs="Times New Roman"/>
                      <w:color w:val="auto"/>
                      <w:spacing w:val="1"/>
                      <w:lang w:eastAsia="zh-CN"/>
                    </w:rPr>
                    <w:t>）</w:t>
                  </w:r>
                </w:p>
              </w:tc>
              <w:tc>
                <w:tcPr>
                  <w:tcW w:w="2163" w:type="pct"/>
                  <w:tcMar>
                    <w:top w:w="0" w:type="dxa"/>
                    <w:left w:w="108" w:type="dxa"/>
                    <w:bottom w:w="0" w:type="dxa"/>
                    <w:right w:w="108" w:type="dxa"/>
                  </w:tcMar>
                  <w:vAlign w:val="center"/>
                </w:tcPr>
                <w:p w14:paraId="06ABF6AB">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≤10</w:t>
                  </w:r>
                </w:p>
              </w:tc>
            </w:tr>
            <w:tr w14:paraId="5EFB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66936EC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6</w:t>
                  </w:r>
                </w:p>
              </w:tc>
              <w:tc>
                <w:tcPr>
                  <w:tcW w:w="2235" w:type="pct"/>
                  <w:tcMar>
                    <w:top w:w="0" w:type="dxa"/>
                    <w:left w:w="108" w:type="dxa"/>
                    <w:bottom w:w="0" w:type="dxa"/>
                    <w:right w:w="108" w:type="dxa"/>
                  </w:tcMar>
                  <w:vAlign w:val="center"/>
                </w:tcPr>
                <w:p w14:paraId="410D421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溶解氧</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34ACA9D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2.0</w:t>
                  </w:r>
                </w:p>
              </w:tc>
            </w:tr>
            <w:tr w14:paraId="0FA61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7F8525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7</w:t>
                  </w:r>
                </w:p>
              </w:tc>
              <w:tc>
                <w:tcPr>
                  <w:tcW w:w="2235" w:type="pct"/>
                  <w:tcMar>
                    <w:top w:w="0" w:type="dxa"/>
                    <w:left w:w="108" w:type="dxa"/>
                    <w:bottom w:w="0" w:type="dxa"/>
                    <w:right w:w="108" w:type="dxa"/>
                  </w:tcMar>
                  <w:vAlign w:val="center"/>
                </w:tcPr>
                <w:p w14:paraId="0C7AD36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氨氮</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5F0CF87F">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rPr>
                    <w:t>≤</w:t>
                  </w:r>
                  <w:r>
                    <w:rPr>
                      <w:rFonts w:ascii="Times New Roman" w:hAnsi="Times New Roman" w:eastAsia="宋体" w:cs="Times New Roman"/>
                      <w:color w:val="auto"/>
                      <w:spacing w:val="1"/>
                      <w:lang w:eastAsia="zh-CN"/>
                    </w:rPr>
                    <w:t>8</w:t>
                  </w:r>
                </w:p>
              </w:tc>
            </w:tr>
            <w:tr w14:paraId="07995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71DD6AA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9</w:t>
                  </w:r>
                </w:p>
              </w:tc>
              <w:tc>
                <w:tcPr>
                  <w:tcW w:w="2235" w:type="pct"/>
                  <w:tcMar>
                    <w:top w:w="0" w:type="dxa"/>
                    <w:left w:w="108" w:type="dxa"/>
                    <w:bottom w:w="0" w:type="dxa"/>
                    <w:right w:w="108" w:type="dxa"/>
                  </w:tcMar>
                  <w:vAlign w:val="center"/>
                </w:tcPr>
                <w:p w14:paraId="5651F331">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总余氯</w:t>
                  </w:r>
                  <w:r>
                    <w:rPr>
                      <w:rFonts w:ascii="Times New Roman" w:hAnsi="Times New Roman" w:eastAsia="宋体" w:cs="Times New Roman"/>
                      <w:color w:val="auto"/>
                    </w:rPr>
                    <w:t>（mg/L</w:t>
                  </w:r>
                  <w:r>
                    <w:rPr>
                      <w:rFonts w:ascii="Times New Roman" w:hAnsi="Times New Roman" w:eastAsia="宋体" w:cs="Times New Roman"/>
                      <w:color w:val="auto"/>
                      <w:lang w:eastAsia="zh-CN"/>
                    </w:rPr>
                    <w:t>）</w:t>
                  </w:r>
                </w:p>
              </w:tc>
              <w:tc>
                <w:tcPr>
                  <w:tcW w:w="2163" w:type="pct"/>
                  <w:tcMar>
                    <w:top w:w="0" w:type="dxa"/>
                    <w:left w:w="108" w:type="dxa"/>
                    <w:bottom w:w="0" w:type="dxa"/>
                    <w:right w:w="108" w:type="dxa"/>
                  </w:tcMar>
                  <w:vAlign w:val="center"/>
                </w:tcPr>
                <w:p w14:paraId="20EB8D52">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管网末端≥0.2</w:t>
                  </w:r>
                </w:p>
              </w:tc>
            </w:tr>
            <w:tr w14:paraId="75AB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210D83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10</w:t>
                  </w:r>
                </w:p>
              </w:tc>
              <w:tc>
                <w:tcPr>
                  <w:tcW w:w="2235" w:type="pct"/>
                  <w:tcMar>
                    <w:top w:w="0" w:type="dxa"/>
                    <w:left w:w="108" w:type="dxa"/>
                    <w:bottom w:w="0" w:type="dxa"/>
                    <w:right w:w="108" w:type="dxa"/>
                  </w:tcMar>
                  <w:vAlign w:val="center"/>
                </w:tcPr>
                <w:p w14:paraId="1E792EC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色</w:t>
                  </w:r>
                  <w:r>
                    <w:rPr>
                      <w:rFonts w:ascii="Times New Roman" w:hAnsi="Times New Roman" w:eastAsia="宋体" w:cs="Times New Roman"/>
                      <w:color w:val="auto"/>
                      <w:spacing w:val="1"/>
                      <w:lang w:eastAsia="zh-CN"/>
                    </w:rPr>
                    <w:t>（</w:t>
                  </w:r>
                  <w:r>
                    <w:rPr>
                      <w:rFonts w:ascii="Times New Roman" w:hAnsi="Times New Roman" w:eastAsia="宋体" w:cs="Times New Roman"/>
                      <w:color w:val="auto"/>
                      <w:spacing w:val="1"/>
                    </w:rPr>
                    <w:t>度</w:t>
                  </w:r>
                  <w:r>
                    <w:rPr>
                      <w:rFonts w:ascii="Times New Roman" w:hAnsi="Times New Roman" w:eastAsia="宋体" w:cs="Times New Roman"/>
                      <w:color w:val="auto"/>
                      <w:spacing w:val="1"/>
                      <w:lang w:eastAsia="zh-CN"/>
                    </w:rPr>
                    <w:t>）</w:t>
                  </w:r>
                </w:p>
              </w:tc>
              <w:tc>
                <w:tcPr>
                  <w:tcW w:w="2163" w:type="pct"/>
                  <w:tcMar>
                    <w:top w:w="0" w:type="dxa"/>
                    <w:left w:w="108" w:type="dxa"/>
                    <w:bottom w:w="0" w:type="dxa"/>
                    <w:right w:w="108" w:type="dxa"/>
                  </w:tcMar>
                  <w:vAlign w:val="center"/>
                </w:tcPr>
                <w:p w14:paraId="2A03FA6F">
                  <w:pPr>
                    <w:kinsoku/>
                    <w:overflowPunct w:val="0"/>
                    <w:autoSpaceDE/>
                    <w:autoSpaceDN/>
                    <w:adjustRightInd/>
                    <w:snapToGrid/>
                    <w:jc w:val="center"/>
                    <w:rPr>
                      <w:rFonts w:ascii="Times New Roman" w:hAnsi="Times New Roman" w:eastAsia="宋体" w:cs="Times New Roman"/>
                      <w:color w:val="auto"/>
                      <w:spacing w:val="1"/>
                    </w:rPr>
                  </w:pPr>
                  <w:r>
                    <w:rPr>
                      <w:rFonts w:ascii="Times New Roman" w:hAnsi="Times New Roman" w:eastAsia="宋体" w:cs="Times New Roman"/>
                      <w:color w:val="auto"/>
                      <w:spacing w:val="1"/>
                    </w:rPr>
                    <w:t>≤30</w:t>
                  </w:r>
                </w:p>
              </w:tc>
            </w:tr>
            <w:tr w14:paraId="56047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jc w:val="center"/>
              </w:trPr>
              <w:tc>
                <w:tcPr>
                  <w:tcW w:w="600" w:type="pct"/>
                  <w:tcMar>
                    <w:top w:w="0" w:type="dxa"/>
                    <w:left w:w="108" w:type="dxa"/>
                    <w:bottom w:w="0" w:type="dxa"/>
                    <w:right w:w="108" w:type="dxa"/>
                  </w:tcMar>
                  <w:vAlign w:val="center"/>
                </w:tcPr>
                <w:p w14:paraId="446A3AE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pacing w:val="1"/>
                    </w:rPr>
                    <w:t>11</w:t>
                  </w:r>
                </w:p>
              </w:tc>
              <w:tc>
                <w:tcPr>
                  <w:tcW w:w="2235" w:type="pct"/>
                  <w:tcMar>
                    <w:top w:w="0" w:type="dxa"/>
                    <w:left w:w="108" w:type="dxa"/>
                    <w:bottom w:w="0" w:type="dxa"/>
                    <w:right w:w="108" w:type="dxa"/>
                  </w:tcMar>
                  <w:vAlign w:val="center"/>
                </w:tcPr>
                <w:p w14:paraId="3A621DB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pacing w:val="1"/>
                      <w:lang w:eastAsia="zh-CN"/>
                    </w:rPr>
                    <w:t>阴离子表面活性剂</w:t>
                  </w:r>
                  <w:r>
                    <w:rPr>
                      <w:rFonts w:ascii="Times New Roman" w:hAnsi="Times New Roman" w:eastAsia="宋体" w:cs="Times New Roman"/>
                      <w:color w:val="auto"/>
                      <w:lang w:eastAsia="zh-CN"/>
                    </w:rPr>
                    <w:t>（mg/L）</w:t>
                  </w:r>
                </w:p>
              </w:tc>
              <w:tc>
                <w:tcPr>
                  <w:tcW w:w="2163" w:type="pct"/>
                  <w:tcMar>
                    <w:top w:w="0" w:type="dxa"/>
                    <w:left w:w="108" w:type="dxa"/>
                    <w:bottom w:w="0" w:type="dxa"/>
                    <w:right w:w="108" w:type="dxa"/>
                  </w:tcMar>
                  <w:vAlign w:val="center"/>
                </w:tcPr>
                <w:p w14:paraId="611AA3A2">
                  <w:pPr>
                    <w:kinsoku/>
                    <w:overflowPunct w:val="0"/>
                    <w:autoSpaceDE/>
                    <w:autoSpaceDN/>
                    <w:adjustRightInd/>
                    <w:snapToGrid/>
                    <w:jc w:val="center"/>
                    <w:rPr>
                      <w:rFonts w:ascii="Times New Roman" w:hAnsi="Times New Roman" w:eastAsia="宋体" w:cs="Times New Roman"/>
                      <w:color w:val="auto"/>
                      <w:spacing w:val="1"/>
                      <w:lang w:eastAsia="zh-CN"/>
                    </w:rPr>
                  </w:pPr>
                  <w:r>
                    <w:rPr>
                      <w:rFonts w:ascii="Times New Roman" w:hAnsi="Times New Roman" w:eastAsia="宋体" w:cs="Times New Roman"/>
                      <w:color w:val="auto"/>
                      <w:spacing w:val="1"/>
                      <w:lang w:eastAsia="zh-CN"/>
                    </w:rPr>
                    <w:t>≤0.5</w:t>
                  </w:r>
                </w:p>
              </w:tc>
            </w:tr>
          </w:tbl>
          <w:p w14:paraId="04C3B80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、噪声</w:t>
            </w:r>
          </w:p>
          <w:p w14:paraId="6376B1FD">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w:t>
            </w:r>
            <w:r>
              <w:rPr>
                <w:rFonts w:ascii="Times New Roman" w:hAnsi="Times New Roman" w:eastAsia="宋体" w:cs="Times New Roman"/>
                <w:b/>
                <w:bCs/>
                <w:color w:val="auto"/>
                <w:sz w:val="24"/>
                <w:szCs w:val="24"/>
                <w:lang w:eastAsia="zh-CN"/>
              </w:rPr>
              <w:t>施工期</w:t>
            </w:r>
          </w:p>
          <w:p w14:paraId="5B97168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施工期噪声执行《建筑施工场界环境噪声排放标准》（GB12523-20</w:t>
            </w:r>
            <w:r>
              <w:rPr>
                <w:rFonts w:hint="eastAsia" w:ascii="Times New Roman" w:hAnsi="Times New Roman" w:eastAsia="宋体" w:cs="Times New Roman"/>
                <w:color w:val="auto"/>
                <w:sz w:val="24"/>
                <w:szCs w:val="24"/>
                <w:lang w:eastAsia="zh-CN"/>
              </w:rPr>
              <w:t>25</w:t>
            </w:r>
            <w:r>
              <w:rPr>
                <w:rFonts w:ascii="Times New Roman" w:hAnsi="Times New Roman" w:eastAsia="宋体" w:cs="Times New Roman"/>
                <w:color w:val="auto"/>
                <w:sz w:val="24"/>
                <w:szCs w:val="24"/>
                <w:lang w:eastAsia="zh-CN"/>
              </w:rPr>
              <w:t>）。</w:t>
            </w:r>
          </w:p>
          <w:p w14:paraId="4E47BD77">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表3-20 建筑施工场界环境噪声排放限值</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484"/>
              <w:gridCol w:w="3906"/>
            </w:tblGrid>
            <w:tr w14:paraId="716AAE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7991" w:type="dxa"/>
                  <w:gridSpan w:val="2"/>
                </w:tcPr>
                <w:p w14:paraId="313C4D3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噪声限值</w:t>
                  </w:r>
                </w:p>
              </w:tc>
            </w:tr>
            <w:tr w14:paraId="142D76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271" w:type="dxa"/>
                </w:tcPr>
                <w:p w14:paraId="24C702D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昼间[dB(A)]</w:t>
                  </w:r>
                </w:p>
              </w:tc>
              <w:tc>
                <w:tcPr>
                  <w:tcW w:w="3720" w:type="dxa"/>
                </w:tcPr>
                <w:p w14:paraId="01C5968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夜间[dB(A)]</w:t>
                  </w:r>
                </w:p>
              </w:tc>
            </w:tr>
            <w:tr w14:paraId="6DA27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271" w:type="dxa"/>
                </w:tcPr>
                <w:p w14:paraId="2F36D03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70</w:t>
                  </w:r>
                </w:p>
              </w:tc>
              <w:tc>
                <w:tcPr>
                  <w:tcW w:w="3720" w:type="dxa"/>
                </w:tcPr>
                <w:p w14:paraId="64DF829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55</w:t>
                  </w:r>
                </w:p>
              </w:tc>
            </w:tr>
          </w:tbl>
          <w:p w14:paraId="0D622B7F">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ascii="Times New Roman" w:hAnsi="Times New Roman" w:eastAsia="宋体" w:cs="Times New Roman"/>
                <w:b/>
                <w:bCs/>
                <w:color w:val="auto"/>
                <w:sz w:val="24"/>
                <w:szCs w:val="24"/>
                <w:lang w:eastAsia="zh-CN"/>
              </w:rPr>
              <w:t>运营期</w:t>
            </w:r>
          </w:p>
          <w:p w14:paraId="0A2B62D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项目厂界运营期噪声排放标准执行《工业企业厂界噪声排放标准》（GB12348-2008）2类标准。</w:t>
            </w:r>
          </w:p>
          <w:p w14:paraId="3D7C3C7B">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表3-21 工业企业厂界噪声排放标准限值单位：dB(A)</w:t>
            </w:r>
          </w:p>
          <w:p w14:paraId="62291B1D">
            <w:pPr>
              <w:kinsoku/>
              <w:overflowPunct w:val="0"/>
              <w:autoSpaceDE/>
              <w:autoSpaceDN/>
              <w:adjustRightInd/>
              <w:snapToGrid/>
              <w:spacing w:line="23" w:lineRule="auto"/>
              <w:rPr>
                <w:rFonts w:ascii="Times New Roman" w:hAnsi="Times New Roman" w:eastAsia="宋体" w:cs="Times New Roman"/>
                <w:color w:val="auto"/>
                <w:sz w:val="2"/>
                <w:lang w:eastAsia="zh-CN"/>
              </w:rPr>
            </w:pP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90"/>
              <w:gridCol w:w="2822"/>
              <w:gridCol w:w="2878"/>
            </w:tblGrid>
            <w:tr w14:paraId="2DB0E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Merge w:val="restart"/>
                  <w:tcBorders>
                    <w:bottom w:val="nil"/>
                  </w:tcBorders>
                  <w:vAlign w:val="center"/>
                </w:tcPr>
                <w:p w14:paraId="5E021EF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类别</w:t>
                  </w:r>
                </w:p>
              </w:tc>
              <w:tc>
                <w:tcPr>
                  <w:tcW w:w="5429" w:type="dxa"/>
                  <w:gridSpan w:val="2"/>
                  <w:vAlign w:val="center"/>
                </w:tcPr>
                <w:p w14:paraId="126AFE7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等效声级Leq</w:t>
                  </w:r>
                </w:p>
              </w:tc>
            </w:tr>
            <w:tr w14:paraId="1B0D6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Merge w:val="continue"/>
                  <w:tcBorders>
                    <w:top w:val="nil"/>
                  </w:tcBorders>
                  <w:vAlign w:val="center"/>
                </w:tcPr>
                <w:p w14:paraId="762A0291">
                  <w:pPr>
                    <w:kinsoku/>
                    <w:overflowPunct w:val="0"/>
                    <w:autoSpaceDE/>
                    <w:autoSpaceDN/>
                    <w:adjustRightInd/>
                    <w:snapToGrid/>
                    <w:jc w:val="center"/>
                    <w:rPr>
                      <w:rFonts w:ascii="Times New Roman" w:hAnsi="Times New Roman" w:eastAsia="宋体" w:cs="Times New Roman"/>
                      <w:color w:val="auto"/>
                      <w:lang w:eastAsia="zh-CN"/>
                    </w:rPr>
                  </w:pPr>
                </w:p>
              </w:tc>
              <w:tc>
                <w:tcPr>
                  <w:tcW w:w="2688" w:type="dxa"/>
                  <w:vAlign w:val="center"/>
                </w:tcPr>
                <w:p w14:paraId="44B15CD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昼间</w:t>
                  </w:r>
                </w:p>
              </w:tc>
              <w:tc>
                <w:tcPr>
                  <w:tcW w:w="2741" w:type="dxa"/>
                  <w:vAlign w:val="center"/>
                </w:tcPr>
                <w:p w14:paraId="6342F7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夜间</w:t>
                  </w:r>
                </w:p>
              </w:tc>
            </w:tr>
            <w:tr w14:paraId="50CAD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2562" w:type="dxa"/>
                  <w:vAlign w:val="center"/>
                </w:tcPr>
                <w:p w14:paraId="6C438EB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2类</w:t>
                  </w:r>
                </w:p>
              </w:tc>
              <w:tc>
                <w:tcPr>
                  <w:tcW w:w="2688" w:type="dxa"/>
                  <w:vAlign w:val="center"/>
                </w:tcPr>
                <w:p w14:paraId="76C5D45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60</w:t>
                  </w:r>
                </w:p>
              </w:tc>
              <w:tc>
                <w:tcPr>
                  <w:tcW w:w="2741" w:type="dxa"/>
                  <w:vAlign w:val="center"/>
                </w:tcPr>
                <w:p w14:paraId="1E702F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50</w:t>
                  </w:r>
                </w:p>
              </w:tc>
            </w:tr>
          </w:tbl>
          <w:p w14:paraId="1094BEB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、固废</w:t>
            </w:r>
          </w:p>
          <w:p w14:paraId="3565BC9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危险废物：项目产生的危险废物在场内暂存执行《危险废物贮存污染控制标准》（GB18597-2023）</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一般固体废弃物：项目产生的一般固体废物执行《一般工业固体废物贮存和填埋污染控制标准》（GB18599-2020）。</w:t>
            </w:r>
          </w:p>
        </w:tc>
      </w:tr>
      <w:tr w14:paraId="57A60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482" w:type="dxa"/>
            <w:tcBorders>
              <w:top w:val="single" w:color="auto" w:sz="4" w:space="0"/>
              <w:left w:val="single" w:color="auto" w:sz="4" w:space="0"/>
              <w:bottom w:val="single" w:color="auto" w:sz="4" w:space="0"/>
              <w:right w:val="single" w:color="auto" w:sz="4" w:space="0"/>
            </w:tcBorders>
            <w:vAlign w:val="center"/>
          </w:tcPr>
          <w:p w14:paraId="5EEBA378">
            <w:pPr>
              <w:pStyle w:val="30"/>
              <w:kinsoku/>
              <w:overflowPunct w:val="0"/>
              <w:autoSpaceDE/>
              <w:autoSpaceDN/>
              <w:adjustRightInd/>
              <w:snapToGrid/>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总量控制指标</w:t>
            </w:r>
          </w:p>
        </w:tc>
        <w:tc>
          <w:tcPr>
            <w:tcW w:w="8589" w:type="dxa"/>
            <w:tcBorders>
              <w:top w:val="single" w:color="auto" w:sz="4" w:space="0"/>
              <w:left w:val="single" w:color="auto" w:sz="4" w:space="0"/>
              <w:bottom w:val="single" w:color="auto" w:sz="4" w:space="0"/>
              <w:right w:val="single" w:color="auto" w:sz="4" w:space="0"/>
            </w:tcBorders>
          </w:tcPr>
          <w:p w14:paraId="10EB18F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根据国务院《关于印发“十四五”节能减排综合工作方案的通知》（国发〔2021〕33号），需对NOx、挥发性有机物、COD、氨氮进行总量控制</w:t>
            </w:r>
            <w:r>
              <w:rPr>
                <w:rFonts w:ascii="Times New Roman" w:hAnsi="Times New Roman" w:eastAsia="宋体" w:cs="Times New Roman"/>
                <w:color w:val="auto"/>
                <w:sz w:val="24"/>
                <w:szCs w:val="24"/>
                <w:lang w:eastAsia="zh-CN"/>
              </w:rPr>
              <w:t>。</w:t>
            </w:r>
          </w:p>
          <w:p w14:paraId="2628DA6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1、废气</w:t>
            </w:r>
          </w:p>
          <w:p w14:paraId="084F56C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废气主要为运输扬尘、</w:t>
            </w:r>
            <w:r>
              <w:rPr>
                <w:rFonts w:hint="eastAsia" w:cs="Times New Roman"/>
                <w:color w:val="auto"/>
                <w:sz w:val="24"/>
                <w:szCs w:val="24"/>
                <w:lang w:eastAsia="zh-CN"/>
              </w:rPr>
              <w:t>堆场扬尘</w:t>
            </w:r>
            <w:r>
              <w:rPr>
                <w:rFonts w:ascii="Times New Roman" w:hAnsi="Times New Roman" w:eastAsia="宋体" w:cs="Times New Roman"/>
                <w:color w:val="auto"/>
                <w:sz w:val="24"/>
                <w:szCs w:val="24"/>
                <w:lang w:eastAsia="zh-CN"/>
              </w:rPr>
              <w:t>、筒仓粉尘、皮带输送粉尘、搅拌粉尘、出料粉尘以及食堂产生的油烟。</w:t>
            </w:r>
            <w:r>
              <w:rPr>
                <w:rFonts w:hint="eastAsia" w:ascii="Times New Roman" w:hAnsi="Times New Roman" w:eastAsia="宋体" w:cs="Times New Roman"/>
                <w:color w:val="auto"/>
                <w:sz w:val="24"/>
                <w:szCs w:val="24"/>
                <w:lang w:eastAsia="zh-CN"/>
              </w:rPr>
              <w:t>运输扬尘通过洒水降尘控制后无组织排放，</w:t>
            </w:r>
            <w:r>
              <w:rPr>
                <w:rFonts w:hint="eastAsia" w:cs="Times New Roman"/>
                <w:color w:val="auto"/>
                <w:sz w:val="24"/>
                <w:szCs w:val="24"/>
                <w:lang w:eastAsia="zh-CN"/>
              </w:rPr>
              <w:t>堆场扬尘</w:t>
            </w:r>
            <w:r>
              <w:rPr>
                <w:rFonts w:hint="eastAsia" w:ascii="Times New Roman" w:hAnsi="Times New Roman" w:eastAsia="宋体" w:cs="Times New Roman"/>
                <w:color w:val="auto"/>
                <w:sz w:val="24"/>
                <w:szCs w:val="24"/>
                <w:lang w:eastAsia="zh-CN"/>
              </w:rPr>
              <w:t>通过封闭厂房和喷雾降尘设施控制后无组织排放，筒仓粉尘通过自带的脉冲布袋除尘器处理后由排气筒（DA002）排放，皮带输送粉尘</w:t>
            </w:r>
            <w:r>
              <w:rPr>
                <w:rFonts w:ascii="Times New Roman" w:hAnsi="Times New Roman" w:eastAsia="宋体" w:cs="Times New Roman"/>
                <w:color w:val="auto"/>
                <w:sz w:val="24"/>
                <w:szCs w:val="24"/>
                <w:lang w:eastAsia="zh-CN"/>
              </w:rPr>
              <w:t>、出料粉尘</w:t>
            </w:r>
            <w:r>
              <w:rPr>
                <w:rFonts w:hint="eastAsia" w:ascii="Times New Roman" w:hAnsi="Times New Roman" w:eastAsia="宋体" w:cs="Times New Roman"/>
                <w:color w:val="auto"/>
                <w:sz w:val="24"/>
                <w:szCs w:val="24"/>
                <w:lang w:eastAsia="zh-CN"/>
              </w:rPr>
              <w:t>通过集气罩（半密闭集气罩，收集率</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eastAsia="zh-CN"/>
              </w:rPr>
              <w:t>0%）收集后经管道引至布袋除尘器处理后通过DA001排气筒（15m）有组织排放，搅拌粉尘经排泄口用管道引至布袋除尘器处理后通过DA001排气筒（15m）有组织排放，油烟经</w:t>
            </w:r>
            <w:r>
              <w:rPr>
                <w:rFonts w:ascii="Times New Roman" w:hAnsi="Times New Roman" w:eastAsia="宋体" w:cs="Times New Roman"/>
                <w:color w:val="auto"/>
                <w:sz w:val="24"/>
                <w:szCs w:val="24"/>
                <w:lang w:eastAsia="zh-CN"/>
              </w:rPr>
              <w:t>抽油烟机</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后</w:t>
            </w:r>
            <w:r>
              <w:rPr>
                <w:rFonts w:hint="eastAsia" w:ascii="Times New Roman" w:hAnsi="Times New Roman" w:eastAsia="宋体" w:cs="Times New Roman"/>
                <w:color w:val="auto"/>
                <w:sz w:val="24"/>
                <w:szCs w:val="24"/>
                <w:lang w:eastAsia="zh-CN"/>
              </w:rPr>
              <w:t>自屋顶无组织排放。</w:t>
            </w:r>
          </w:p>
          <w:p w14:paraId="013FA1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无组织：颗粒物排放量</w:t>
            </w:r>
            <w:r>
              <w:rPr>
                <w:rFonts w:hint="eastAsia" w:cs="Times New Roman"/>
                <w:color w:val="auto"/>
                <w:sz w:val="24"/>
                <w:szCs w:val="24"/>
                <w:lang w:val="en-US" w:eastAsia="zh-CN"/>
              </w:rPr>
              <w:t>3.643</w:t>
            </w:r>
            <w:r>
              <w:rPr>
                <w:rFonts w:hint="eastAsia" w:ascii="Times New Roman" w:hAnsi="Times New Roman" w:eastAsia="宋体" w:cs="Times New Roman"/>
                <w:color w:val="auto"/>
                <w:sz w:val="24"/>
                <w:szCs w:val="24"/>
                <w:lang w:eastAsia="zh-CN"/>
              </w:rPr>
              <w:t>t/a，油烟排放量0.001524t/a。有组织：废气量</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eastAsia="zh-CN"/>
              </w:rPr>
              <w:t>0万m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/a，颗粒物排放量</w:t>
            </w:r>
            <w:r>
              <w:rPr>
                <w:rFonts w:hint="eastAsia" w:cs="Times New Roman"/>
                <w:color w:val="auto"/>
                <w:sz w:val="24"/>
                <w:szCs w:val="24"/>
                <w:lang w:val="en-US" w:eastAsia="zh-CN"/>
              </w:rPr>
              <w:t>0.562</w:t>
            </w:r>
            <w:r>
              <w:rPr>
                <w:rFonts w:hint="eastAsia"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lang w:val="zh-CN" w:eastAsia="zh-CN"/>
              </w:rPr>
              <w:t>废</w:t>
            </w:r>
            <w:r>
              <w:rPr>
                <w:rFonts w:hint="eastAsia" w:ascii="Times New Roman" w:hAnsi="Times New Roman" w:eastAsia="宋体" w:cs="Times New Roman"/>
                <w:color w:val="auto"/>
                <w:sz w:val="24"/>
                <w:lang w:eastAsia="zh-CN"/>
              </w:rPr>
              <w:t>气</w:t>
            </w:r>
            <w:r>
              <w:rPr>
                <w:rFonts w:hint="eastAsia" w:ascii="Times New Roman" w:hAnsi="Times New Roman" w:eastAsia="宋体" w:cs="Times New Roman"/>
                <w:color w:val="auto"/>
                <w:sz w:val="24"/>
                <w:lang w:val="zh-CN" w:eastAsia="zh-CN"/>
              </w:rPr>
              <w:t>不设总量控制指标。</w:t>
            </w:r>
          </w:p>
          <w:p w14:paraId="0115C8E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2、废水</w:t>
            </w:r>
          </w:p>
          <w:p w14:paraId="0FFE654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val="zh-CN" w:eastAsia="zh-CN"/>
              </w:rPr>
            </w:pPr>
            <w:r>
              <w:rPr>
                <w:rFonts w:hint="eastAsia" w:ascii="Times New Roman" w:hAnsi="Times New Roman" w:eastAsia="宋体" w:cs="Times New Roman"/>
                <w:color w:val="auto"/>
                <w:sz w:val="24"/>
                <w:szCs w:val="24"/>
                <w:lang w:eastAsia="zh-CN"/>
              </w:rPr>
              <w:t>本项目无生产废水，项目生活废水经1m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隔油池+5m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化粪池+一体化污水生化处理系统（2m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/d，A</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lang w:eastAsia="zh-CN"/>
              </w:rPr>
              <w:t>/O处理工艺）处理</w:t>
            </w:r>
            <w:r>
              <w:rPr>
                <w:rFonts w:hint="eastAsia" w:cs="Times New Roman"/>
                <w:color w:val="auto"/>
                <w:sz w:val="24"/>
                <w:szCs w:val="24"/>
                <w:lang w:eastAsia="zh-CN"/>
              </w:rPr>
              <w:t>达</w:t>
            </w:r>
            <w:r>
              <w:rPr>
                <w:rFonts w:hint="eastAsia" w:cs="Times New Roman"/>
                <w:color w:val="auto"/>
                <w:sz w:val="24"/>
                <w:szCs w:val="24"/>
                <w:lang w:val="en-US" w:eastAsia="zh-CN"/>
              </w:rPr>
              <w:t>到</w:t>
            </w:r>
            <w:r>
              <w:rPr>
                <w:rFonts w:hint="eastAsia" w:cs="Times New Roman"/>
                <w:color w:val="auto"/>
                <w:sz w:val="24"/>
                <w:szCs w:val="24"/>
                <w:lang w:eastAsia="zh-CN"/>
              </w:rPr>
              <w:t>《城市污水再生</w:t>
            </w:r>
            <w:r>
              <w:rPr>
                <w:rFonts w:hint="eastAsia" w:ascii="Times New Roman" w:hAnsi="Times New Roman" w:eastAsia="宋体" w:cs="Times New Roman"/>
                <w:color w:val="auto"/>
                <w:sz w:val="24"/>
                <w:szCs w:val="24"/>
                <w:lang w:eastAsia="zh-CN"/>
              </w:rPr>
              <w:t>利用 城市杂用水水质》（GB/T18920-2020）中城市绿化、道路清扫、消防、建筑施工的标准限值后回用于厂区降尘及绿化，不外排</w:t>
            </w:r>
            <w:r>
              <w:rPr>
                <w:rFonts w:hint="eastAsia" w:ascii="Times New Roman" w:hAnsi="Times New Roman" w:eastAsia="宋体" w:cs="Times New Roman"/>
                <w:color w:val="auto"/>
                <w:sz w:val="24"/>
                <w:szCs w:val="24"/>
                <w:lang w:eastAsia="zh-CN" w:bidi="ar"/>
              </w:rPr>
              <w:t>。</w:t>
            </w:r>
            <w:r>
              <w:rPr>
                <w:rFonts w:hint="eastAsia" w:ascii="Times New Roman" w:hAnsi="Times New Roman" w:eastAsia="宋体" w:cs="Times New Roman"/>
                <w:color w:val="auto"/>
                <w:sz w:val="24"/>
                <w:lang w:val="zh-CN" w:eastAsia="zh-CN"/>
              </w:rPr>
              <w:t>废水不设总量控制指标。</w:t>
            </w:r>
          </w:p>
          <w:p w14:paraId="2D8039F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val="zh-CN" w:eastAsia="zh-CN"/>
              </w:rPr>
            </w:pPr>
            <w:r>
              <w:rPr>
                <w:rFonts w:hint="eastAsia" w:ascii="Times New Roman" w:hAnsi="Times New Roman" w:eastAsia="宋体" w:cs="Times New Roman"/>
                <w:b/>
                <w:bCs/>
                <w:color w:val="auto"/>
                <w:sz w:val="24"/>
                <w:szCs w:val="24"/>
                <w:lang w:eastAsia="zh-CN"/>
              </w:rPr>
              <w:t>3、固废</w:t>
            </w:r>
          </w:p>
          <w:p w14:paraId="2B3BDAF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本项目固体废弃物均妥善处置，处置率达100%，不涉及重金属物质</w:t>
            </w:r>
            <w:r>
              <w:rPr>
                <w:rFonts w:hint="eastAsia" w:ascii="Times New Roman" w:hAnsi="Times New Roman" w:eastAsia="宋体" w:cs="Times New Roman"/>
                <w:color w:val="auto"/>
                <w:sz w:val="24"/>
                <w:lang w:eastAsia="zh-CN"/>
              </w:rPr>
              <w:t>。</w:t>
            </w:r>
          </w:p>
          <w:p w14:paraId="324D398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固废不设总量控制指标。</w:t>
            </w:r>
          </w:p>
        </w:tc>
      </w:tr>
    </w:tbl>
    <w:p w14:paraId="0593C92B">
      <w:pPr>
        <w:rPr>
          <w:rFonts w:ascii="Times New Roman" w:hAnsi="Times New Roman" w:eastAsia="宋体" w:cs="Times New Roman"/>
          <w:color w:val="auto"/>
          <w:lang w:eastAsia="zh-CN"/>
        </w:rPr>
        <w:sectPr>
          <w:footerReference r:id="rId7" w:type="default"/>
          <w:pgSz w:w="11907" w:h="16840"/>
          <w:pgMar w:top="1440" w:right="1800" w:bottom="1440" w:left="1800" w:header="0" w:footer="852" w:gutter="0"/>
          <w:cols w:space="720" w:num="1"/>
        </w:sectPr>
      </w:pPr>
    </w:p>
    <w:p w14:paraId="27B38FDB">
      <w:pPr>
        <w:pStyle w:val="7"/>
        <w:jc w:val="center"/>
        <w:outlineLvl w:val="0"/>
        <w:rPr>
          <w:rFonts w:ascii="Times New Roman" w:hAnsi="Times New Roman" w:eastAsia="宋体" w:cs="Times New Roman"/>
          <w:b/>
          <w:bCs/>
          <w:color w:val="auto"/>
          <w:sz w:val="32"/>
          <w:szCs w:val="32"/>
          <w:lang w:eastAsia="zh-CN"/>
        </w:rPr>
      </w:pPr>
      <w:bookmarkStart w:id="12" w:name="_Toc28206"/>
      <w:r>
        <w:rPr>
          <w:rFonts w:ascii="Times New Roman" w:hAnsi="Times New Roman" w:eastAsia="宋体" w:cs="Times New Roman"/>
          <w:b/>
          <w:bCs/>
          <w:color w:val="auto"/>
          <w:sz w:val="32"/>
          <w:szCs w:val="32"/>
          <w:lang w:eastAsia="zh-CN"/>
        </w:rPr>
        <w:t>四、主要环境影响和保护措施</w:t>
      </w:r>
      <w:bookmarkEnd w:id="12"/>
    </w:p>
    <w:tbl>
      <w:tblPr>
        <w:tblStyle w:val="29"/>
        <w:tblW w:w="90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83"/>
        <w:gridCol w:w="8588"/>
      </w:tblGrid>
      <w:tr w14:paraId="348F6F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left w:val="single" w:color="000000" w:sz="2" w:space="0"/>
              <w:bottom w:val="single" w:color="000000" w:sz="6" w:space="0"/>
            </w:tcBorders>
            <w:vAlign w:val="center"/>
          </w:tcPr>
          <w:p w14:paraId="2EA28D64">
            <w:pPr>
              <w:pStyle w:val="15"/>
              <w:kinsoku/>
              <w:overflowPunct w:val="0"/>
              <w:autoSpaceDE/>
              <w:autoSpaceDN/>
              <w:adjustRightInd/>
              <w:snapToGrid/>
              <w:spacing w:before="0" w:beforeAutospacing="0" w:after="0" w:afterAutospacing="0" w:line="360" w:lineRule="auto"/>
              <w:jc w:val="center"/>
              <w:rPr>
                <w:rFonts w:ascii="Times New Roman" w:hAnsi="Times New Roman" w:eastAsia="宋体" w:cs="Times New Roman"/>
                <w:color w:val="auto"/>
                <w:szCs w:val="24"/>
                <w:lang w:eastAsia="zh-CN"/>
              </w:rPr>
            </w:pPr>
            <w:r>
              <w:rPr>
                <w:rFonts w:ascii="Times New Roman" w:hAnsi="Times New Roman" w:eastAsia="宋体" w:cs="Times New Roman"/>
                <w:color w:val="auto"/>
              </w:rPr>
              <w:t>施工期环境保护措施</w:t>
            </w:r>
          </w:p>
        </w:tc>
        <w:tc>
          <w:tcPr>
            <w:tcW w:w="8561" w:type="dxa"/>
            <w:tcBorders>
              <w:left w:val="single" w:color="000000" w:sz="2" w:space="0"/>
              <w:bottom w:val="single" w:color="000000" w:sz="6" w:space="0"/>
            </w:tcBorders>
            <w:vAlign w:val="center"/>
          </w:tcPr>
          <w:p w14:paraId="2D16FE16">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一、施工期环境保护措施</w:t>
            </w:r>
          </w:p>
          <w:p w14:paraId="661E53C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1.1废气环境保护措施</w:t>
            </w:r>
          </w:p>
          <w:p w14:paraId="3480E59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（1）施工扬尘</w:t>
            </w:r>
          </w:p>
          <w:p w14:paraId="4FF3B13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施工扬尘主要来源于</w:t>
            </w:r>
            <w:r>
              <w:rPr>
                <w:rFonts w:hint="eastAsia" w:ascii="Times New Roman" w:hAnsi="Times New Roman" w:eastAsia="宋体" w:cs="Times New Roman"/>
                <w:color w:val="auto"/>
                <w:sz w:val="24"/>
                <w:szCs w:val="24"/>
                <w:lang w:eastAsia="zh-CN"/>
              </w:rPr>
              <w:t>遗留建筑拆除、场地</w:t>
            </w:r>
            <w:r>
              <w:rPr>
                <w:rFonts w:ascii="Times New Roman" w:hAnsi="Times New Roman" w:eastAsia="宋体" w:cs="Times New Roman"/>
                <w:color w:val="auto"/>
                <w:sz w:val="24"/>
                <w:szCs w:val="24"/>
                <w:lang w:eastAsia="zh-CN"/>
              </w:rPr>
              <w:t>清理平整、基础</w:t>
            </w:r>
            <w:r>
              <w:rPr>
                <w:rFonts w:hint="eastAsia" w:ascii="Times New Roman" w:hAnsi="Times New Roman" w:eastAsia="宋体" w:cs="Times New Roman"/>
                <w:color w:val="auto"/>
                <w:sz w:val="24"/>
                <w:szCs w:val="24"/>
                <w:lang w:eastAsia="zh-CN"/>
              </w:rPr>
              <w:t>建设</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厂房建设、</w:t>
            </w:r>
            <w:r>
              <w:rPr>
                <w:rFonts w:ascii="Times New Roman" w:hAnsi="Times New Roman" w:eastAsia="宋体" w:cs="Times New Roman"/>
                <w:color w:val="auto"/>
                <w:sz w:val="24"/>
                <w:szCs w:val="24"/>
                <w:lang w:eastAsia="zh-CN"/>
              </w:rPr>
              <w:t>防渗、</w:t>
            </w:r>
            <w:r>
              <w:rPr>
                <w:rFonts w:hint="eastAsia" w:ascii="Times New Roman" w:hAnsi="Times New Roman" w:eastAsia="宋体" w:cs="Times New Roman"/>
                <w:color w:val="auto"/>
                <w:sz w:val="24"/>
                <w:szCs w:val="24"/>
                <w:lang w:eastAsia="zh-CN"/>
              </w:rPr>
              <w:t>设备安装</w:t>
            </w:r>
            <w:r>
              <w:rPr>
                <w:rFonts w:ascii="Times New Roman" w:hAnsi="Times New Roman" w:eastAsia="宋体" w:cs="Times New Roman"/>
                <w:color w:val="auto"/>
                <w:sz w:val="24"/>
                <w:szCs w:val="24"/>
                <w:lang w:eastAsia="zh-CN"/>
              </w:rPr>
              <w:t>以及</w:t>
            </w:r>
            <w:r>
              <w:rPr>
                <w:rFonts w:hint="eastAsia" w:ascii="Times New Roman" w:hAnsi="Times New Roman" w:eastAsia="宋体" w:cs="Times New Roman"/>
                <w:color w:val="auto"/>
                <w:sz w:val="24"/>
                <w:szCs w:val="24"/>
                <w:lang w:eastAsia="zh-CN"/>
              </w:rPr>
              <w:t>施工过程中</w:t>
            </w:r>
            <w:r>
              <w:rPr>
                <w:rFonts w:ascii="Times New Roman" w:hAnsi="Times New Roman" w:eastAsia="宋体" w:cs="Times New Roman"/>
                <w:color w:val="auto"/>
                <w:sz w:val="24"/>
                <w:szCs w:val="24"/>
                <w:lang w:eastAsia="zh-CN"/>
              </w:rPr>
              <w:t>装卸、运输、堆放因风力作用而产生的扬尘。主要污染物为TSP，无组织排放，不含有毒有害的特殊污染物质，施工扬尘产生强度与施工方式、气象条件有关。为减小施工扬尘对周边环境的影响，应采取下列防治措施：</w:t>
            </w:r>
          </w:p>
          <w:p w14:paraId="52E22D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①施工场地周围应当设置连续、密闭的围挡，围挡高度不得低于1.8m。</w:t>
            </w:r>
          </w:p>
          <w:p w14:paraId="49FEFD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②建筑垃圾等无法在48小时内清运完毕的，应当在施工场地内设置临时堆放场；临时堆放场应当采取围挡、遮盖等防尘措施。</w:t>
            </w:r>
          </w:p>
          <w:p w14:paraId="5642503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③运输车辆应当在除泥、冲洗干净后方可驶出作业场所。</w:t>
            </w:r>
          </w:p>
          <w:p w14:paraId="490CAE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④堆放水泥或者其他易飞扬的细颗粒建筑材料，应当密闭存放或者采取覆盖等措施。</w:t>
            </w:r>
          </w:p>
          <w:p w14:paraId="068DEC9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⑤施工场地要做到场地周边围挡、物料堆放覆盖、土方开挖湿法作业、路面硬化、出入车辆清洗、渣土车辆密闭运输“六个百分之百”。</w:t>
            </w:r>
          </w:p>
          <w:p w14:paraId="0DB9284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执行以上扬尘防治措施后，施工期无组织粉尘可满足《大气污染物综合排放标准》（GB16297-1996）表2中的无组织排放浓度限值。</w:t>
            </w:r>
          </w:p>
          <w:p w14:paraId="134B0F13">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（2）运输车辆、施工机械废气</w:t>
            </w:r>
          </w:p>
          <w:p w14:paraId="418E193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筑施工过程使用的工程机械主要有推土机、挖掘机、空压机及各型运输车辆等。大部分机械使用柴油作为能源，少量使用汽油。燃油机械运行时，其燃料油热分解产生的主要污染物为CO、NOx和HC。其产生量及废气中污染物浓度视其使用频率及发动机对燃料的燃烧情况而异。施工机械废气无组织排放，具有间断性、产生量较小、产生点相对分散、易被稀释扩散等特点。</w:t>
            </w:r>
          </w:p>
          <w:p w14:paraId="036AB14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作业范围相对较小，施工机械和运输车辆外排尾气量较小，尾气排放点随设备移动呈不固定方式排放，项目区空旷，燃油机械废气在空气环境中经自然扩散稀释后，对评价区域环境空气质量影响轻微。施工单位可通过采取限速、限载和加强汽车、施工机械维护保养等措施进一步降低燃油机械废气排放量。</w:t>
            </w:r>
          </w:p>
          <w:p w14:paraId="2F206150">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1.2废水环境保护措施</w:t>
            </w:r>
          </w:p>
          <w:p w14:paraId="0842167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（1）施工废水</w:t>
            </w:r>
          </w:p>
          <w:p w14:paraId="6A64123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工程施工期间，施工单位应严格执行《建筑工程施工场地文明施工及环境暂行规定》，对施工废水排放进行组织设计，严禁乱排、乱流，污染道路和环境，加强施工管理，实施工地节约用水，减少项目施工污水的排放量。</w:t>
            </w:r>
          </w:p>
          <w:p w14:paraId="1C1AC88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本项目施工期间施工废水主要来源于</w:t>
            </w:r>
            <w:r>
              <w:rPr>
                <w:rFonts w:hint="eastAsia" w:ascii="Times New Roman" w:hAnsi="Times New Roman" w:eastAsia="宋体" w:cs="Times New Roman"/>
                <w:color w:val="auto"/>
                <w:sz w:val="24"/>
                <w:szCs w:val="24"/>
                <w:lang w:eastAsia="zh-CN"/>
              </w:rPr>
              <w:t>水泥</w:t>
            </w:r>
            <w:r>
              <w:rPr>
                <w:rFonts w:ascii="Times New Roman" w:hAnsi="Times New Roman" w:eastAsia="宋体" w:cs="Times New Roman"/>
                <w:color w:val="auto"/>
                <w:sz w:val="24"/>
                <w:szCs w:val="24"/>
                <w:lang w:eastAsia="zh-CN"/>
              </w:rPr>
              <w:t>养护、基础灌浆、场地冲洗和设备清洗废水。施工期混凝土搅拌废水主要污染物为泥沙、水泥等悬浮物。施工废水不可随意排放，项目在施工区域设置</w:t>
            </w:r>
            <w:r>
              <w:rPr>
                <w:rFonts w:hint="eastAsia" w:ascii="Times New Roman" w:hAnsi="Times New Roman" w:eastAsia="宋体" w:cs="Times New Roman"/>
                <w:color w:val="auto"/>
                <w:sz w:val="24"/>
                <w:szCs w:val="24"/>
                <w:lang w:eastAsia="zh-CN"/>
              </w:rPr>
              <w:t>1个2m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的临时</w:t>
            </w:r>
            <w:r>
              <w:rPr>
                <w:rFonts w:ascii="Times New Roman" w:hAnsi="Times New Roman" w:eastAsia="宋体" w:cs="Times New Roman"/>
                <w:color w:val="auto"/>
                <w:sz w:val="24"/>
                <w:szCs w:val="24"/>
                <w:lang w:eastAsia="zh-CN"/>
              </w:rPr>
              <w:t>沉淀池，产生的施工废水通过沉淀池沉淀处理后回用，不外排。</w:t>
            </w:r>
          </w:p>
          <w:p w14:paraId="4A8BBE0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施工单位对施工场地用水应严格管理，贯彻</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一水多用、重复利用、节约用水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的原则，尽量减少废水排放量，减轻废水排放对周围环境的影响。</w:t>
            </w:r>
          </w:p>
          <w:p w14:paraId="6E0519D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（2）施工人员生活污水</w:t>
            </w:r>
          </w:p>
          <w:p w14:paraId="54BCE8A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项目施工期施工人数约为每日15人，施工人员生活及餐饮全部依托周边居民，施工期间不在项目区食宿</w:t>
            </w:r>
            <w:r>
              <w:rPr>
                <w:rFonts w:hint="eastAsia" w:ascii="Times New Roman" w:hAnsi="Times New Roman" w:eastAsia="宋体" w:cs="Times New Roman"/>
                <w:color w:val="auto"/>
                <w:sz w:val="24"/>
                <w:szCs w:val="24"/>
                <w:lang w:eastAsia="zh-CN"/>
              </w:rPr>
              <w:t>。生活污水主要来自</w:t>
            </w:r>
            <w:r>
              <w:rPr>
                <w:rFonts w:ascii="Times New Roman" w:hAnsi="Times New Roman" w:eastAsia="宋体" w:cs="Times New Roman"/>
                <w:color w:val="auto"/>
                <w:sz w:val="24"/>
                <w:szCs w:val="24"/>
                <w:lang w:eastAsia="zh-CN"/>
              </w:rPr>
              <w:t>施工人员</w:t>
            </w:r>
            <w:r>
              <w:rPr>
                <w:rFonts w:hint="eastAsia" w:ascii="Times New Roman" w:hAnsi="Times New Roman" w:eastAsia="宋体" w:cs="Times New Roman"/>
                <w:color w:val="auto"/>
                <w:sz w:val="24"/>
                <w:szCs w:val="24"/>
                <w:lang w:eastAsia="zh-CN"/>
              </w:rPr>
              <w:t>洗手，</w:t>
            </w:r>
            <w:r>
              <w:rPr>
                <w:rFonts w:ascii="Times New Roman" w:hAnsi="Times New Roman" w:eastAsia="宋体" w:cs="Times New Roman"/>
                <w:color w:val="auto"/>
                <w:sz w:val="24"/>
                <w:szCs w:val="24"/>
                <w:lang w:eastAsia="zh-CN"/>
              </w:rPr>
              <w:t>用水按20L/d人，则用水量为0.3m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/d。污水量按用水量的0.8计，则施工期生活污水产生量约0.24m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，污水污染物主要为SS，与施工废水类似。因此与施工废水共用2m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的临时</w:t>
            </w:r>
            <w:r>
              <w:rPr>
                <w:rFonts w:ascii="Times New Roman" w:hAnsi="Times New Roman" w:eastAsia="宋体" w:cs="Times New Roman"/>
                <w:color w:val="auto"/>
                <w:sz w:val="24"/>
                <w:szCs w:val="24"/>
                <w:lang w:eastAsia="zh-CN"/>
              </w:rPr>
              <w:t>沉淀池</w:t>
            </w:r>
            <w:r>
              <w:rPr>
                <w:rFonts w:hint="eastAsia" w:ascii="Times New Roman" w:hAnsi="Times New Roman" w:eastAsia="宋体" w:cs="Times New Roman"/>
                <w:color w:val="auto"/>
                <w:sz w:val="24"/>
                <w:szCs w:val="24"/>
                <w:lang w:eastAsia="zh-CN"/>
              </w:rPr>
              <w:t>处理</w:t>
            </w:r>
            <w:r>
              <w:rPr>
                <w:rFonts w:ascii="Times New Roman" w:hAnsi="Times New Roman" w:eastAsia="宋体" w:cs="Times New Roman"/>
                <w:color w:val="auto"/>
                <w:sz w:val="24"/>
                <w:szCs w:val="24"/>
                <w:lang w:eastAsia="zh-CN"/>
              </w:rPr>
              <w:t>项目施工期施工人员产生的少量生活污水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经沉淀处理后回用于施工场地洒水降尘，不外排。项目施工期施工人员生活污水对水环境影响较小。</w:t>
            </w:r>
          </w:p>
          <w:p w14:paraId="6E372F0E">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1.3噪声环境保护措施</w:t>
            </w:r>
          </w:p>
          <w:p w14:paraId="56150FB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施工期间噪声主要来自施工机械设备作业产生的噪声、车辆运输及施工人员作业等工作噪声。施工机械设备噪声主要来源于土石方开挖、场地平整、地面防渗、</w:t>
            </w:r>
            <w:r>
              <w:rPr>
                <w:rFonts w:hint="eastAsia" w:ascii="Times New Roman" w:hAnsi="Times New Roman" w:eastAsia="宋体" w:cs="Times New Roman"/>
                <w:color w:val="auto"/>
                <w:sz w:val="24"/>
                <w:szCs w:val="24"/>
                <w:lang w:eastAsia="zh-CN"/>
              </w:rPr>
              <w:t>砂石骨料</w:t>
            </w:r>
            <w:r>
              <w:rPr>
                <w:rFonts w:ascii="Times New Roman" w:hAnsi="Times New Roman" w:eastAsia="宋体" w:cs="Times New Roman"/>
                <w:color w:val="auto"/>
                <w:sz w:val="24"/>
                <w:szCs w:val="24"/>
                <w:lang w:eastAsia="zh-CN"/>
              </w:rPr>
              <w:t>加工等施工活动。</w:t>
            </w:r>
            <w:r>
              <w:rPr>
                <w:rFonts w:hint="eastAsia" w:ascii="Times New Roman" w:hAnsi="Times New Roman" w:eastAsia="宋体" w:cs="Times New Roman"/>
                <w:color w:val="auto"/>
                <w:sz w:val="24"/>
                <w:szCs w:val="24"/>
                <w:lang w:eastAsia="zh-CN"/>
              </w:rPr>
              <w:t>施工期应采取以下噪声防治措施：</w:t>
            </w:r>
          </w:p>
          <w:p w14:paraId="0109B5F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①施工期间，施工单位应选用低噪声的施工设备，从源头上控制噪声排放；加强施工机械的维修、管理，保证施工机械处于低噪声、高效率的良好工作状态；</w:t>
            </w:r>
          </w:p>
          <w:p w14:paraId="6C971C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②施工期间</w:t>
            </w:r>
            <w:r>
              <w:rPr>
                <w:rFonts w:hint="eastAsia" w:cs="Times New Roman"/>
                <w:color w:val="auto"/>
                <w:sz w:val="24"/>
                <w:szCs w:val="24"/>
                <w:lang w:eastAsia="zh-CN"/>
              </w:rPr>
              <w:t>必须严格按照</w:t>
            </w:r>
            <w:r>
              <w:rPr>
                <w:rFonts w:ascii="Times New Roman" w:hAnsi="Times New Roman" w:eastAsia="宋体" w:cs="Times New Roman"/>
                <w:color w:val="auto"/>
                <w:sz w:val="24"/>
                <w:szCs w:val="24"/>
                <w:lang w:eastAsia="zh-CN"/>
              </w:rPr>
              <w:t>《建筑施工场界环境噪声排放标准》（GB12523-20</w:t>
            </w:r>
            <w:r>
              <w:rPr>
                <w:rFonts w:hint="eastAsia" w:ascii="Times New Roman" w:hAnsi="Times New Roman" w:eastAsia="宋体" w:cs="Times New Roman"/>
                <w:color w:val="auto"/>
                <w:sz w:val="24"/>
                <w:szCs w:val="24"/>
                <w:lang w:eastAsia="zh-CN"/>
              </w:rPr>
              <w:t>25</w:t>
            </w:r>
            <w:r>
              <w:rPr>
                <w:rFonts w:ascii="Times New Roman" w:hAnsi="Times New Roman" w:eastAsia="宋体" w:cs="Times New Roman"/>
                <w:color w:val="auto"/>
                <w:sz w:val="24"/>
                <w:szCs w:val="24"/>
                <w:lang w:eastAsia="zh-CN"/>
              </w:rPr>
              <w:t>）进行施工，以减少工程建设施工对周边造成的声环境影响。</w:t>
            </w:r>
          </w:p>
          <w:p w14:paraId="7C285F9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③合理安排施工时间，项目施工作业均在白天进行，加强对施工人员的管理，做到文明施工。</w:t>
            </w:r>
          </w:p>
          <w:p w14:paraId="33E7618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④建设管理部门应加强对施工场地的噪声管理，施工企业也应对施工噪声进行自律，文明施工，施工期间组织好区内交通，施工场地的施工车辆出入现场时应低速、禁鸣，设立专职人员负责该工作。</w:t>
            </w:r>
          </w:p>
          <w:p w14:paraId="69E2035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本项目在采取上述措施后，对周围环境影响较小。施工期结束后，相应的噪声污染即随之消失，不会对周围环境产生长期不良影响。</w:t>
            </w:r>
          </w:p>
          <w:p w14:paraId="1EA7C36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1.4固体废物环境保护措施</w:t>
            </w:r>
          </w:p>
          <w:p w14:paraId="25001E3C">
            <w:pPr>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施工期产生的固体废物主要</w:t>
            </w:r>
            <w:r>
              <w:rPr>
                <w:rFonts w:hint="eastAsia" w:ascii="Times New Roman" w:hAnsi="Times New Roman" w:eastAsia="宋体" w:cs="Times New Roman"/>
                <w:color w:val="auto"/>
                <w:sz w:val="24"/>
                <w:lang w:eastAsia="zh-CN"/>
              </w:rPr>
              <w:t>为施工人员生活垃圾、废包装袋、废金属和建筑垃圾。</w:t>
            </w:r>
          </w:p>
          <w:p w14:paraId="1094B92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施工人员生活垃圾用垃圾桶收集，定期由环卫部门清运处置；废包装袋和废金属统一分类收集，可回收利用的进行回收再利用，不可回收利用的委托环卫部门清运，禁止随意丢弃；废弃砖石、水泥凝结废渣等建筑垃圾由建设单位委托有资质的建筑垃圾承运企业清运处理</w:t>
            </w:r>
            <w:r>
              <w:rPr>
                <w:rFonts w:ascii="Times New Roman" w:hAnsi="Times New Roman" w:eastAsia="宋体" w:cs="Times New Roman"/>
                <w:color w:val="auto"/>
                <w:sz w:val="24"/>
                <w:szCs w:val="24"/>
                <w:lang w:eastAsia="zh-CN"/>
              </w:rPr>
              <w:t>，建筑垃圾禁止随意丢弃及与生活垃圾一起混合堆放。</w:t>
            </w:r>
          </w:p>
        </w:tc>
      </w:tr>
      <w:tr w14:paraId="0F2CF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482" w:type="dxa"/>
            <w:tcBorders>
              <w:top w:val="single" w:color="000000" w:sz="2" w:space="0"/>
              <w:left w:val="single" w:color="000000" w:sz="2" w:space="0"/>
            </w:tcBorders>
            <w:vAlign w:val="center"/>
          </w:tcPr>
          <w:p w14:paraId="7DBAF769">
            <w:pPr>
              <w:kinsoku/>
              <w:overflowPunct w:val="0"/>
              <w:autoSpaceDE/>
              <w:autoSpaceDN/>
              <w:adjustRightInd/>
              <w:snapToGrid/>
              <w:spacing w:line="360" w:lineRule="auto"/>
              <w:jc w:val="center"/>
              <w:rPr>
                <w:rFonts w:ascii="Times New Roman" w:hAnsi="Times New Roman" w:eastAsia="宋体" w:cs="Times New Roman"/>
                <w:color w:val="auto"/>
                <w:sz w:val="24"/>
                <w:szCs w:val="24"/>
                <w:lang w:eastAsia="zh-CN"/>
              </w:rPr>
            </w:pPr>
            <w:r>
              <w:rPr>
                <w:rFonts w:ascii="Times New Roman" w:hAnsi="Times New Roman" w:eastAsia="宋体" w:cs="Times New Roman"/>
                <w:bCs/>
                <w:color w:val="auto"/>
                <w:sz w:val="24"/>
                <w:szCs w:val="24"/>
                <w:lang w:eastAsia="zh-CN"/>
              </w:rPr>
              <w:t>运营期环境影响和保护措施</w:t>
            </w:r>
          </w:p>
        </w:tc>
        <w:tc>
          <w:tcPr>
            <w:tcW w:w="8561" w:type="dxa"/>
            <w:tcBorders>
              <w:top w:val="single" w:color="000000" w:sz="2" w:space="0"/>
              <w:left w:val="single" w:color="000000" w:sz="2" w:space="0"/>
            </w:tcBorders>
            <w:vAlign w:val="center"/>
          </w:tcPr>
          <w:p w14:paraId="08B27B9F">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二、</w:t>
            </w:r>
            <w:r>
              <w:rPr>
                <w:rFonts w:hint="eastAsia" w:ascii="Times New Roman" w:hAnsi="Times New Roman" w:eastAsia="宋体" w:cs="Times New Roman"/>
                <w:b/>
                <w:bCs/>
                <w:color w:val="auto"/>
                <w:sz w:val="24"/>
                <w:szCs w:val="24"/>
                <w:lang w:eastAsia="zh-CN"/>
              </w:rPr>
              <w:t>运营</w:t>
            </w:r>
            <w:r>
              <w:rPr>
                <w:rFonts w:ascii="Times New Roman" w:hAnsi="Times New Roman" w:eastAsia="宋体" w:cs="Times New Roman"/>
                <w:b/>
                <w:bCs/>
                <w:color w:val="auto"/>
                <w:sz w:val="24"/>
                <w:szCs w:val="24"/>
                <w:lang w:eastAsia="zh-CN"/>
              </w:rPr>
              <w:t>期废气产排情况</w:t>
            </w:r>
          </w:p>
          <w:p w14:paraId="423D3BA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2.1废气污染物核算</w:t>
            </w:r>
          </w:p>
          <w:p w14:paraId="42258A8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color w:val="auto"/>
                <w:sz w:val="24"/>
                <w:szCs w:val="24"/>
                <w:lang w:eastAsia="zh-CN"/>
              </w:rPr>
              <w:t>废气主要为</w:t>
            </w:r>
            <w:r>
              <w:rPr>
                <w:rFonts w:hint="eastAsia" w:ascii="Times New Roman" w:hAnsi="Times New Roman" w:eastAsia="宋体" w:cs="Times New Roman"/>
                <w:color w:val="auto"/>
                <w:sz w:val="24"/>
                <w:szCs w:val="24"/>
                <w:lang w:eastAsia="zh-CN"/>
              </w:rPr>
              <w:t>运输</w:t>
            </w:r>
            <w:r>
              <w:rPr>
                <w:rFonts w:ascii="Times New Roman" w:hAnsi="Times New Roman" w:eastAsia="宋体" w:cs="Times New Roman"/>
                <w:color w:val="auto"/>
                <w:sz w:val="24"/>
                <w:szCs w:val="24"/>
                <w:lang w:eastAsia="zh-CN"/>
              </w:rPr>
              <w:t>扬尘、</w:t>
            </w:r>
            <w:r>
              <w:rPr>
                <w:rFonts w:hint="eastAsia" w:cs="Times New Roman"/>
                <w:color w:val="auto"/>
                <w:sz w:val="24"/>
                <w:szCs w:val="24"/>
                <w:lang w:eastAsia="zh-CN"/>
              </w:rPr>
              <w:t>堆场扬尘</w:t>
            </w:r>
            <w:r>
              <w:rPr>
                <w:rFonts w:ascii="Times New Roman" w:hAnsi="Times New Roman" w:eastAsia="宋体" w:cs="Times New Roman"/>
                <w:color w:val="auto"/>
                <w:sz w:val="24"/>
                <w:szCs w:val="24"/>
                <w:lang w:eastAsia="zh-CN"/>
              </w:rPr>
              <w:t>、筒仓粉尘、</w:t>
            </w:r>
            <w:r>
              <w:rPr>
                <w:rFonts w:hint="eastAsia" w:ascii="Times New Roman" w:hAnsi="Times New Roman" w:eastAsia="宋体" w:cs="Times New Roman"/>
                <w:color w:val="auto"/>
                <w:sz w:val="24"/>
                <w:szCs w:val="24"/>
                <w:lang w:eastAsia="zh-CN"/>
              </w:rPr>
              <w:t>上料粉尘、</w:t>
            </w:r>
            <w:r>
              <w:rPr>
                <w:rFonts w:ascii="Times New Roman" w:hAnsi="Times New Roman" w:eastAsia="宋体" w:cs="Times New Roman"/>
                <w:color w:val="auto"/>
                <w:sz w:val="24"/>
                <w:szCs w:val="24"/>
                <w:lang w:eastAsia="zh-CN"/>
              </w:rPr>
              <w:t>皮带输送粉尘、搅拌粉尘</w:t>
            </w:r>
            <w:r>
              <w:rPr>
                <w:rFonts w:hint="eastAsia" w:ascii="Times New Roman" w:hAnsi="Times New Roman" w:eastAsia="宋体" w:cs="Times New Roman"/>
                <w:color w:val="auto"/>
                <w:sz w:val="24"/>
                <w:szCs w:val="24"/>
                <w:lang w:eastAsia="zh-CN"/>
              </w:rPr>
              <w:t>、出料粉尘、</w:t>
            </w:r>
            <w:r>
              <w:rPr>
                <w:rFonts w:ascii="Times New Roman" w:hAnsi="Times New Roman" w:eastAsia="宋体" w:cs="Times New Roman"/>
                <w:color w:val="auto"/>
                <w:sz w:val="24"/>
                <w:szCs w:val="24"/>
                <w:lang w:eastAsia="zh-CN"/>
              </w:rPr>
              <w:t>食堂油烟</w:t>
            </w:r>
            <w:r>
              <w:rPr>
                <w:rFonts w:hint="eastAsia" w:ascii="Times New Roman" w:hAnsi="Times New Roman" w:eastAsia="宋体" w:cs="Times New Roman"/>
                <w:color w:val="auto"/>
                <w:sz w:val="24"/>
                <w:szCs w:val="24"/>
                <w:lang w:eastAsia="zh-CN"/>
              </w:rPr>
              <w:t>、车辆废气</w:t>
            </w:r>
            <w:r>
              <w:rPr>
                <w:rFonts w:ascii="Times New Roman" w:hAnsi="Times New Roman" w:eastAsia="宋体" w:cs="Times New Roman"/>
                <w:color w:val="auto"/>
                <w:sz w:val="24"/>
                <w:szCs w:val="24"/>
                <w:lang w:eastAsia="zh-CN"/>
              </w:rPr>
              <w:t>。</w:t>
            </w:r>
          </w:p>
          <w:p w14:paraId="353FF3E6">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（1）运输</w:t>
            </w:r>
            <w:r>
              <w:rPr>
                <w:rFonts w:ascii="Times New Roman" w:hAnsi="Times New Roman" w:eastAsia="宋体" w:cs="Times New Roman"/>
                <w:b/>
                <w:bCs/>
                <w:color w:val="auto"/>
                <w:sz w:val="24"/>
                <w:szCs w:val="24"/>
                <w:lang w:eastAsia="zh-CN"/>
              </w:rPr>
              <w:t>扬尘</w:t>
            </w:r>
          </w:p>
          <w:p w14:paraId="717C816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原料及产品运输过程会产生运输扬尘，运输过程扬尘强度与路面类型、清洁程度以及汽车行驶速度等因素有关。本项目原料在厂区内运距较短约为50m，厂区道路为混凝土硬化路面，运输车辆产生的扬尘，在道路完全干燥的情况下，可用下列经验公式进行计算：</w:t>
            </w:r>
          </w:p>
          <w:p w14:paraId="507CB411">
            <w:pPr>
              <w:kinsoku/>
              <w:overflowPunct w:val="0"/>
              <w:autoSpaceDE/>
              <w:autoSpaceDN/>
              <w:adjustRightInd/>
              <w:snapToGrid/>
              <w:spacing w:line="360" w:lineRule="auto"/>
              <w:jc w:val="center"/>
              <w:rPr>
                <w:rFonts w:ascii="Times New Roman" w:hAnsi="Times New Roman" w:eastAsia="宋体" w:cs="Times New Roman"/>
                <w:color w:val="auto"/>
                <w:sz w:val="23"/>
                <w:szCs w:val="23"/>
              </w:rPr>
            </w:pPr>
            <w:r>
              <w:rPr>
                <w:rFonts w:ascii="Times New Roman" w:hAnsi="Times New Roman" w:eastAsia="宋体" w:cs="Times New Roman"/>
                <w:color w:val="auto"/>
                <w:position w:val="-11"/>
              </w:rPr>
              <w:drawing>
                <wp:inline distT="0" distB="0" distL="0" distR="0">
                  <wp:extent cx="2220595" cy="344805"/>
                  <wp:effectExtent l="0" t="0" r="8255" b="17145"/>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30"/>
                          <a:stretch>
                            <a:fillRect/>
                          </a:stretch>
                        </pic:blipFill>
                        <pic:spPr>
                          <a:xfrm>
                            <a:off x="0" y="0"/>
                            <a:ext cx="2220688" cy="345000"/>
                          </a:xfrm>
                          <a:prstGeom prst="rect">
                            <a:avLst/>
                          </a:prstGeom>
                        </pic:spPr>
                      </pic:pic>
                    </a:graphicData>
                  </a:graphic>
                </wp:inline>
              </w:drawing>
            </w:r>
          </w:p>
          <w:p w14:paraId="5B14C8D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其中：Q</w:t>
            </w:r>
            <w:r>
              <w:rPr>
                <w:rFonts w:ascii="Times New Roman" w:hAnsi="Times New Roman" w:eastAsia="宋体" w:cs="Times New Roman"/>
                <w:color w:val="auto"/>
                <w:position w:val="-1"/>
                <w:sz w:val="15"/>
                <w:szCs w:val="15"/>
                <w:lang w:eastAsia="zh-CN"/>
              </w:rPr>
              <w:t>P</w:t>
            </w:r>
            <w:r>
              <w:rPr>
                <w:rFonts w:ascii="Times New Roman" w:hAnsi="Times New Roman" w:eastAsia="宋体" w:cs="Times New Roman"/>
                <w:color w:val="auto"/>
                <w:sz w:val="24"/>
                <w:szCs w:val="24"/>
                <w:lang w:eastAsia="zh-CN"/>
              </w:rPr>
              <w:t>——运输起尘量，kg/km</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辆；</w:t>
            </w:r>
          </w:p>
          <w:p w14:paraId="4768CF32">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V——汽车行驶速度，km/h，1</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km/h；</w:t>
            </w:r>
          </w:p>
          <w:p w14:paraId="1AE17FC4">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M——汽车载重量，t/辆</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取满载量</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0t计；</w:t>
            </w:r>
          </w:p>
          <w:p w14:paraId="57EF4A6F">
            <w:pPr>
              <w:pStyle w:val="30"/>
              <w:kinsoku/>
              <w:overflowPunct w:val="0"/>
              <w:autoSpaceDE/>
              <w:autoSpaceDN/>
              <w:adjustRightInd/>
              <w:snapToGrid/>
              <w:spacing w:line="360" w:lineRule="auto"/>
              <w:ind w:firstLine="1200" w:firstLineChars="5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P——道路表面粉尘量，kg/m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，0.05~0.1kg/m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，本次取0.</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kg/m</w:t>
            </w:r>
            <w:r>
              <w:rPr>
                <w:rFonts w:ascii="Times New Roman" w:hAnsi="Times New Roman" w:eastAsia="宋体" w:cs="Times New Roman"/>
                <w:color w:val="auto"/>
                <w:position w:val="7"/>
                <w:sz w:val="15"/>
                <w:szCs w:val="15"/>
                <w:lang w:eastAsia="zh-CN"/>
              </w:rPr>
              <w:t>2</w:t>
            </w:r>
            <w:r>
              <w:rPr>
                <w:rFonts w:ascii="Times New Roman" w:hAnsi="Times New Roman" w:eastAsia="宋体" w:cs="Times New Roman"/>
                <w:color w:val="auto"/>
                <w:sz w:val="24"/>
                <w:szCs w:val="24"/>
                <w:lang w:eastAsia="zh-CN"/>
              </w:rPr>
              <w:t>；项目采用自卸汽车运输，</w:t>
            </w:r>
            <w:r>
              <w:rPr>
                <w:rFonts w:hint="eastAsia" w:ascii="Times New Roman" w:hAnsi="Times New Roman" w:eastAsia="宋体" w:cs="Times New Roman"/>
                <w:color w:val="auto"/>
                <w:sz w:val="24"/>
                <w:szCs w:val="24"/>
                <w:lang w:eastAsia="zh-CN"/>
              </w:rPr>
              <w:t>全年共使用原料</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00000t，则共计运输</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0000次，车辆在厂区内行驶距离50m，往返共计100m=0.1km，则</w:t>
            </w:r>
            <w:r>
              <w:rPr>
                <w:rFonts w:hint="eastAsia" w:cs="Times New Roman"/>
                <w:color w:val="auto"/>
                <w:sz w:val="24"/>
                <w:szCs w:val="24"/>
                <w:lang w:val="en-US" w:eastAsia="zh-CN"/>
              </w:rPr>
              <w:t>原料</w:t>
            </w:r>
            <w:r>
              <w:rPr>
                <w:rFonts w:hint="eastAsia" w:ascii="Times New Roman" w:hAnsi="Times New Roman" w:eastAsia="宋体" w:cs="Times New Roman"/>
                <w:color w:val="auto"/>
                <w:sz w:val="24"/>
                <w:szCs w:val="24"/>
                <w:lang w:eastAsia="zh-CN"/>
              </w:rPr>
              <w:t>运输时间约为</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00h/a，</w:t>
            </w:r>
            <w:r>
              <w:rPr>
                <w:rFonts w:ascii="Times New Roman" w:hAnsi="Times New Roman" w:eastAsia="宋体" w:cs="Times New Roman"/>
                <w:color w:val="auto"/>
                <w:sz w:val="24"/>
                <w:szCs w:val="24"/>
                <w:lang w:eastAsia="zh-CN"/>
              </w:rPr>
              <w:t>计算得项目交通运输起尘量为0.</w:t>
            </w:r>
            <w:r>
              <w:rPr>
                <w:rFonts w:hint="eastAsia" w:ascii="Times New Roman" w:hAnsi="Times New Roman" w:eastAsia="宋体" w:cs="Times New Roman"/>
                <w:color w:val="auto"/>
                <w:sz w:val="24"/>
                <w:szCs w:val="24"/>
                <w:lang w:eastAsia="zh-CN"/>
              </w:rPr>
              <w:t>107</w:t>
            </w:r>
            <w:r>
              <w:rPr>
                <w:rFonts w:ascii="Times New Roman" w:hAnsi="Times New Roman" w:eastAsia="宋体" w:cs="Times New Roman"/>
                <w:color w:val="auto"/>
                <w:sz w:val="24"/>
                <w:szCs w:val="24"/>
                <w:lang w:eastAsia="zh-CN"/>
              </w:rPr>
              <w:t>kg/km•辆</w:t>
            </w:r>
            <w:r>
              <w:rPr>
                <w:rFonts w:hint="eastAsia" w:ascii="Times New Roman" w:hAnsi="Times New Roman" w:eastAsia="宋体" w:cs="Times New Roman"/>
                <w:color w:val="auto"/>
                <w:sz w:val="24"/>
                <w:szCs w:val="24"/>
                <w:lang w:eastAsia="zh-CN"/>
              </w:rPr>
              <w:t>。原料运输扬尘产生量为0.</w:t>
            </w:r>
            <w:r>
              <w:rPr>
                <w:rFonts w:hint="eastAsia" w:cs="Times New Roman"/>
                <w:color w:val="auto"/>
                <w:sz w:val="24"/>
                <w:szCs w:val="24"/>
                <w:lang w:val="en-US" w:eastAsia="zh-CN"/>
              </w:rPr>
              <w:t>107</w:t>
            </w:r>
            <w:r>
              <w:rPr>
                <w:rFonts w:hint="eastAsia" w:ascii="Times New Roman" w:hAnsi="Times New Roman" w:eastAsia="宋体" w:cs="Times New Roman"/>
                <w:color w:val="auto"/>
                <w:sz w:val="24"/>
                <w:szCs w:val="24"/>
                <w:lang w:eastAsia="zh-CN"/>
              </w:rPr>
              <w:t>t/a，成品运输扬尘参考同样取值，则运输扬尘总产生量为0.</w:t>
            </w:r>
            <w:r>
              <w:rPr>
                <w:rFonts w:hint="eastAsia" w:cs="Times New Roman"/>
                <w:color w:val="auto"/>
                <w:sz w:val="24"/>
                <w:szCs w:val="24"/>
                <w:lang w:val="en-US" w:eastAsia="zh-CN"/>
              </w:rPr>
              <w:t>214</w:t>
            </w:r>
            <w:r>
              <w:rPr>
                <w:rFonts w:hint="eastAsia" w:ascii="Times New Roman" w:hAnsi="Times New Roman" w:eastAsia="宋体" w:cs="Times New Roman"/>
                <w:color w:val="auto"/>
                <w:sz w:val="24"/>
                <w:szCs w:val="24"/>
                <w:lang w:eastAsia="zh-CN"/>
              </w:rPr>
              <w:t>t/a，产生速率</w:t>
            </w:r>
            <w:r>
              <w:rPr>
                <w:rFonts w:hint="eastAsia" w:cs="Times New Roman"/>
                <w:color w:val="auto"/>
                <w:sz w:val="24"/>
                <w:szCs w:val="24"/>
                <w:lang w:val="en-US" w:eastAsia="zh-CN"/>
              </w:rPr>
              <w:t>1.072</w:t>
            </w:r>
            <w:r>
              <w:rPr>
                <w:rFonts w:hint="eastAsia" w:ascii="Times New Roman" w:hAnsi="Times New Roman" w:eastAsia="宋体" w:cs="Times New Roman"/>
                <w:color w:val="auto"/>
                <w:sz w:val="24"/>
                <w:szCs w:val="24"/>
                <w:lang w:eastAsia="zh-CN"/>
              </w:rPr>
              <w:t>kg/h</w:t>
            </w:r>
            <w:r>
              <w:rPr>
                <w:rFonts w:ascii="Times New Roman" w:hAnsi="Times New Roman" w:eastAsia="宋体" w:cs="Times New Roman"/>
                <w:color w:val="auto"/>
                <w:sz w:val="24"/>
                <w:szCs w:val="24"/>
                <w:lang w:eastAsia="zh-CN"/>
              </w:rPr>
              <w:t>。项目运输扬尘产生及排放量见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2076210">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表4-1 运输道路扬尘产生及排放情况</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74"/>
              <w:gridCol w:w="1567"/>
              <w:gridCol w:w="1094"/>
              <w:gridCol w:w="1217"/>
              <w:gridCol w:w="773"/>
              <w:gridCol w:w="774"/>
              <w:gridCol w:w="1691"/>
            </w:tblGrid>
            <w:tr w14:paraId="6DD7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jc w:val="center"/>
              </w:trPr>
              <w:tc>
                <w:tcPr>
                  <w:tcW w:w="1217" w:type="dxa"/>
                  <w:tcBorders>
                    <w:bottom w:val="single" w:color="000000" w:sz="4" w:space="0"/>
                  </w:tcBorders>
                  <w:vAlign w:val="center"/>
                </w:tcPr>
                <w:p w14:paraId="4049BC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产生源</w:t>
                  </w:r>
                </w:p>
              </w:tc>
              <w:tc>
                <w:tcPr>
                  <w:tcW w:w="1496" w:type="dxa"/>
                  <w:tcBorders>
                    <w:bottom w:val="single" w:color="000000" w:sz="4" w:space="0"/>
                  </w:tcBorders>
                  <w:vAlign w:val="center"/>
                </w:tcPr>
                <w:p w14:paraId="67C6002A">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rPr>
                    <w:t>运输距离</w:t>
                  </w:r>
                </w:p>
                <w:p w14:paraId="32012C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（km）</w:t>
                  </w:r>
                </w:p>
              </w:tc>
              <w:tc>
                <w:tcPr>
                  <w:tcW w:w="1045" w:type="dxa"/>
                  <w:tcBorders>
                    <w:bottom w:val="single" w:color="000000" w:sz="4" w:space="0"/>
                  </w:tcBorders>
                  <w:vAlign w:val="center"/>
                </w:tcPr>
                <w:p w14:paraId="7226D42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运输量</w:t>
                  </w:r>
                </w:p>
                <w:p w14:paraId="56A6910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（t/a）</w:t>
                  </w:r>
                </w:p>
              </w:tc>
              <w:tc>
                <w:tcPr>
                  <w:tcW w:w="1162" w:type="dxa"/>
                  <w:tcBorders>
                    <w:bottom w:val="single" w:color="000000" w:sz="4" w:space="0"/>
                    <w:right w:val="single" w:color="000000" w:sz="4" w:space="0"/>
                  </w:tcBorders>
                  <w:vAlign w:val="center"/>
                </w:tcPr>
                <w:p w14:paraId="4F16628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粉尘产生量</w:t>
                  </w:r>
                </w:p>
              </w:tc>
              <w:tc>
                <w:tcPr>
                  <w:tcW w:w="738" w:type="dxa"/>
                  <w:tcBorders>
                    <w:left w:val="single" w:color="000000" w:sz="4" w:space="0"/>
                    <w:bottom w:val="single" w:color="000000" w:sz="4" w:space="0"/>
                  </w:tcBorders>
                  <w:vAlign w:val="center"/>
                </w:tcPr>
                <w:p w14:paraId="28CEBC9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治理</w:t>
                  </w:r>
                </w:p>
                <w:p w14:paraId="1E25EE1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措施</w:t>
                  </w:r>
                </w:p>
              </w:tc>
              <w:tc>
                <w:tcPr>
                  <w:tcW w:w="739" w:type="dxa"/>
                  <w:tcBorders>
                    <w:bottom w:val="single" w:color="000000" w:sz="4" w:space="0"/>
                  </w:tcBorders>
                  <w:vAlign w:val="center"/>
                </w:tcPr>
                <w:p w14:paraId="302C685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治理</w:t>
                  </w:r>
                </w:p>
                <w:p w14:paraId="32AA8B1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效率</w:t>
                  </w:r>
                </w:p>
              </w:tc>
              <w:tc>
                <w:tcPr>
                  <w:tcW w:w="1615" w:type="dxa"/>
                  <w:tcBorders>
                    <w:bottom w:val="single" w:color="000000" w:sz="4" w:space="0"/>
                  </w:tcBorders>
                  <w:vAlign w:val="center"/>
                </w:tcPr>
                <w:p w14:paraId="53A7F7B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排放量</w:t>
                  </w:r>
                </w:p>
              </w:tc>
            </w:tr>
            <w:tr w14:paraId="7A2F8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jc w:val="center"/>
              </w:trPr>
              <w:tc>
                <w:tcPr>
                  <w:tcW w:w="1217" w:type="dxa"/>
                  <w:tcBorders>
                    <w:top w:val="single" w:color="000000" w:sz="4" w:space="0"/>
                    <w:bottom w:val="single" w:color="000000" w:sz="4" w:space="0"/>
                  </w:tcBorders>
                  <w:vAlign w:val="center"/>
                </w:tcPr>
                <w:p w14:paraId="055918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运输道路</w:t>
                  </w:r>
                </w:p>
              </w:tc>
              <w:tc>
                <w:tcPr>
                  <w:tcW w:w="1496" w:type="dxa"/>
                  <w:tcBorders>
                    <w:top w:val="single" w:color="000000" w:sz="4" w:space="0"/>
                    <w:bottom w:val="single" w:color="000000" w:sz="4" w:space="0"/>
                  </w:tcBorders>
                  <w:vAlign w:val="center"/>
                </w:tcPr>
                <w:p w14:paraId="4610E0D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rPr>
                    <w:t>0.</w:t>
                  </w:r>
                  <w:r>
                    <w:rPr>
                      <w:rFonts w:hint="eastAsia" w:ascii="Times New Roman" w:hAnsi="Times New Roman" w:eastAsia="宋体" w:cs="Times New Roman"/>
                      <w:color w:val="auto"/>
                      <w:lang w:eastAsia="zh-CN"/>
                    </w:rPr>
                    <w:t>1</w:t>
                  </w:r>
                </w:p>
              </w:tc>
              <w:tc>
                <w:tcPr>
                  <w:tcW w:w="1045" w:type="dxa"/>
                  <w:tcBorders>
                    <w:top w:val="single" w:color="000000" w:sz="4" w:space="0"/>
                    <w:bottom w:val="single" w:color="000000" w:sz="4" w:space="0"/>
                  </w:tcBorders>
                  <w:vAlign w:val="center"/>
                </w:tcPr>
                <w:p w14:paraId="108FB590">
                  <w:pPr>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lang w:val="en-US" w:eastAsia="zh-CN"/>
                    </w:rPr>
                    <w:t>2</w:t>
                  </w:r>
                  <w:r>
                    <w:rPr>
                      <w:rFonts w:hint="eastAsia" w:ascii="Times New Roman" w:hAnsi="Times New Roman" w:eastAsia="宋体" w:cs="Times New Roman"/>
                      <w:color w:val="auto"/>
                      <w:lang w:eastAsia="zh-CN"/>
                    </w:rPr>
                    <w:t>00000</w:t>
                  </w:r>
                </w:p>
              </w:tc>
              <w:tc>
                <w:tcPr>
                  <w:tcW w:w="1162" w:type="dxa"/>
                  <w:tcBorders>
                    <w:top w:val="single" w:color="000000" w:sz="4" w:space="0"/>
                    <w:bottom w:val="single" w:color="000000" w:sz="4" w:space="0"/>
                    <w:right w:val="single" w:color="000000" w:sz="4" w:space="0"/>
                  </w:tcBorders>
                  <w:vAlign w:val="center"/>
                </w:tcPr>
                <w:p w14:paraId="7435140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w:t>
                  </w:r>
                  <w:r>
                    <w:rPr>
                      <w:rFonts w:hint="eastAsia" w:cs="Times New Roman"/>
                      <w:color w:val="auto"/>
                      <w:lang w:val="en-US" w:eastAsia="zh-CN"/>
                    </w:rPr>
                    <w:t>214</w:t>
                  </w:r>
                  <w:r>
                    <w:rPr>
                      <w:rFonts w:ascii="Times New Roman" w:hAnsi="Times New Roman" w:eastAsia="宋体" w:cs="Times New Roman"/>
                      <w:color w:val="auto"/>
                    </w:rPr>
                    <w:t>t/a</w:t>
                  </w:r>
                </w:p>
                <w:p w14:paraId="334E2BA8">
                  <w:pPr>
                    <w:kinsoku/>
                    <w:overflowPunct w:val="0"/>
                    <w:autoSpaceDE/>
                    <w:autoSpaceDN/>
                    <w:adjustRightInd/>
                    <w:snapToGrid/>
                    <w:jc w:val="center"/>
                    <w:rPr>
                      <w:rFonts w:ascii="Times New Roman" w:hAnsi="Times New Roman" w:eastAsia="宋体" w:cs="Times New Roman"/>
                      <w:color w:val="auto"/>
                    </w:rPr>
                  </w:pPr>
                  <w:r>
                    <w:rPr>
                      <w:rFonts w:hint="eastAsia" w:cs="Times New Roman"/>
                      <w:color w:val="auto"/>
                      <w:lang w:val="en-US" w:eastAsia="zh-CN"/>
                    </w:rPr>
                    <w:t>1.072</w:t>
                  </w:r>
                  <w:r>
                    <w:rPr>
                      <w:rFonts w:ascii="Times New Roman" w:hAnsi="Times New Roman" w:eastAsia="宋体" w:cs="Times New Roman"/>
                      <w:color w:val="auto"/>
                    </w:rPr>
                    <w:t>kg/h</w:t>
                  </w:r>
                </w:p>
              </w:tc>
              <w:tc>
                <w:tcPr>
                  <w:tcW w:w="738" w:type="dxa"/>
                  <w:tcBorders>
                    <w:top w:val="single" w:color="000000" w:sz="4" w:space="0"/>
                    <w:left w:val="single" w:color="000000" w:sz="4" w:space="0"/>
                    <w:bottom w:val="single" w:color="000000" w:sz="4" w:space="0"/>
                  </w:tcBorders>
                  <w:vAlign w:val="center"/>
                </w:tcPr>
                <w:p w14:paraId="58EDA11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rPr>
                    <w:t>洒水</w:t>
                  </w:r>
                </w:p>
                <w:p w14:paraId="2F4935F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降尘</w:t>
                  </w:r>
                </w:p>
              </w:tc>
              <w:tc>
                <w:tcPr>
                  <w:tcW w:w="739" w:type="dxa"/>
                  <w:tcBorders>
                    <w:top w:val="single" w:color="000000" w:sz="4" w:space="0"/>
                    <w:bottom w:val="single" w:color="000000" w:sz="4" w:space="0"/>
                  </w:tcBorders>
                  <w:vAlign w:val="center"/>
                </w:tcPr>
                <w:p w14:paraId="26A7F2F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6</w:t>
                  </w:r>
                  <w:r>
                    <w:rPr>
                      <w:rFonts w:hint="eastAsia" w:ascii="Times New Roman" w:hAnsi="Times New Roman" w:eastAsia="宋体" w:cs="Times New Roman"/>
                      <w:color w:val="auto"/>
                      <w:lang w:eastAsia="zh-CN"/>
                    </w:rPr>
                    <w:t>6</w:t>
                  </w:r>
                  <w:r>
                    <w:rPr>
                      <w:rFonts w:ascii="Times New Roman" w:hAnsi="Times New Roman" w:eastAsia="宋体" w:cs="Times New Roman"/>
                      <w:color w:val="auto"/>
                    </w:rPr>
                    <w:t>%</w:t>
                  </w:r>
                </w:p>
              </w:tc>
              <w:tc>
                <w:tcPr>
                  <w:tcW w:w="1615" w:type="dxa"/>
                  <w:tcBorders>
                    <w:top w:val="single" w:color="000000" w:sz="4" w:space="0"/>
                    <w:bottom w:val="single" w:color="000000" w:sz="4" w:space="0"/>
                  </w:tcBorders>
                  <w:vAlign w:val="center"/>
                </w:tcPr>
                <w:p w14:paraId="1420A3F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r>
                    <w:rPr>
                      <w:rFonts w:hint="eastAsia" w:cs="Times New Roman"/>
                      <w:color w:val="auto"/>
                      <w:lang w:val="en-US" w:eastAsia="zh-CN"/>
                    </w:rPr>
                    <w:t>073</w:t>
                  </w:r>
                  <w:r>
                    <w:rPr>
                      <w:rFonts w:ascii="Times New Roman" w:hAnsi="Times New Roman" w:eastAsia="宋体" w:cs="Times New Roman"/>
                      <w:color w:val="auto"/>
                    </w:rPr>
                    <w:t>t/a</w:t>
                  </w:r>
                </w:p>
                <w:p w14:paraId="433F9B2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w:t>
                  </w:r>
                  <w:r>
                    <w:rPr>
                      <w:rFonts w:hint="eastAsia" w:cs="Times New Roman"/>
                      <w:color w:val="auto"/>
                      <w:lang w:val="en-US" w:eastAsia="zh-CN"/>
                    </w:rPr>
                    <w:t>707</w:t>
                  </w:r>
                  <w:r>
                    <w:rPr>
                      <w:rFonts w:ascii="Times New Roman" w:hAnsi="Times New Roman" w:eastAsia="宋体" w:cs="Times New Roman"/>
                      <w:color w:val="auto"/>
                    </w:rPr>
                    <w:t>kg/h</w:t>
                  </w:r>
                </w:p>
              </w:tc>
            </w:tr>
            <w:tr w14:paraId="5E33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jc w:val="center"/>
              </w:trPr>
              <w:tc>
                <w:tcPr>
                  <w:tcW w:w="8012" w:type="dxa"/>
                  <w:gridSpan w:val="7"/>
                  <w:tcBorders>
                    <w:top w:val="single" w:color="000000" w:sz="4" w:space="0"/>
                  </w:tcBorders>
                </w:tcPr>
                <w:p w14:paraId="0D78612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注：运输量按最大年运输量计算；治理效率参照《扬尘源颗粒物排放清单编制技术指南（试行）》中道路治理措施效率。</w:t>
                  </w:r>
                </w:p>
              </w:tc>
            </w:tr>
          </w:tbl>
          <w:p w14:paraId="73C4AA7A">
            <w:pPr>
              <w:pStyle w:val="30"/>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运输道路扬尘采用洒水降尘措施后，对环境影响较小。</w:t>
            </w:r>
          </w:p>
          <w:p w14:paraId="5ACD0607">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（2）</w:t>
            </w:r>
            <w:r>
              <w:rPr>
                <w:rFonts w:hint="eastAsia" w:cs="Times New Roman"/>
                <w:b/>
                <w:bCs/>
                <w:color w:val="auto"/>
                <w:sz w:val="24"/>
                <w:szCs w:val="24"/>
                <w:lang w:val="en-US" w:eastAsia="zh-CN"/>
              </w:rPr>
              <w:t>堆场扬</w:t>
            </w:r>
            <w:r>
              <w:rPr>
                <w:rFonts w:hint="eastAsia" w:ascii="Times New Roman" w:hAnsi="Times New Roman" w:eastAsia="宋体" w:cs="Times New Roman"/>
                <w:b/>
                <w:bCs/>
                <w:color w:val="auto"/>
                <w:sz w:val="24"/>
                <w:szCs w:val="24"/>
                <w:lang w:eastAsia="zh-CN"/>
              </w:rPr>
              <w:t>尘</w:t>
            </w:r>
          </w:p>
          <w:p w14:paraId="3C9A62B3">
            <w:pPr>
              <w:keepNext w:val="0"/>
              <w:keepLines w:val="0"/>
              <w:pageBreakBefore w:val="0"/>
              <w:suppressLineNumbers w:val="0"/>
              <w:wordWrap/>
              <w:overflowPunct/>
              <w:topLinePunct w:val="0"/>
              <w:bidi w:val="0"/>
              <w:snapToGrid/>
              <w:spacing w:beforeAutospacing="0" w:after="0" w:afterAutospacing="0" w:line="360" w:lineRule="auto"/>
              <w:ind w:left="0" w:right="0" w:firstLine="482" w:firstLineChars="200"/>
              <w:rPr>
                <w:rFonts w:ascii="Times New Roman" w:hAnsi="Times New Roman" w:eastAsia="宋体" w:cs="Times New Roman"/>
                <w:color w:val="auto"/>
                <w:spacing w:val="0"/>
                <w:sz w:val="24"/>
                <w:szCs w:val="24"/>
              </w:rPr>
            </w:pPr>
            <w:r>
              <w:rPr>
                <w:rFonts w:hint="eastAsia" w:ascii="Times New Roman" w:hAnsi="Times New Roman" w:eastAsia="宋体" w:cs="Times New Roman"/>
                <w:b/>
                <w:bCs/>
                <w:caps w:val="0"/>
                <w:color w:val="auto"/>
                <w:sz w:val="24"/>
                <w:szCs w:val="24"/>
                <w:lang w:val="en-US" w:eastAsia="zh-CN"/>
              </w:rPr>
              <w:t>产生：</w:t>
            </w:r>
            <w:r>
              <w:rPr>
                <w:rFonts w:hint="default" w:ascii="Times New Roman" w:hAnsi="Times New Roman" w:eastAsia="宋体" w:cs="Times New Roman"/>
                <w:caps w:val="0"/>
                <w:color w:val="auto"/>
                <w:sz w:val="24"/>
                <w:szCs w:val="24"/>
              </w:rPr>
              <w:t>本</w:t>
            </w:r>
            <w:r>
              <w:rPr>
                <w:rFonts w:hint="eastAsia" w:ascii="Times New Roman" w:hAnsi="Times New Roman" w:eastAsia="宋体" w:cs="Times New Roman"/>
                <w:bCs/>
                <w:snapToGrid/>
                <w:color w:val="auto"/>
                <w:kern w:val="2"/>
                <w:sz w:val="24"/>
                <w:szCs w:val="24"/>
                <w:lang w:val="en-US" w:eastAsia="zh-CN"/>
              </w:rPr>
              <w:t>项目</w:t>
            </w:r>
            <w:r>
              <w:rPr>
                <w:rFonts w:hint="eastAsia" w:ascii="Times New Roman" w:hAnsi="Times New Roman" w:eastAsia="宋体" w:cs="Times New Roman"/>
                <w:bCs/>
                <w:snapToGrid/>
                <w:color w:val="auto"/>
                <w:kern w:val="2"/>
                <w:sz w:val="24"/>
                <w:szCs w:val="24"/>
                <w:lang w:eastAsia="zh-CN"/>
              </w:rPr>
              <w:t>除去粉煤灰外</w:t>
            </w:r>
            <w:r>
              <w:rPr>
                <w:rFonts w:hint="eastAsia" w:ascii="Times New Roman" w:hAnsi="Times New Roman" w:eastAsia="宋体" w:cs="Times New Roman"/>
                <w:bCs/>
                <w:snapToGrid/>
                <w:color w:val="auto"/>
                <w:kern w:val="2"/>
                <w:sz w:val="24"/>
                <w:szCs w:val="24"/>
                <w:lang w:val="en-US" w:eastAsia="zh-CN"/>
              </w:rPr>
              <w:t>使用的改性磷石膏</w:t>
            </w:r>
            <w:r>
              <w:rPr>
                <w:rFonts w:hint="eastAsia" w:ascii="Times New Roman" w:hAnsi="Times New Roman" w:cs="Times New Roman"/>
                <w:bCs/>
                <w:snapToGrid/>
                <w:color w:val="auto"/>
                <w:kern w:val="2"/>
                <w:sz w:val="24"/>
                <w:szCs w:val="24"/>
                <w:lang w:val="en-US" w:eastAsia="zh-CN"/>
              </w:rPr>
              <w:t>和</w:t>
            </w:r>
            <w:r>
              <w:rPr>
                <w:rFonts w:hint="eastAsia" w:ascii="Times New Roman" w:hAnsi="Times New Roman" w:eastAsia="宋体" w:cs="Times New Roman"/>
                <w:bCs/>
                <w:snapToGrid/>
                <w:color w:val="auto"/>
                <w:kern w:val="2"/>
                <w:sz w:val="24"/>
                <w:szCs w:val="24"/>
                <w:lang w:val="en-US" w:eastAsia="zh-CN"/>
              </w:rPr>
              <w:t>砂石骨料</w:t>
            </w:r>
            <w:r>
              <w:rPr>
                <w:rFonts w:hint="eastAsia" w:ascii="Times New Roman" w:hAnsi="Times New Roman" w:cs="Times New Roman"/>
                <w:bCs/>
                <w:snapToGrid/>
                <w:color w:val="auto"/>
                <w:kern w:val="2"/>
                <w:sz w:val="24"/>
                <w:szCs w:val="24"/>
                <w:lang w:val="en-US" w:eastAsia="zh-CN"/>
              </w:rPr>
              <w:t>共计</w:t>
            </w:r>
            <w:r>
              <w:rPr>
                <w:rFonts w:hint="eastAsia" w:ascii="Times New Roman" w:hAnsi="Times New Roman" w:eastAsia="宋体" w:cs="Times New Roman"/>
                <w:bCs/>
                <w:snapToGrid/>
                <w:color w:val="auto"/>
                <w:kern w:val="2"/>
                <w:sz w:val="24"/>
                <w:szCs w:val="24"/>
                <w:lang w:eastAsia="zh-CN"/>
              </w:rPr>
              <w:t>80000t/a</w:t>
            </w:r>
            <w:r>
              <w:rPr>
                <w:rFonts w:hint="default" w:ascii="Times New Roman" w:hAnsi="Times New Roman" w:eastAsia="宋体" w:cs="Times New Roman"/>
                <w:caps w:val="0"/>
                <w:color w:val="auto"/>
                <w:sz w:val="24"/>
                <w:szCs w:val="24"/>
              </w:rPr>
              <w:t>，</w:t>
            </w:r>
            <w:r>
              <w:rPr>
                <w:rFonts w:hint="eastAsia" w:ascii="Times New Roman" w:hAnsi="Times New Roman" w:eastAsia="宋体" w:cs="Times New Roman"/>
                <w:caps w:val="0"/>
                <w:color w:val="auto"/>
                <w:sz w:val="24"/>
                <w:szCs w:val="24"/>
                <w:lang w:val="en-US" w:eastAsia="zh-CN"/>
              </w:rPr>
              <w:t>运输至厂区内后分区堆存于</w:t>
            </w:r>
            <w:r>
              <w:rPr>
                <w:rFonts w:hint="eastAsia" w:cs="Times New Roman"/>
                <w:caps w:val="0"/>
                <w:color w:val="auto"/>
                <w:sz w:val="24"/>
                <w:szCs w:val="24"/>
                <w:lang w:val="en-US" w:eastAsia="zh-CN"/>
              </w:rPr>
              <w:t>原料堆场</w:t>
            </w:r>
            <w:r>
              <w:rPr>
                <w:rFonts w:hint="eastAsia" w:ascii="Times New Roman" w:hAnsi="Times New Roman" w:eastAsia="宋体" w:cs="Times New Roman"/>
                <w:caps w:val="0"/>
                <w:color w:val="auto"/>
                <w:sz w:val="24"/>
                <w:szCs w:val="24"/>
                <w:lang w:val="en-US" w:eastAsia="zh-CN"/>
              </w:rPr>
              <w:t>内</w:t>
            </w:r>
            <w:r>
              <w:rPr>
                <w:rFonts w:hint="eastAsia" w:ascii="Times New Roman" w:hAnsi="Times New Roman" w:cs="Times New Roman"/>
                <w:caps w:val="0"/>
                <w:color w:val="auto"/>
                <w:sz w:val="24"/>
                <w:szCs w:val="24"/>
                <w:lang w:val="en-US" w:eastAsia="zh-CN"/>
              </w:rPr>
              <w:t>。堆场扬尘主要由装卸产生，本项目原料均堆放于封闭厂房内</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cs="Times New Roman"/>
                <w:color w:val="auto"/>
                <w:sz w:val="24"/>
                <w:szCs w:val="24"/>
                <w:lang w:eastAsia="zh-CN"/>
              </w:rPr>
              <w:t>，</w:t>
            </w:r>
            <w:r>
              <w:rPr>
                <w:rFonts w:hint="eastAsia" w:ascii="Times New Roman" w:hAnsi="Times New Roman" w:cs="Times New Roman"/>
                <w:caps w:val="0"/>
                <w:color w:val="auto"/>
                <w:sz w:val="24"/>
                <w:szCs w:val="24"/>
                <w:lang w:val="en-US" w:eastAsia="zh-CN"/>
              </w:rPr>
              <w:t>内部空气流动较慢，几乎不造成风蚀扬尘，本次评价不考虑风蚀扬尘产生量</w:t>
            </w:r>
            <w:r>
              <w:rPr>
                <w:rFonts w:hint="eastAsia" w:ascii="Times New Roman" w:hAnsi="Times New Roman" w:eastAsia="宋体" w:cs="Times New Roman"/>
                <w:caps w:val="0"/>
                <w:color w:val="auto"/>
                <w:sz w:val="24"/>
                <w:szCs w:val="24"/>
                <w:lang w:val="en-US" w:eastAsia="zh-CN"/>
              </w:rPr>
              <w:t>。</w:t>
            </w:r>
          </w:p>
          <w:p w14:paraId="5220D90D">
            <w:pPr>
              <w:widowControl w:val="0"/>
              <w:kinsoku/>
              <w:autoSpaceDE/>
              <w:autoSpaceDN/>
              <w:adjustRightInd/>
              <w:snapToGrid/>
              <w:spacing w:line="360" w:lineRule="auto"/>
              <w:ind w:firstLine="480" w:firstLineChars="200"/>
              <w:jc w:val="both"/>
              <w:textAlignment w:val="auto"/>
              <w:rPr>
                <w:rFonts w:eastAsia="宋体" w:cs="Times New Roman"/>
                <w:bCs/>
                <w:snapToGrid/>
                <w:color w:val="auto"/>
                <w:kern w:val="2"/>
                <w:sz w:val="24"/>
                <w:szCs w:val="24"/>
                <w:lang w:eastAsia="zh-CN"/>
              </w:rPr>
            </w:pPr>
            <w:r>
              <w:rPr>
                <w:rFonts w:hint="eastAsia" w:eastAsia="宋体" w:cs="Times New Roman"/>
                <w:bCs/>
                <w:snapToGrid/>
                <w:color w:val="auto"/>
                <w:kern w:val="2"/>
                <w:sz w:val="24"/>
                <w:szCs w:val="24"/>
                <w:lang w:val="en-US" w:eastAsia="zh-CN"/>
              </w:rPr>
              <w:t>堆场</w:t>
            </w:r>
            <w:r>
              <w:rPr>
                <w:rFonts w:hint="eastAsia" w:cs="Times New Roman"/>
                <w:bCs/>
                <w:snapToGrid/>
                <w:color w:val="auto"/>
                <w:kern w:val="2"/>
                <w:sz w:val="24"/>
                <w:szCs w:val="24"/>
                <w:lang w:val="en-US" w:eastAsia="zh-CN"/>
              </w:rPr>
              <w:t>扬</w:t>
            </w:r>
            <w:r>
              <w:rPr>
                <w:rFonts w:eastAsia="宋体" w:cs="Times New Roman"/>
                <w:bCs/>
                <w:snapToGrid/>
                <w:color w:val="auto"/>
                <w:kern w:val="2"/>
                <w:sz w:val="24"/>
                <w:szCs w:val="24"/>
                <w:lang w:eastAsia="zh-CN"/>
              </w:rPr>
              <w:t>尘产生量参照《排放源统计调查产排污核算方法和系数手册》中《固体物料堆存颗粒物产排污核算系数手册》中</w:t>
            </w:r>
            <w:r>
              <w:rPr>
                <w:rFonts w:hint="eastAsia" w:eastAsia="宋体" w:cs="Times New Roman"/>
                <w:bCs/>
                <w:snapToGrid/>
                <w:color w:val="auto"/>
                <w:kern w:val="2"/>
                <w:sz w:val="24"/>
                <w:szCs w:val="24"/>
                <w:lang w:eastAsia="zh-CN"/>
              </w:rPr>
              <w:t>颗粒物产生量核算</w:t>
            </w:r>
            <w:r>
              <w:rPr>
                <w:rFonts w:hint="eastAsia" w:eastAsia="宋体" w:cs="Times New Roman"/>
                <w:bCs/>
                <w:snapToGrid/>
                <w:color w:val="auto"/>
                <w:kern w:val="2"/>
                <w:sz w:val="24"/>
                <w:szCs w:val="24"/>
                <w:lang w:val="en-US" w:eastAsia="zh-CN"/>
              </w:rPr>
              <w:t>公式</w:t>
            </w:r>
            <w:r>
              <w:rPr>
                <w:rFonts w:eastAsia="宋体" w:cs="Times New Roman"/>
                <w:bCs/>
                <w:snapToGrid/>
                <w:color w:val="auto"/>
                <w:kern w:val="2"/>
                <w:sz w:val="24"/>
                <w:szCs w:val="24"/>
                <w:lang w:eastAsia="zh-CN"/>
              </w:rPr>
              <w:t>进行计算：</w:t>
            </w:r>
          </w:p>
          <w:p w14:paraId="66D6967C">
            <w:pPr>
              <w:widowControl w:val="0"/>
              <w:kinsoku/>
              <w:autoSpaceDE/>
              <w:autoSpaceDN/>
              <w:adjustRightInd/>
              <w:snapToGrid/>
              <w:spacing w:line="360" w:lineRule="auto"/>
              <w:ind w:firstLine="0" w:firstLineChars="0"/>
              <w:jc w:val="center"/>
              <w:textAlignment w:val="auto"/>
              <w:rPr>
                <w:rFonts w:eastAsia="宋体" w:cs="Times New Roman"/>
                <w:bCs/>
                <w:snapToGrid/>
                <w:color w:val="auto"/>
                <w:kern w:val="2"/>
                <w:sz w:val="24"/>
                <w:szCs w:val="24"/>
                <w:lang w:eastAsia="zh-CN"/>
              </w:rPr>
            </w:pPr>
            <w:r>
              <w:rPr>
                <w:rFonts w:eastAsia="宋体" w:cs="Times New Roman"/>
                <w:snapToGrid/>
                <w:color w:val="auto"/>
                <w:kern w:val="2"/>
                <w:position w:val="-12"/>
                <w:sz w:val="24"/>
                <w:szCs w:val="24"/>
                <w:lang w:eastAsia="zh-CN"/>
              </w:rPr>
              <w:object>
                <v:shape id="_x0000_i1031" o:spt="75" type="#_x0000_t75" style="height:19.25pt;width:237pt;" o:ole="t" filled="f" o:preferrelative="t" stroked="f" coordsize="21600,21600">
                  <v:path/>
                  <v:fill on="f" focussize="0,0"/>
                  <v:stroke on="f"/>
                  <v:imagedata r:id="rId32" o:title=""/>
                  <o:lock v:ext="edit" aspectratio="t"/>
                  <w10:wrap type="none"/>
                  <w10:anchorlock/>
                </v:shape>
                <o:OLEObject Type="Embed" ProgID="Equation.KSEE3" ShapeID="_x0000_i1031" DrawAspect="Content" ObjectID="_1468075731" r:id="rId31">
                  <o:LockedField>false</o:LockedField>
                </o:OLEObject>
              </w:object>
            </w:r>
          </w:p>
          <w:p w14:paraId="03C5E7FB">
            <w:pPr>
              <w:widowControl w:val="0"/>
              <w:kinsoku/>
              <w:autoSpaceDE/>
              <w:autoSpaceDN/>
              <w:adjustRightInd/>
              <w:snapToGrid/>
              <w:spacing w:line="360" w:lineRule="auto"/>
              <w:ind w:firstLine="480" w:firstLineChars="200"/>
              <w:jc w:val="both"/>
              <w:textAlignment w:val="auto"/>
              <w:rPr>
                <w:rFonts w:hint="default" w:eastAsia="宋体" w:cs="Times New Roman"/>
                <w:snapToGrid/>
                <w:color w:val="auto"/>
                <w:kern w:val="2"/>
                <w:sz w:val="24"/>
                <w:szCs w:val="24"/>
                <w:lang w:val="en-US" w:eastAsia="zh-CN"/>
              </w:rPr>
            </w:pPr>
            <w:r>
              <w:rPr>
                <w:rFonts w:eastAsia="宋体" w:cs="Times New Roman"/>
                <w:snapToGrid/>
                <w:color w:val="auto"/>
                <w:kern w:val="2"/>
                <w:sz w:val="24"/>
                <w:szCs w:val="24"/>
                <w:lang w:eastAsia="zh-CN"/>
              </w:rPr>
              <w:t>式中：</w:t>
            </w:r>
            <w:r>
              <w:rPr>
                <w:rFonts w:hint="eastAsia" w:eastAsia="宋体" w:cs="Times New Roman"/>
                <w:snapToGrid/>
                <w:color w:val="auto"/>
                <w:kern w:val="2"/>
                <w:sz w:val="24"/>
                <w:szCs w:val="24"/>
                <w:lang w:val="en-US" w:eastAsia="zh-CN"/>
              </w:rPr>
              <w:t>P指颗粒物产生量（单位：吨）；</w:t>
            </w:r>
          </w:p>
          <w:p w14:paraId="429F7532">
            <w:pPr>
              <w:widowControl w:val="0"/>
              <w:kinsoku/>
              <w:autoSpaceDE/>
              <w:autoSpaceDN/>
              <w:adjustRightInd/>
              <w:snapToGrid/>
              <w:spacing w:line="360" w:lineRule="auto"/>
              <w:ind w:firstLine="1200" w:firstLineChars="500"/>
              <w:jc w:val="both"/>
              <w:textAlignment w:val="auto"/>
              <w:rPr>
                <w:rFonts w:hint="eastAsia" w:eastAsia="宋体" w:cs="Times New Roman"/>
                <w:snapToGrid/>
                <w:color w:val="auto"/>
                <w:kern w:val="2"/>
                <w:sz w:val="24"/>
                <w:szCs w:val="24"/>
                <w:lang w:val="en-US" w:eastAsia="zh-CN"/>
              </w:rPr>
            </w:pPr>
            <w:r>
              <w:rPr>
                <w:rFonts w:hint="eastAsia" w:eastAsia="宋体" w:cs="Times New Roman"/>
                <w:snapToGrid/>
                <w:color w:val="auto"/>
                <w:kern w:val="2"/>
                <w:sz w:val="24"/>
                <w:szCs w:val="24"/>
                <w:lang w:val="en-US" w:eastAsia="zh-CN"/>
              </w:rPr>
              <w:t>ZC</w:t>
            </w:r>
            <w:r>
              <w:rPr>
                <w:rFonts w:hint="eastAsia" w:eastAsia="宋体" w:cs="Times New Roman"/>
                <w:snapToGrid/>
                <w:color w:val="auto"/>
                <w:kern w:val="2"/>
                <w:sz w:val="24"/>
                <w:szCs w:val="24"/>
                <w:vertAlign w:val="subscript"/>
                <w:lang w:val="en-US" w:eastAsia="zh-CN"/>
              </w:rPr>
              <w:t>y</w:t>
            </w:r>
            <w:r>
              <w:rPr>
                <w:rFonts w:hint="eastAsia" w:eastAsia="宋体" w:cs="Times New Roman"/>
                <w:snapToGrid/>
                <w:color w:val="auto"/>
                <w:kern w:val="2"/>
                <w:sz w:val="24"/>
                <w:szCs w:val="24"/>
                <w:lang w:val="en-US" w:eastAsia="zh-CN"/>
              </w:rPr>
              <w:t>指装卸场扬尘产生量（单位：吨）；</w:t>
            </w:r>
          </w:p>
          <w:p w14:paraId="2C3D5514">
            <w:pPr>
              <w:widowControl w:val="0"/>
              <w:kinsoku/>
              <w:autoSpaceDE/>
              <w:autoSpaceDN/>
              <w:adjustRightInd/>
              <w:snapToGrid/>
              <w:spacing w:line="360" w:lineRule="auto"/>
              <w:ind w:firstLine="1200" w:firstLineChars="500"/>
              <w:jc w:val="both"/>
              <w:textAlignment w:val="auto"/>
              <w:rPr>
                <w:rFonts w:hint="default" w:eastAsia="宋体" w:cs="Times New Roman"/>
                <w:snapToGrid/>
                <w:color w:val="auto"/>
                <w:kern w:val="2"/>
                <w:sz w:val="24"/>
                <w:szCs w:val="24"/>
                <w:lang w:val="en-US" w:eastAsia="zh-CN"/>
              </w:rPr>
            </w:pPr>
            <w:r>
              <w:rPr>
                <w:rFonts w:hint="eastAsia" w:eastAsia="宋体" w:cs="Times New Roman"/>
                <w:snapToGrid/>
                <w:color w:val="auto"/>
                <w:kern w:val="2"/>
                <w:sz w:val="24"/>
                <w:szCs w:val="24"/>
                <w:lang w:val="en-US" w:eastAsia="zh-CN"/>
              </w:rPr>
              <w:t>FC</w:t>
            </w:r>
            <w:r>
              <w:rPr>
                <w:rFonts w:hint="eastAsia" w:eastAsia="宋体" w:cs="Times New Roman"/>
                <w:snapToGrid/>
                <w:color w:val="auto"/>
                <w:kern w:val="2"/>
                <w:sz w:val="24"/>
                <w:szCs w:val="24"/>
                <w:vertAlign w:val="subscript"/>
                <w:lang w:val="en-US" w:eastAsia="zh-CN"/>
              </w:rPr>
              <w:t>y</w:t>
            </w:r>
            <w:r>
              <w:rPr>
                <w:rFonts w:hint="eastAsia" w:eastAsia="宋体" w:cs="Times New Roman"/>
                <w:snapToGrid/>
                <w:color w:val="auto"/>
                <w:kern w:val="2"/>
                <w:sz w:val="24"/>
                <w:szCs w:val="24"/>
                <w:lang w:val="en-US" w:eastAsia="zh-CN"/>
              </w:rPr>
              <w:t>指风蚀场扬尘产生量（单位：吨）</w:t>
            </w:r>
            <w:r>
              <w:rPr>
                <w:rFonts w:hint="eastAsia" w:cs="Times New Roman"/>
                <w:snapToGrid/>
                <w:color w:val="auto"/>
                <w:kern w:val="2"/>
                <w:sz w:val="24"/>
                <w:szCs w:val="24"/>
                <w:lang w:val="en-US" w:eastAsia="zh-CN"/>
              </w:rPr>
              <w:t>，</w:t>
            </w:r>
            <w:r>
              <w:rPr>
                <w:rFonts w:hint="eastAsia" w:ascii="Times New Roman" w:hAnsi="Times New Roman" w:cs="Times New Roman"/>
                <w:caps w:val="0"/>
                <w:color w:val="auto"/>
                <w:sz w:val="24"/>
                <w:szCs w:val="24"/>
                <w:lang w:val="en-US" w:eastAsia="zh-CN"/>
              </w:rPr>
              <w:t>原料均堆放于封闭厂房内</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cs="Times New Roman"/>
                <w:color w:val="auto"/>
                <w:sz w:val="24"/>
                <w:szCs w:val="24"/>
                <w:lang w:eastAsia="zh-CN"/>
              </w:rPr>
              <w:t>，</w:t>
            </w:r>
            <w:r>
              <w:rPr>
                <w:rFonts w:hint="eastAsia" w:ascii="Times New Roman" w:hAnsi="Times New Roman" w:cs="Times New Roman"/>
                <w:caps w:val="0"/>
                <w:color w:val="auto"/>
                <w:sz w:val="24"/>
                <w:szCs w:val="24"/>
                <w:lang w:val="en-US" w:eastAsia="zh-CN"/>
              </w:rPr>
              <w:t>内部空气流动较慢，几乎不造成风蚀扬尘，取0</w:t>
            </w:r>
            <w:r>
              <w:rPr>
                <w:rFonts w:hint="eastAsia" w:eastAsia="宋体" w:cs="Times New Roman"/>
                <w:snapToGrid/>
                <w:color w:val="auto"/>
                <w:kern w:val="2"/>
                <w:sz w:val="24"/>
                <w:szCs w:val="24"/>
                <w:lang w:val="en-US" w:eastAsia="zh-CN"/>
              </w:rPr>
              <w:t>；</w:t>
            </w:r>
          </w:p>
          <w:p w14:paraId="14655174">
            <w:pPr>
              <w:widowControl w:val="0"/>
              <w:kinsoku/>
              <w:autoSpaceDE/>
              <w:autoSpaceDN/>
              <w:adjustRightInd/>
              <w:snapToGrid/>
              <w:spacing w:line="360" w:lineRule="auto"/>
              <w:ind w:firstLine="1200" w:firstLineChars="500"/>
              <w:jc w:val="both"/>
              <w:textAlignment w:val="auto"/>
              <w:rPr>
                <w:rFonts w:eastAsia="宋体" w:cs="Times New Roman"/>
                <w:snapToGrid/>
                <w:color w:val="auto"/>
                <w:kern w:val="2"/>
                <w:sz w:val="24"/>
                <w:szCs w:val="24"/>
                <w:lang w:eastAsia="zh-CN"/>
              </w:rPr>
            </w:pPr>
            <w:r>
              <w:rPr>
                <w:rFonts w:eastAsia="宋体" w:cs="Times New Roman"/>
                <w:snapToGrid/>
                <w:color w:val="auto"/>
                <w:kern w:val="2"/>
                <w:sz w:val="24"/>
                <w:szCs w:val="24"/>
                <w:lang w:eastAsia="zh-CN"/>
              </w:rPr>
              <w:t>N</w:t>
            </w:r>
            <w:r>
              <w:rPr>
                <w:rFonts w:eastAsia="宋体" w:cs="Times New Roman"/>
                <w:snapToGrid/>
                <w:color w:val="auto"/>
                <w:kern w:val="2"/>
                <w:sz w:val="24"/>
                <w:szCs w:val="24"/>
                <w:vertAlign w:val="subscript"/>
                <w:lang w:eastAsia="zh-CN"/>
              </w:rPr>
              <w:t>c</w:t>
            </w:r>
            <w:r>
              <w:rPr>
                <w:rFonts w:eastAsia="宋体" w:cs="Times New Roman"/>
                <w:snapToGrid/>
                <w:color w:val="auto"/>
                <w:kern w:val="2"/>
                <w:sz w:val="24"/>
                <w:szCs w:val="24"/>
                <w:lang w:eastAsia="zh-CN"/>
              </w:rPr>
              <w:t>指年物料运载车次（单位：车）</w:t>
            </w:r>
            <w:r>
              <w:rPr>
                <w:rFonts w:hint="eastAsia" w:cs="Times New Roman"/>
                <w:snapToGrid/>
                <w:color w:val="auto"/>
                <w:kern w:val="2"/>
                <w:sz w:val="24"/>
                <w:szCs w:val="24"/>
                <w:lang w:eastAsia="zh-CN"/>
              </w:rPr>
              <w:t>，</w:t>
            </w:r>
            <w:r>
              <w:rPr>
                <w:rFonts w:hint="eastAsia" w:ascii="Times New Roman" w:hAnsi="Times New Roman" w:eastAsia="宋体" w:cs="Times New Roman"/>
                <w:snapToGrid/>
                <w:color w:val="auto"/>
                <w:kern w:val="2"/>
                <w:sz w:val="24"/>
                <w:szCs w:val="24"/>
                <w:lang w:val="en-US" w:eastAsia="zh-CN"/>
              </w:rPr>
              <w:t>改性磷石膏</w:t>
            </w:r>
            <w:r>
              <w:rPr>
                <w:rFonts w:hint="eastAsia" w:ascii="Times New Roman" w:hAnsi="Times New Roman" w:cs="Times New Roman"/>
                <w:snapToGrid/>
                <w:color w:val="auto"/>
                <w:kern w:val="2"/>
                <w:sz w:val="24"/>
                <w:szCs w:val="24"/>
                <w:lang w:val="en-US" w:eastAsia="zh-CN"/>
              </w:rPr>
              <w:t>2000次，砂石骨料6000次，</w:t>
            </w:r>
            <w:r>
              <w:rPr>
                <w:rFonts w:hint="eastAsia" w:cs="Times New Roman"/>
                <w:snapToGrid/>
                <w:color w:val="auto"/>
                <w:kern w:val="2"/>
                <w:sz w:val="24"/>
                <w:szCs w:val="24"/>
                <w:lang w:val="en-US" w:eastAsia="zh-CN"/>
              </w:rPr>
              <w:t>共计</w:t>
            </w:r>
            <w:r>
              <w:rPr>
                <w:rFonts w:hint="eastAsia" w:cs="Times New Roman"/>
                <w:color w:val="auto"/>
                <w:sz w:val="24"/>
                <w:szCs w:val="24"/>
                <w:lang w:val="en-US" w:eastAsia="zh-CN"/>
              </w:rPr>
              <w:t>8</w:t>
            </w:r>
            <w:r>
              <w:rPr>
                <w:rFonts w:hint="eastAsia" w:ascii="Times New Roman" w:hAnsi="Times New Roman" w:eastAsia="宋体" w:cs="Times New Roman"/>
                <w:color w:val="auto"/>
                <w:sz w:val="24"/>
                <w:szCs w:val="24"/>
                <w:lang w:eastAsia="zh-CN"/>
              </w:rPr>
              <w:t>000次</w:t>
            </w:r>
            <w:r>
              <w:rPr>
                <w:rFonts w:eastAsia="宋体" w:cs="Times New Roman"/>
                <w:snapToGrid/>
                <w:color w:val="auto"/>
                <w:kern w:val="2"/>
                <w:sz w:val="24"/>
                <w:szCs w:val="24"/>
                <w:lang w:eastAsia="zh-CN"/>
              </w:rPr>
              <w:t>；</w:t>
            </w:r>
          </w:p>
          <w:p w14:paraId="06CC0F68">
            <w:pPr>
              <w:widowControl w:val="0"/>
              <w:kinsoku/>
              <w:autoSpaceDE/>
              <w:autoSpaceDN/>
              <w:adjustRightInd/>
              <w:snapToGrid/>
              <w:spacing w:line="360" w:lineRule="auto"/>
              <w:ind w:firstLine="1200" w:firstLineChars="500"/>
              <w:jc w:val="both"/>
              <w:textAlignment w:val="auto"/>
              <w:rPr>
                <w:rFonts w:eastAsia="宋体" w:cs="Times New Roman"/>
                <w:snapToGrid/>
                <w:color w:val="auto"/>
                <w:kern w:val="2"/>
                <w:sz w:val="24"/>
                <w:szCs w:val="24"/>
                <w:lang w:eastAsia="zh-CN"/>
              </w:rPr>
            </w:pPr>
            <w:r>
              <w:rPr>
                <w:rFonts w:eastAsia="宋体" w:cs="Times New Roman"/>
                <w:snapToGrid/>
                <w:color w:val="auto"/>
                <w:kern w:val="2"/>
                <w:sz w:val="24"/>
                <w:szCs w:val="24"/>
                <w:lang w:eastAsia="zh-CN"/>
              </w:rPr>
              <w:t>D指单车平均运载量（单位：吨/车）</w:t>
            </w:r>
            <w:r>
              <w:rPr>
                <w:rFonts w:hint="eastAsia" w:eastAsia="宋体" w:cs="Times New Roman"/>
                <w:snapToGrid/>
                <w:color w:val="auto"/>
                <w:kern w:val="2"/>
                <w:sz w:val="24"/>
                <w:szCs w:val="24"/>
                <w:lang w:eastAsia="zh-CN"/>
              </w:rPr>
              <w:t>，</w:t>
            </w:r>
            <w:r>
              <w:rPr>
                <w:rFonts w:hint="eastAsia" w:eastAsia="宋体" w:cs="Times New Roman"/>
                <w:snapToGrid/>
                <w:color w:val="auto"/>
                <w:kern w:val="2"/>
                <w:sz w:val="24"/>
                <w:szCs w:val="24"/>
                <w:lang w:val="en-US" w:eastAsia="zh-CN"/>
              </w:rPr>
              <w:t>取10t/次</w:t>
            </w:r>
            <w:r>
              <w:rPr>
                <w:rFonts w:eastAsia="宋体" w:cs="Times New Roman"/>
                <w:snapToGrid/>
                <w:color w:val="auto"/>
                <w:kern w:val="2"/>
                <w:sz w:val="24"/>
                <w:szCs w:val="24"/>
                <w:lang w:eastAsia="zh-CN"/>
              </w:rPr>
              <w:t>；</w:t>
            </w:r>
          </w:p>
          <w:p w14:paraId="5627CE3F">
            <w:pPr>
              <w:widowControl w:val="0"/>
              <w:kinsoku/>
              <w:autoSpaceDE/>
              <w:autoSpaceDN/>
              <w:adjustRightInd/>
              <w:snapToGrid/>
              <w:spacing w:line="360" w:lineRule="auto"/>
              <w:ind w:firstLine="1200" w:firstLineChars="500"/>
              <w:jc w:val="both"/>
              <w:textAlignment w:val="auto"/>
              <w:rPr>
                <w:rFonts w:hint="default" w:ascii="Times New Roman" w:hAnsi="Times New Roman" w:eastAsia="宋体" w:cs="Times New Roman"/>
                <w:snapToGrid/>
                <w:color w:val="auto"/>
                <w:kern w:val="2"/>
                <w:sz w:val="24"/>
                <w:szCs w:val="24"/>
                <w:lang w:val="en-US" w:eastAsia="zh-CN"/>
              </w:rPr>
            </w:pPr>
            <w:r>
              <w:rPr>
                <w:rFonts w:ascii="Times New Roman" w:hAnsi="Times New Roman" w:eastAsia="宋体" w:cs="Times New Roman"/>
                <w:snapToGrid/>
                <w:color w:val="auto"/>
                <w:kern w:val="2"/>
                <w:sz w:val="24"/>
                <w:szCs w:val="24"/>
                <w:lang w:eastAsia="zh-CN"/>
              </w:rPr>
              <w:t>(a/b)指装卸扬尘概化系数（单位：千克/吨），a指各省风速概化系数，云南省取0.0009；b指物料含水率概化系数，</w:t>
            </w:r>
            <w:r>
              <w:rPr>
                <w:rFonts w:hint="eastAsia" w:ascii="Times New Roman" w:hAnsi="Times New Roman" w:eastAsia="宋体" w:cs="Times New Roman"/>
                <w:snapToGrid/>
                <w:color w:val="auto"/>
                <w:kern w:val="2"/>
                <w:sz w:val="24"/>
                <w:szCs w:val="24"/>
                <w:lang w:val="en-US" w:eastAsia="zh-CN"/>
              </w:rPr>
              <w:t>改性磷石膏含水率约为10.</w:t>
            </w:r>
            <w:r>
              <w:rPr>
                <w:rFonts w:hint="eastAsia" w:ascii="Times New Roman" w:hAnsi="Times New Roman" w:cs="Times New Roman"/>
                <w:snapToGrid/>
                <w:color w:val="auto"/>
                <w:kern w:val="2"/>
                <w:sz w:val="24"/>
                <w:szCs w:val="24"/>
                <w:lang w:val="en-US" w:eastAsia="zh-CN"/>
              </w:rPr>
              <w:t>58</w:t>
            </w:r>
            <w:r>
              <w:rPr>
                <w:rFonts w:hint="eastAsia" w:ascii="Times New Roman" w:hAnsi="Times New Roman" w:eastAsia="宋体" w:cs="Times New Roman"/>
                <w:snapToGrid/>
                <w:color w:val="auto"/>
                <w:kern w:val="2"/>
                <w:sz w:val="24"/>
                <w:szCs w:val="24"/>
                <w:lang w:val="en-US" w:eastAsia="zh-CN"/>
              </w:rPr>
              <w:t>%</w:t>
            </w:r>
            <w:r>
              <w:rPr>
                <w:rFonts w:hint="eastAsia" w:ascii="Times New Roman" w:hAnsi="Times New Roman" w:eastAsia="宋体" w:cs="Times New Roman"/>
                <w:snapToGrid/>
                <w:color w:val="auto"/>
                <w:kern w:val="2"/>
                <w:sz w:val="24"/>
                <w:szCs w:val="24"/>
                <w:lang w:eastAsia="zh-CN"/>
              </w:rPr>
              <w:t>，</w:t>
            </w:r>
            <w:r>
              <w:rPr>
                <w:rFonts w:hint="eastAsia" w:ascii="Times New Roman" w:hAnsi="Times New Roman" w:cs="Times New Roman"/>
                <w:snapToGrid/>
                <w:color w:val="auto"/>
                <w:kern w:val="2"/>
                <w:sz w:val="24"/>
                <w:szCs w:val="24"/>
                <w:lang w:val="en-US" w:eastAsia="zh-CN"/>
              </w:rPr>
              <w:t>砂石骨料</w:t>
            </w:r>
            <w:r>
              <w:rPr>
                <w:rFonts w:ascii="Times New Roman" w:hAnsi="Times New Roman" w:eastAsia="宋体" w:cs="Times New Roman"/>
                <w:snapToGrid/>
                <w:color w:val="auto"/>
                <w:kern w:val="2"/>
                <w:sz w:val="24"/>
                <w:szCs w:val="24"/>
                <w:lang w:eastAsia="zh-CN"/>
              </w:rPr>
              <w:t>含水率约为</w:t>
            </w:r>
            <w:r>
              <w:rPr>
                <w:rFonts w:hint="eastAsia" w:ascii="Times New Roman" w:hAnsi="Times New Roman" w:eastAsia="宋体" w:cs="Times New Roman"/>
                <w:snapToGrid/>
                <w:color w:val="auto"/>
                <w:kern w:val="2"/>
                <w:sz w:val="24"/>
                <w:szCs w:val="24"/>
                <w:lang w:val="en-US" w:eastAsia="zh-CN"/>
              </w:rPr>
              <w:t>2.1</w:t>
            </w:r>
            <w:r>
              <w:rPr>
                <w:rFonts w:ascii="Times New Roman" w:hAnsi="Times New Roman" w:eastAsia="宋体" w:cs="Times New Roman"/>
                <w:snapToGrid/>
                <w:color w:val="auto"/>
                <w:kern w:val="2"/>
                <w:sz w:val="24"/>
                <w:szCs w:val="24"/>
                <w:lang w:eastAsia="zh-CN"/>
              </w:rPr>
              <w:t>%，分别取</w:t>
            </w:r>
            <w:r>
              <w:rPr>
                <w:rFonts w:hint="eastAsia" w:ascii="Times New Roman" w:hAnsi="Times New Roman" w:eastAsia="宋体" w:cs="Times New Roman"/>
                <w:snapToGrid/>
                <w:color w:val="auto"/>
                <w:kern w:val="2"/>
                <w:sz w:val="24"/>
                <w:szCs w:val="24"/>
                <w:lang w:val="en-US" w:eastAsia="zh-CN"/>
              </w:rPr>
              <w:t>改性磷石膏</w:t>
            </w:r>
            <w:r>
              <w:rPr>
                <w:rFonts w:hint="eastAsia" w:ascii="Times New Roman" w:hAnsi="Times New Roman" w:eastAsia="宋体" w:cs="Times New Roman"/>
                <w:snapToGrid/>
                <w:color w:val="auto"/>
                <w:kern w:val="2"/>
                <w:sz w:val="24"/>
                <w:szCs w:val="24"/>
                <w:lang w:eastAsia="zh-CN"/>
              </w:rPr>
              <w:t>0.0151、</w:t>
            </w:r>
            <w:r>
              <w:rPr>
                <w:rFonts w:hint="eastAsia" w:ascii="Times New Roman" w:hAnsi="Times New Roman" w:cs="Times New Roman"/>
                <w:snapToGrid/>
                <w:color w:val="auto"/>
                <w:kern w:val="2"/>
                <w:sz w:val="24"/>
                <w:szCs w:val="24"/>
                <w:lang w:val="en-US" w:eastAsia="zh-CN"/>
              </w:rPr>
              <w:t>砂石骨料</w:t>
            </w:r>
            <w:r>
              <w:rPr>
                <w:rFonts w:ascii="Times New Roman" w:hAnsi="Times New Roman" w:eastAsia="宋体" w:cs="Times New Roman"/>
                <w:snapToGrid/>
                <w:color w:val="auto"/>
                <w:kern w:val="2"/>
                <w:sz w:val="24"/>
                <w:szCs w:val="24"/>
                <w:lang w:eastAsia="zh-CN"/>
              </w:rPr>
              <w:t>0.0</w:t>
            </w:r>
            <w:r>
              <w:rPr>
                <w:rFonts w:hint="eastAsia" w:ascii="Times New Roman" w:hAnsi="Times New Roman" w:eastAsia="宋体" w:cs="Times New Roman"/>
                <w:snapToGrid/>
                <w:color w:val="auto"/>
                <w:kern w:val="2"/>
                <w:sz w:val="24"/>
                <w:szCs w:val="24"/>
                <w:lang w:val="en-US" w:eastAsia="zh-CN"/>
              </w:rPr>
              <w:t>017</w:t>
            </w:r>
            <w:r>
              <w:rPr>
                <w:rFonts w:hint="eastAsia" w:ascii="Times New Roman" w:hAnsi="Times New Roman" w:eastAsia="宋体" w:cs="Times New Roman"/>
                <w:snapToGrid/>
                <w:color w:val="auto"/>
                <w:kern w:val="2"/>
                <w:sz w:val="24"/>
                <w:szCs w:val="24"/>
                <w:lang w:eastAsia="zh-CN"/>
              </w:rPr>
              <w:t>。</w:t>
            </w:r>
          </w:p>
          <w:p w14:paraId="39C68D48">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bCs/>
                <w:snapToGrid/>
                <w:color w:val="auto"/>
                <w:kern w:val="2"/>
                <w:sz w:val="24"/>
                <w:szCs w:val="24"/>
                <w:lang w:eastAsia="zh-CN"/>
              </w:rPr>
            </w:pPr>
            <w:r>
              <w:rPr>
                <w:rFonts w:hint="eastAsia" w:ascii="Times New Roman" w:hAnsi="Times New Roman" w:eastAsia="宋体" w:cs="Times New Roman"/>
                <w:color w:val="auto"/>
                <w:sz w:val="24"/>
                <w:szCs w:val="24"/>
                <w:lang w:eastAsia="zh-CN"/>
              </w:rPr>
              <w:t>根据以上公式计算，</w:t>
            </w:r>
            <w:r>
              <w:rPr>
                <w:rFonts w:hint="eastAsia" w:eastAsia="宋体" w:cs="Times New Roman"/>
                <w:color w:val="auto"/>
                <w:sz w:val="24"/>
                <w:szCs w:val="24"/>
                <w:lang w:val="en-US" w:eastAsia="zh-CN"/>
              </w:rPr>
              <w:t>本项目</w:t>
            </w:r>
            <w:r>
              <w:rPr>
                <w:rFonts w:hint="eastAsia" w:cs="Times New Roman"/>
                <w:color w:val="auto"/>
                <w:sz w:val="24"/>
                <w:szCs w:val="24"/>
                <w:lang w:val="en-US" w:eastAsia="zh-CN"/>
              </w:rPr>
              <w:t>堆场</w:t>
            </w:r>
            <w:r>
              <w:rPr>
                <w:rFonts w:hint="eastAsia" w:eastAsia="宋体" w:cs="Times New Roman"/>
                <w:color w:val="auto"/>
                <w:sz w:val="24"/>
                <w:szCs w:val="24"/>
                <w:lang w:val="en-US" w:eastAsia="zh-CN"/>
              </w:rPr>
              <w:t>扬尘产生</w:t>
            </w:r>
            <w:r>
              <w:rPr>
                <w:rFonts w:hint="default" w:ascii="Times New Roman" w:hAnsi="Times New Roman" w:eastAsia="宋体" w:cs="Times New Roman"/>
                <w:color w:val="auto"/>
                <w:sz w:val="24"/>
                <w:szCs w:val="24"/>
              </w:rPr>
              <w:t>量为</w:t>
            </w:r>
            <w:r>
              <w:rPr>
                <w:rFonts w:hint="eastAsia" w:cs="Times New Roman"/>
                <w:color w:val="auto"/>
                <w:sz w:val="24"/>
                <w:szCs w:val="24"/>
                <w:lang w:val="en-US" w:eastAsia="zh-CN"/>
              </w:rPr>
              <w:t>32.96</w:t>
            </w:r>
            <w:r>
              <w:rPr>
                <w:rFonts w:hint="eastAsia" w:eastAsia="宋体" w:cs="Times New Roman"/>
                <w:color w:val="auto"/>
                <w:sz w:val="24"/>
                <w:szCs w:val="24"/>
                <w:lang w:val="en-US" w:eastAsia="zh-CN"/>
              </w:rPr>
              <w:t>t/a</w:t>
            </w:r>
            <w:r>
              <w:rPr>
                <w:rFonts w:hint="default" w:ascii="Times New Roman" w:hAnsi="Times New Roman" w:eastAsia="宋体" w:cs="Times New Roman"/>
                <w:color w:val="auto"/>
                <w:sz w:val="24"/>
                <w:szCs w:val="24"/>
              </w:rPr>
              <w:t>。</w:t>
            </w:r>
            <w:r>
              <w:rPr>
                <w:rFonts w:hint="eastAsia" w:ascii="Times New Roman" w:hAnsi="Times New Roman" w:eastAsia="宋体" w:cs="Times New Roman"/>
                <w:caps w:val="0"/>
                <w:color w:val="auto"/>
                <w:sz w:val="24"/>
              </w:rPr>
              <w:t>排放时间以</w:t>
            </w:r>
            <w:r>
              <w:rPr>
                <w:rFonts w:hint="eastAsia" w:ascii="Times New Roman" w:hAnsi="Times New Roman" w:eastAsia="宋体" w:cs="Times New Roman"/>
                <w:caps w:val="0"/>
                <w:color w:val="auto"/>
                <w:sz w:val="24"/>
                <w:lang w:val="en-US" w:eastAsia="zh-CN"/>
              </w:rPr>
              <w:t>2400</w:t>
            </w:r>
            <w:r>
              <w:rPr>
                <w:rFonts w:hint="eastAsia" w:ascii="Times New Roman" w:hAnsi="Times New Roman" w:eastAsia="宋体" w:cs="Times New Roman"/>
                <w:caps w:val="0"/>
                <w:color w:val="auto"/>
                <w:sz w:val="24"/>
              </w:rPr>
              <w:t>h计</w:t>
            </w:r>
            <w:r>
              <w:rPr>
                <w:rFonts w:hint="eastAsia" w:eastAsia="宋体" w:cs="Times New Roman"/>
                <w:color w:val="auto"/>
                <w:sz w:val="24"/>
                <w:szCs w:val="24"/>
                <w:lang w:eastAsia="zh-CN"/>
              </w:rPr>
              <w:t>，</w:t>
            </w:r>
            <w:r>
              <w:rPr>
                <w:rFonts w:hint="eastAsia" w:cs="Times New Roman"/>
                <w:color w:val="auto"/>
                <w:sz w:val="24"/>
                <w:szCs w:val="24"/>
                <w:lang w:val="en-US" w:eastAsia="zh-CN"/>
              </w:rPr>
              <w:t>堆场</w:t>
            </w:r>
            <w:r>
              <w:rPr>
                <w:rFonts w:hint="eastAsia" w:eastAsia="宋体" w:cs="Times New Roman"/>
                <w:color w:val="auto"/>
                <w:sz w:val="24"/>
                <w:szCs w:val="24"/>
                <w:lang w:val="en-US" w:eastAsia="zh-CN"/>
              </w:rPr>
              <w:t>扬尘</w:t>
            </w:r>
            <w:r>
              <w:rPr>
                <w:rFonts w:hint="eastAsia" w:ascii="Times New Roman" w:hAnsi="Times New Roman" w:eastAsia="宋体" w:cs="Times New Roman"/>
                <w:color w:val="auto"/>
                <w:sz w:val="24"/>
                <w:szCs w:val="24"/>
                <w:lang w:val="en-US" w:eastAsia="zh-CN"/>
              </w:rPr>
              <w:t>产生速率</w:t>
            </w:r>
            <w:r>
              <w:rPr>
                <w:rFonts w:hint="eastAsia" w:cs="Times New Roman"/>
                <w:color w:val="auto"/>
                <w:sz w:val="24"/>
                <w:szCs w:val="24"/>
                <w:lang w:val="en-US" w:eastAsia="zh-CN"/>
              </w:rPr>
              <w:t>1</w:t>
            </w:r>
            <w:r>
              <w:rPr>
                <w:rFonts w:hint="eastAsia" w:eastAsia="宋体" w:cs="Times New Roman"/>
                <w:color w:val="auto"/>
                <w:sz w:val="24"/>
                <w:szCs w:val="24"/>
                <w:lang w:val="en-US" w:eastAsia="zh-CN"/>
              </w:rPr>
              <w:t>3.</w:t>
            </w:r>
            <w:r>
              <w:rPr>
                <w:rFonts w:hint="eastAsia" w:cs="Times New Roman"/>
                <w:color w:val="auto"/>
                <w:sz w:val="24"/>
                <w:szCs w:val="24"/>
                <w:lang w:val="en-US" w:eastAsia="zh-CN"/>
              </w:rPr>
              <w:t>7</w:t>
            </w:r>
            <w:r>
              <w:rPr>
                <w:rFonts w:hint="eastAsia" w:eastAsia="宋体" w:cs="Times New Roman"/>
                <w:color w:val="auto"/>
                <w:sz w:val="24"/>
                <w:szCs w:val="24"/>
                <w:lang w:val="en-US" w:eastAsia="zh-CN"/>
              </w:rPr>
              <w:t>3</w:t>
            </w:r>
            <w:r>
              <w:rPr>
                <w:rFonts w:hint="eastAsia" w:ascii="Times New Roman" w:hAnsi="Times New Roman" w:eastAsia="宋体" w:cs="Times New Roman"/>
                <w:color w:val="auto"/>
                <w:sz w:val="24"/>
                <w:szCs w:val="24"/>
                <w:lang w:val="en-US" w:eastAsia="zh-CN"/>
              </w:rPr>
              <w:t>kg/h</w:t>
            </w:r>
            <w:r>
              <w:rPr>
                <w:rFonts w:hint="default" w:ascii="Times New Roman" w:hAnsi="Times New Roman" w:eastAsia="宋体" w:cs="Times New Roman"/>
                <w:color w:val="auto"/>
                <w:sz w:val="24"/>
                <w:szCs w:val="24"/>
              </w:rPr>
              <w:t>。</w:t>
            </w:r>
          </w:p>
          <w:p w14:paraId="0309DEEA">
            <w:pPr>
              <w:pStyle w:val="30"/>
              <w:kinsoku/>
              <w:overflowPunct w:val="0"/>
              <w:autoSpaceDE/>
              <w:autoSpaceDN/>
              <w:adjustRightInd/>
              <w:snapToGrid/>
              <w:spacing w:line="360" w:lineRule="auto"/>
              <w:ind w:firstLine="482"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b/>
                <w:bCs/>
                <w:color w:val="auto"/>
                <w:sz w:val="24"/>
                <w:szCs w:val="24"/>
                <w:lang w:eastAsia="zh-CN"/>
              </w:rPr>
              <w:t>排放：</w:t>
            </w:r>
            <w:r>
              <w:rPr>
                <w:rFonts w:hint="eastAsia" w:ascii="Times New Roman" w:hAnsi="Times New Roman" w:eastAsia="宋体" w:cs="Times New Roman"/>
                <w:color w:val="auto"/>
                <w:sz w:val="24"/>
                <w:szCs w:val="24"/>
                <w:lang w:eastAsia="zh-CN"/>
              </w:rPr>
              <w:t>原料堆场控制措施为厂房均建设为封闭厂房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，厂房出入口及顶棚出气口设置喷雾降尘设施，经以上措施</w:t>
            </w:r>
            <w:r>
              <w:rPr>
                <w:rFonts w:ascii="Times New Roman" w:hAnsi="Times New Roman" w:eastAsia="宋体" w:cs="Times New Roman"/>
                <w:color w:val="auto"/>
                <w:sz w:val="24"/>
                <w:szCs w:val="24"/>
                <w:lang w:eastAsia="zh-CN"/>
              </w:rPr>
              <w:t>控制</w:t>
            </w:r>
            <w:r>
              <w:rPr>
                <w:rFonts w:hint="eastAsia" w:ascii="Times New Roman" w:hAnsi="Times New Roman" w:eastAsia="宋体" w:cs="Times New Roman"/>
                <w:color w:val="auto"/>
                <w:sz w:val="24"/>
                <w:szCs w:val="24"/>
                <w:lang w:eastAsia="zh-CN"/>
              </w:rPr>
              <w:t>后无组织排放。</w:t>
            </w:r>
            <w:r>
              <w:rPr>
                <w:rFonts w:hint="eastAsia" w:cs="Times New Roman"/>
                <w:color w:val="auto"/>
                <w:sz w:val="24"/>
                <w:szCs w:val="24"/>
                <w:lang w:val="en-US" w:eastAsia="zh-CN"/>
              </w:rPr>
              <w:t>排放时间以项目生产时间2400h/a计。</w:t>
            </w:r>
          </w:p>
          <w:p w14:paraId="61BBC63A">
            <w:pPr>
              <w:pStyle w:val="30"/>
              <w:keepNext w:val="0"/>
              <w:keepLines w:val="0"/>
              <w:pageBreakBefore w:val="0"/>
              <w:wordWrap/>
              <w:overflowPunct/>
              <w:topLinePunct w:val="0"/>
              <w:bidi w:val="0"/>
              <w:snapToGrid/>
              <w:spacing w:line="360" w:lineRule="auto"/>
              <w:ind w:left="0" w:right="0" w:firstLine="480" w:firstLineChars="200"/>
              <w:jc w:val="both"/>
              <w:rPr>
                <w:rFonts w:eastAsia="宋体" w:cs="Times New Roman"/>
                <w:bCs/>
                <w:snapToGrid/>
                <w:color w:val="auto"/>
                <w:kern w:val="2"/>
                <w:sz w:val="24"/>
                <w:szCs w:val="24"/>
                <w:lang w:eastAsia="zh-CN"/>
              </w:rPr>
            </w:pPr>
            <w:r>
              <w:rPr>
                <w:rFonts w:hint="eastAsia" w:eastAsia="宋体" w:cs="Times New Roman"/>
                <w:bCs/>
                <w:snapToGrid/>
                <w:color w:val="auto"/>
                <w:kern w:val="2"/>
                <w:sz w:val="24"/>
                <w:szCs w:val="24"/>
                <w:lang w:val="en-US" w:eastAsia="zh-CN"/>
              </w:rPr>
              <w:t>堆场</w:t>
            </w:r>
            <w:r>
              <w:rPr>
                <w:rFonts w:hint="eastAsia" w:cs="Times New Roman"/>
                <w:bCs/>
                <w:snapToGrid/>
                <w:color w:val="auto"/>
                <w:kern w:val="2"/>
                <w:sz w:val="24"/>
                <w:szCs w:val="24"/>
                <w:lang w:val="en-US" w:eastAsia="zh-CN"/>
              </w:rPr>
              <w:t>扬</w:t>
            </w:r>
            <w:r>
              <w:rPr>
                <w:rFonts w:eastAsia="宋体" w:cs="Times New Roman"/>
                <w:bCs/>
                <w:snapToGrid/>
                <w:color w:val="auto"/>
                <w:kern w:val="2"/>
                <w:sz w:val="24"/>
                <w:szCs w:val="24"/>
                <w:lang w:eastAsia="zh-CN"/>
              </w:rPr>
              <w:t>尘</w:t>
            </w:r>
            <w:r>
              <w:rPr>
                <w:rFonts w:hint="eastAsia" w:eastAsia="宋体" w:cs="Times New Roman"/>
                <w:bCs/>
                <w:snapToGrid/>
                <w:color w:val="auto"/>
                <w:kern w:val="2"/>
                <w:sz w:val="24"/>
                <w:szCs w:val="24"/>
                <w:lang w:val="en-US" w:eastAsia="zh-CN"/>
              </w:rPr>
              <w:t>排放</w:t>
            </w:r>
            <w:r>
              <w:rPr>
                <w:rFonts w:eastAsia="宋体" w:cs="Times New Roman"/>
                <w:bCs/>
                <w:snapToGrid/>
                <w:color w:val="auto"/>
                <w:kern w:val="2"/>
                <w:sz w:val="24"/>
                <w:szCs w:val="24"/>
                <w:lang w:eastAsia="zh-CN"/>
              </w:rPr>
              <w:t>量参照《排放源统计调查产排污核算方法和系数手册》中《固体物料堆存颗粒物产排污核算系数手册》中</w:t>
            </w:r>
            <w:r>
              <w:rPr>
                <w:rFonts w:hint="eastAsia" w:eastAsia="宋体" w:cs="Times New Roman"/>
                <w:bCs/>
                <w:snapToGrid/>
                <w:color w:val="auto"/>
                <w:kern w:val="2"/>
                <w:sz w:val="24"/>
                <w:szCs w:val="24"/>
                <w:lang w:eastAsia="zh-CN"/>
              </w:rPr>
              <w:t>颗粒物排放量核算</w:t>
            </w:r>
            <w:r>
              <w:rPr>
                <w:rFonts w:hint="eastAsia" w:eastAsia="宋体" w:cs="Times New Roman"/>
                <w:bCs/>
                <w:snapToGrid/>
                <w:color w:val="auto"/>
                <w:kern w:val="2"/>
                <w:sz w:val="24"/>
                <w:szCs w:val="24"/>
                <w:lang w:val="en-US" w:eastAsia="zh-CN"/>
              </w:rPr>
              <w:t>公式</w:t>
            </w:r>
            <w:r>
              <w:rPr>
                <w:rFonts w:eastAsia="宋体" w:cs="Times New Roman"/>
                <w:bCs/>
                <w:snapToGrid/>
                <w:color w:val="auto"/>
                <w:kern w:val="2"/>
                <w:sz w:val="24"/>
                <w:szCs w:val="24"/>
                <w:lang w:eastAsia="zh-CN"/>
              </w:rPr>
              <w:t>进行计算：</w:t>
            </w:r>
          </w:p>
          <w:p w14:paraId="699B93CC">
            <w:pPr>
              <w:pStyle w:val="30"/>
              <w:keepNext w:val="0"/>
              <w:keepLines w:val="0"/>
              <w:pageBreakBefore w:val="0"/>
              <w:widowControl/>
              <w:kinsoku w:val="0"/>
              <w:wordWrap/>
              <w:overflowPunct/>
              <w:topLinePunct w:val="0"/>
              <w:autoSpaceDE w:val="0"/>
              <w:autoSpaceDN w:val="0"/>
              <w:bidi w:val="0"/>
              <w:adjustRightInd w:val="0"/>
              <w:snapToGrid/>
              <w:spacing w:line="360" w:lineRule="auto"/>
              <w:ind w:left="0" w:right="0" w:firstLine="0" w:firstLineChars="0"/>
              <w:jc w:val="center"/>
              <w:textAlignment w:val="baseline"/>
              <w:rPr>
                <w:rFonts w:hint="eastAsia" w:eastAsia="宋体" w:cs="Times New Roman"/>
                <w:bCs/>
                <w:snapToGrid/>
                <w:color w:val="auto"/>
                <w:kern w:val="2"/>
                <w:sz w:val="24"/>
                <w:szCs w:val="24"/>
                <w:lang w:eastAsia="zh-CN"/>
              </w:rPr>
            </w:pPr>
            <w:r>
              <w:rPr>
                <w:rFonts w:eastAsia="宋体" w:cs="Times New Roman"/>
                <w:snapToGrid/>
                <w:color w:val="auto"/>
                <w:kern w:val="2"/>
                <w:position w:val="-10"/>
                <w:sz w:val="24"/>
                <w:szCs w:val="24"/>
                <w:lang w:eastAsia="zh-CN"/>
              </w:rPr>
              <w:object>
                <v:shape id="_x0000_i1032" o:spt="75" type="#_x0000_t75" style="height:17.25pt;width:127pt;" o:ole="t" filled="f" o:preferrelative="t" stroked="f" coordsize="21600,21600">
                  <v:path/>
                  <v:fill on="f" focussize="0,0"/>
                  <v:stroke on="f"/>
                  <v:imagedata r:id="rId34" o:title=""/>
                  <o:lock v:ext="edit" aspectratio="t"/>
                  <w10:wrap type="none"/>
                  <w10:anchorlock/>
                </v:shape>
                <o:OLEObject Type="Embed" ProgID="Equation.KSEE3" ShapeID="_x0000_i1032" DrawAspect="Content" ObjectID="_1468075732" r:id="rId33">
                  <o:LockedField>false</o:LockedField>
                </o:OLEObject>
              </w:object>
            </w:r>
          </w:p>
          <w:p w14:paraId="774CE2BD">
            <w:pPr>
              <w:widowControl w:val="0"/>
              <w:kinsoku/>
              <w:autoSpaceDE/>
              <w:autoSpaceDN/>
              <w:adjustRightInd/>
              <w:snapToGrid/>
              <w:spacing w:line="360" w:lineRule="auto"/>
              <w:ind w:firstLine="480" w:firstLineChars="200"/>
              <w:jc w:val="both"/>
              <w:textAlignment w:val="auto"/>
              <w:rPr>
                <w:rFonts w:hint="default" w:eastAsia="宋体" w:cs="Times New Roman"/>
                <w:snapToGrid/>
                <w:color w:val="auto"/>
                <w:kern w:val="2"/>
                <w:sz w:val="24"/>
                <w:szCs w:val="24"/>
                <w:lang w:val="en-US" w:eastAsia="zh-CN"/>
              </w:rPr>
            </w:pPr>
            <w:r>
              <w:rPr>
                <w:rFonts w:eastAsia="宋体" w:cs="Times New Roman"/>
                <w:snapToGrid/>
                <w:color w:val="auto"/>
                <w:kern w:val="2"/>
                <w:sz w:val="24"/>
                <w:szCs w:val="24"/>
                <w:lang w:eastAsia="zh-CN"/>
              </w:rPr>
              <w:t>式中：</w:t>
            </w:r>
            <w:r>
              <w:rPr>
                <w:rFonts w:hint="eastAsia" w:eastAsia="宋体" w:cs="Times New Roman"/>
                <w:snapToGrid/>
                <w:color w:val="auto"/>
                <w:kern w:val="2"/>
                <w:sz w:val="24"/>
                <w:szCs w:val="24"/>
                <w:lang w:val="en-US" w:eastAsia="zh-CN"/>
              </w:rPr>
              <w:t>P指颗粒物产生量（单位：吨）；</w:t>
            </w:r>
          </w:p>
          <w:p w14:paraId="1D7D03EF">
            <w:pPr>
              <w:widowControl w:val="0"/>
              <w:kinsoku/>
              <w:autoSpaceDE/>
              <w:autoSpaceDN/>
              <w:adjustRightInd/>
              <w:snapToGrid/>
              <w:spacing w:line="360" w:lineRule="auto"/>
              <w:ind w:firstLine="1200" w:firstLineChars="500"/>
              <w:jc w:val="both"/>
              <w:textAlignment w:val="auto"/>
              <w:rPr>
                <w:rFonts w:hint="eastAsia" w:eastAsia="宋体" w:cs="Times New Roman"/>
                <w:snapToGrid/>
                <w:color w:val="auto"/>
                <w:kern w:val="2"/>
                <w:sz w:val="24"/>
                <w:szCs w:val="24"/>
                <w:lang w:val="en-US" w:eastAsia="zh-CN"/>
              </w:rPr>
            </w:pPr>
            <w:r>
              <w:rPr>
                <w:rFonts w:hint="eastAsia" w:eastAsia="宋体" w:cs="Times New Roman"/>
                <w:snapToGrid/>
                <w:color w:val="auto"/>
                <w:kern w:val="2"/>
                <w:sz w:val="24"/>
                <w:szCs w:val="24"/>
                <w:lang w:val="en-US" w:eastAsia="zh-CN"/>
              </w:rPr>
              <w:t>U</w:t>
            </w:r>
            <w:r>
              <w:rPr>
                <w:rFonts w:hint="eastAsia" w:eastAsia="宋体" w:cs="Times New Roman"/>
                <w:snapToGrid/>
                <w:color w:val="auto"/>
                <w:kern w:val="2"/>
                <w:sz w:val="24"/>
                <w:szCs w:val="24"/>
                <w:vertAlign w:val="subscript"/>
                <w:lang w:val="en-US" w:eastAsia="zh-CN"/>
              </w:rPr>
              <w:t>c</w:t>
            </w:r>
            <w:r>
              <w:rPr>
                <w:rFonts w:hint="eastAsia" w:eastAsia="宋体" w:cs="Times New Roman"/>
                <w:snapToGrid/>
                <w:color w:val="auto"/>
                <w:kern w:val="2"/>
                <w:sz w:val="24"/>
                <w:szCs w:val="24"/>
                <w:lang w:val="en-US" w:eastAsia="zh-CN"/>
              </w:rPr>
              <w:t>指颗粒物排放量（单位：吨）；</w:t>
            </w:r>
          </w:p>
          <w:p w14:paraId="2903B297">
            <w:pPr>
              <w:widowControl w:val="0"/>
              <w:kinsoku/>
              <w:autoSpaceDE/>
              <w:autoSpaceDN/>
              <w:adjustRightInd/>
              <w:snapToGrid/>
              <w:spacing w:line="360" w:lineRule="auto"/>
              <w:ind w:firstLine="1200" w:firstLineChars="500"/>
              <w:jc w:val="both"/>
              <w:textAlignment w:val="auto"/>
              <w:rPr>
                <w:rFonts w:hint="eastAsia" w:eastAsia="宋体" w:cs="Times New Roman"/>
                <w:snapToGrid/>
                <w:color w:val="auto"/>
                <w:kern w:val="2"/>
                <w:sz w:val="24"/>
                <w:szCs w:val="24"/>
                <w:lang w:val="en-US" w:eastAsia="zh-CN"/>
              </w:rPr>
            </w:pPr>
            <w:r>
              <w:rPr>
                <w:rFonts w:hint="eastAsia" w:eastAsia="宋体" w:cs="Times New Roman"/>
                <w:snapToGrid/>
                <w:color w:val="auto"/>
                <w:kern w:val="2"/>
                <w:sz w:val="24"/>
                <w:szCs w:val="24"/>
                <w:lang w:val="en-US" w:eastAsia="zh-CN"/>
              </w:rPr>
              <w:t>C</w:t>
            </w:r>
            <w:r>
              <w:rPr>
                <w:rFonts w:hint="eastAsia" w:eastAsia="宋体" w:cs="Times New Roman"/>
                <w:snapToGrid/>
                <w:color w:val="auto"/>
                <w:kern w:val="2"/>
                <w:sz w:val="24"/>
                <w:szCs w:val="24"/>
                <w:vertAlign w:val="subscript"/>
                <w:lang w:val="en-US" w:eastAsia="zh-CN"/>
              </w:rPr>
              <w:t>m</w:t>
            </w:r>
            <w:r>
              <w:rPr>
                <w:rFonts w:hint="eastAsia" w:eastAsia="宋体" w:cs="Times New Roman"/>
                <w:snapToGrid/>
                <w:color w:val="auto"/>
                <w:kern w:val="2"/>
                <w:sz w:val="24"/>
                <w:szCs w:val="24"/>
                <w:lang w:val="en-US" w:eastAsia="zh-CN"/>
              </w:rPr>
              <w:t>指颗粒物控制措施控制效率（单位：%），洒水74%；</w:t>
            </w:r>
          </w:p>
          <w:p w14:paraId="3348905E">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eastAsia="宋体" w:cs="Times New Roman"/>
                <w:snapToGrid/>
                <w:color w:val="auto"/>
                <w:kern w:val="2"/>
                <w:sz w:val="24"/>
                <w:szCs w:val="24"/>
                <w:lang w:val="en-US" w:eastAsia="zh-CN"/>
              </w:rPr>
              <w:t>T</w:t>
            </w:r>
            <w:r>
              <w:rPr>
                <w:rFonts w:hint="eastAsia" w:eastAsia="宋体" w:cs="Times New Roman"/>
                <w:snapToGrid/>
                <w:color w:val="auto"/>
                <w:kern w:val="2"/>
                <w:sz w:val="24"/>
                <w:szCs w:val="24"/>
                <w:vertAlign w:val="subscript"/>
                <w:lang w:val="en-US" w:eastAsia="zh-CN"/>
              </w:rPr>
              <w:t>m</w:t>
            </w:r>
            <w:r>
              <w:rPr>
                <w:rFonts w:hint="eastAsia" w:eastAsia="宋体" w:cs="Times New Roman"/>
                <w:snapToGrid/>
                <w:color w:val="auto"/>
                <w:kern w:val="2"/>
                <w:sz w:val="24"/>
                <w:szCs w:val="24"/>
                <w:lang w:val="en-US" w:eastAsia="zh-CN"/>
              </w:rPr>
              <w:t>指堆场类型控制效率（单位：%），半敞开式60%；</w:t>
            </w:r>
          </w:p>
          <w:p w14:paraId="693CBDF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喷雾降尘、厂房阻隔等措施叠加计算后，综合降尘效率为89.6%。根据以上公式计算，本项目</w:t>
            </w:r>
            <w:r>
              <w:rPr>
                <w:rFonts w:hint="eastAsia" w:cs="Times New Roman"/>
                <w:color w:val="auto"/>
                <w:sz w:val="24"/>
                <w:szCs w:val="24"/>
                <w:lang w:eastAsia="zh-CN"/>
              </w:rPr>
              <w:t>堆场扬尘</w:t>
            </w:r>
            <w:r>
              <w:rPr>
                <w:rFonts w:hint="eastAsia" w:ascii="Times New Roman" w:hAnsi="Times New Roman" w:eastAsia="宋体" w:cs="Times New Roman"/>
                <w:color w:val="auto"/>
                <w:sz w:val="24"/>
                <w:szCs w:val="24"/>
                <w:lang w:eastAsia="zh-CN"/>
              </w:rPr>
              <w:t>排放量为</w:t>
            </w:r>
            <w:r>
              <w:rPr>
                <w:rFonts w:hint="eastAsia" w:cs="Times New Roman"/>
                <w:color w:val="auto"/>
                <w:sz w:val="24"/>
                <w:szCs w:val="24"/>
                <w:lang w:val="en-US" w:eastAsia="zh-CN"/>
              </w:rPr>
              <w:t>3.43</w:t>
            </w:r>
            <w:r>
              <w:rPr>
                <w:rFonts w:hint="eastAsia" w:ascii="Times New Roman" w:hAnsi="Times New Roman" w:eastAsia="宋体" w:cs="Times New Roman"/>
                <w:color w:val="auto"/>
                <w:sz w:val="24"/>
                <w:szCs w:val="24"/>
                <w:lang w:eastAsia="zh-CN"/>
              </w:rPr>
              <w:t>t/a，排放速率为</w:t>
            </w:r>
            <w:r>
              <w:rPr>
                <w:rFonts w:hint="eastAsia" w:cs="Times New Roman"/>
                <w:color w:val="auto"/>
                <w:sz w:val="24"/>
                <w:szCs w:val="24"/>
                <w:lang w:val="en-US" w:eastAsia="zh-CN"/>
              </w:rPr>
              <w:t>1.43</w:t>
            </w:r>
            <w:r>
              <w:rPr>
                <w:rFonts w:hint="eastAsia" w:ascii="Times New Roman" w:hAnsi="Times New Roman" w:eastAsia="宋体" w:cs="Times New Roman"/>
                <w:color w:val="auto"/>
                <w:sz w:val="24"/>
                <w:szCs w:val="24"/>
                <w:lang w:eastAsia="zh-CN"/>
              </w:rPr>
              <w:t>kg/h</w:t>
            </w:r>
            <w:r>
              <w:rPr>
                <w:rFonts w:ascii="Times New Roman" w:hAnsi="Times New Roman" w:eastAsia="宋体" w:cs="Times New Roman"/>
                <w:color w:val="auto"/>
                <w:sz w:val="24"/>
                <w:szCs w:val="24"/>
                <w:lang w:eastAsia="zh-CN"/>
              </w:rPr>
              <w:t>。</w:t>
            </w:r>
          </w:p>
          <w:p w14:paraId="5A4FA62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筒仓粉尘</w:t>
            </w:r>
          </w:p>
          <w:p w14:paraId="3CA644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本项目粉煤灰使用量为20000t/a，使用</w:t>
            </w:r>
            <w:r>
              <w:rPr>
                <w:rFonts w:hint="eastAsia" w:ascii="Times New Roman" w:hAnsi="Times New Roman" w:eastAsia="宋体" w:cs="Times New Roman"/>
                <w:color w:val="auto"/>
                <w:sz w:val="24"/>
                <w:szCs w:val="24"/>
                <w:lang w:val="en-US" w:eastAsia="zh-CN"/>
              </w:rPr>
              <w:t>20t</w:t>
            </w:r>
            <w:r>
              <w:rPr>
                <w:rFonts w:hint="eastAsia" w:ascii="Times New Roman" w:hAnsi="Times New Roman" w:eastAsia="宋体" w:cs="Times New Roman"/>
                <w:color w:val="auto"/>
                <w:sz w:val="24"/>
                <w:szCs w:val="24"/>
                <w:lang w:eastAsia="zh-CN"/>
              </w:rPr>
              <w:t>筒仓储存，</w:t>
            </w:r>
            <w:r>
              <w:rPr>
                <w:rFonts w:ascii="Times New Roman" w:hAnsi="Times New Roman" w:eastAsia="宋体" w:cs="Times New Roman"/>
                <w:color w:val="auto"/>
                <w:sz w:val="24"/>
                <w:szCs w:val="24"/>
                <w:lang w:eastAsia="zh-CN"/>
              </w:rPr>
              <w:t>进料时，筒仓顶部卸压口需打开泄压，进料期间会产生粉尘从卸压口逸散，</w:t>
            </w:r>
            <w:r>
              <w:rPr>
                <w:rFonts w:hint="eastAsia" w:ascii="Times New Roman" w:hAnsi="Times New Roman" w:eastAsia="宋体" w:cs="Times New Roman"/>
                <w:color w:val="auto"/>
                <w:sz w:val="24"/>
                <w:szCs w:val="24"/>
                <w:lang w:eastAsia="zh-CN"/>
              </w:rPr>
              <w:t>通过</w:t>
            </w:r>
            <w:r>
              <w:rPr>
                <w:rFonts w:ascii="Times New Roman" w:hAnsi="Times New Roman" w:eastAsia="宋体" w:cs="Times New Roman"/>
                <w:color w:val="auto"/>
                <w:sz w:val="24"/>
                <w:szCs w:val="24"/>
                <w:lang w:eastAsia="zh-CN"/>
              </w:rPr>
              <w:t>筒仓仓顶</w:t>
            </w:r>
            <w:r>
              <w:rPr>
                <w:rFonts w:hint="eastAsia" w:ascii="Times New Roman" w:hAnsi="Times New Roman" w:eastAsia="宋体" w:cs="Times New Roman"/>
                <w:color w:val="auto"/>
                <w:sz w:val="24"/>
                <w:szCs w:val="24"/>
                <w:lang w:eastAsia="zh-CN"/>
              </w:rPr>
              <w:t>自带的脉冲布袋除尘器处理后</w:t>
            </w:r>
            <w:r>
              <w:rPr>
                <w:rFonts w:hint="eastAsia" w:cs="Times New Roman"/>
                <w:color w:val="auto"/>
                <w:sz w:val="24"/>
                <w:szCs w:val="24"/>
                <w:lang w:val="en-US" w:eastAsia="zh-CN"/>
              </w:rPr>
              <w:t>由排气筒（DA002）</w:t>
            </w:r>
            <w:r>
              <w:rPr>
                <w:rFonts w:hint="eastAsia" w:ascii="Times New Roman" w:hAnsi="Times New Roman" w:eastAsia="宋体" w:cs="Times New Roman"/>
                <w:color w:val="auto"/>
                <w:sz w:val="24"/>
                <w:szCs w:val="24"/>
                <w:lang w:eastAsia="zh-CN"/>
              </w:rPr>
              <w:t>排放，</w:t>
            </w:r>
            <w:r>
              <w:rPr>
                <w:rFonts w:ascii="Times New Roman" w:hAnsi="Times New Roman" w:eastAsia="宋体" w:cs="Times New Roman"/>
                <w:color w:val="auto"/>
                <w:sz w:val="24"/>
                <w:szCs w:val="24"/>
                <w:lang w:eastAsia="zh-CN"/>
              </w:rPr>
              <w:t>除尘效率为9</w:t>
            </w:r>
            <w:r>
              <w:rPr>
                <w:rFonts w:hint="eastAsia" w:ascii="Times New Roman" w:hAnsi="Times New Roman" w:eastAsia="宋体" w:cs="Times New Roman"/>
                <w:color w:val="auto"/>
                <w:sz w:val="24"/>
                <w:szCs w:val="24"/>
                <w:lang w:eastAsia="zh-CN"/>
              </w:rPr>
              <w:t>9</w:t>
            </w:r>
            <w:r>
              <w:rPr>
                <w:rFonts w:ascii="Times New Roman" w:hAnsi="Times New Roman" w:eastAsia="宋体" w:cs="Times New Roman"/>
                <w:color w:val="auto"/>
                <w:sz w:val="24"/>
                <w:szCs w:val="24"/>
                <w:lang w:eastAsia="zh-CN"/>
              </w:rPr>
              <w:t>%。</w:t>
            </w:r>
          </w:p>
          <w:p w14:paraId="518D28F8">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lang w:eastAsia="zh-CN"/>
              </w:rPr>
              <w:t>根据环境保护部关于发布计算污染物排放量的排污系数和物料衡算方法的公告（2017年第81号）：《未纳入排污许可管理行业适用的排污系数、物料衡算方法（试行）》中水泥制品制造业产排污系数表，参照筒仓储存工序产污系数，本</w:t>
            </w:r>
            <w:r>
              <w:rPr>
                <w:rFonts w:hint="eastAsia" w:ascii="Times New Roman" w:hAnsi="Times New Roman" w:eastAsia="宋体" w:cs="Times New Roman"/>
                <w:color w:val="auto"/>
                <w:sz w:val="24"/>
                <w:szCs w:val="24"/>
                <w:lang w:eastAsia="zh-CN"/>
              </w:rPr>
              <w:t>项目粉煤灰进料</w:t>
            </w:r>
            <w:r>
              <w:rPr>
                <w:rFonts w:ascii="Times New Roman" w:hAnsi="Times New Roman" w:eastAsia="宋体" w:cs="Times New Roman"/>
                <w:color w:val="auto"/>
                <w:sz w:val="24"/>
                <w:szCs w:val="24"/>
                <w:lang w:eastAsia="zh-CN"/>
              </w:rPr>
              <w:t>产污系数取2.09kg/吨-成品。</w:t>
            </w:r>
            <w:r>
              <w:rPr>
                <w:rFonts w:hint="eastAsia" w:ascii="Times New Roman" w:hAnsi="Times New Roman" w:eastAsia="宋体" w:cs="Times New Roman"/>
                <w:color w:val="auto"/>
                <w:sz w:val="24"/>
                <w:szCs w:val="24"/>
                <w:lang w:val="en-US" w:eastAsia="zh-CN"/>
              </w:rPr>
              <w:t>20t筒仓脉冲布袋除尘器呼吸风量为1500~3000m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/h，本评价取2000m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/h。</w:t>
            </w:r>
          </w:p>
          <w:p w14:paraId="2F699D2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经计算，按最大卸料量20t，每次卸料筒仓粉尘产生量为41.8kg；筒仓粉尘全年产生量为41.8t/a，产生速率为17.42kg/h，</w:t>
            </w:r>
            <w:r>
              <w:rPr>
                <w:rFonts w:hint="eastAsia" w:ascii="Times New Roman" w:hAnsi="Times New Roman" w:eastAsia="宋体" w:cs="Times New Roman"/>
                <w:color w:val="auto"/>
                <w:sz w:val="24"/>
                <w:szCs w:val="24"/>
                <w:lang w:val="en-US" w:eastAsia="zh-CN"/>
              </w:rPr>
              <w:t>产生浓度为1741.67mg/m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经布袋除尘器处理后，排入环境的粉尘总量为</w:t>
            </w:r>
            <w:r>
              <w:rPr>
                <w:rFonts w:hint="eastAsia" w:ascii="Times New Roman" w:hAnsi="Times New Roman" w:eastAsia="宋体" w:cs="Times New Roman"/>
                <w:color w:val="auto"/>
                <w:sz w:val="24"/>
                <w:szCs w:val="24"/>
                <w:lang w:eastAsia="zh-CN"/>
              </w:rPr>
              <w:t>0.418</w:t>
            </w:r>
            <w:r>
              <w:rPr>
                <w:rFonts w:ascii="Times New Roman" w:hAnsi="Times New Roman" w:eastAsia="宋体" w:cs="Times New Roman"/>
                <w:color w:val="auto"/>
                <w:sz w:val="24"/>
                <w:szCs w:val="24"/>
                <w:lang w:eastAsia="zh-CN"/>
              </w:rPr>
              <w:t>t/a</w:t>
            </w:r>
            <w:r>
              <w:rPr>
                <w:rFonts w:hint="eastAsia" w:ascii="Times New Roman" w:hAnsi="Times New Roman" w:eastAsia="宋体" w:cs="Times New Roman"/>
                <w:color w:val="auto"/>
                <w:sz w:val="24"/>
                <w:szCs w:val="24"/>
                <w:lang w:eastAsia="zh-CN"/>
              </w:rPr>
              <w:t>，排放速率为0.174kg/h</w:t>
            </w:r>
            <w:r>
              <w:rPr>
                <w:rFonts w:ascii="Times New Roman" w:hAnsi="Times New Roman" w:eastAsia="宋体" w:cs="Times New Roman"/>
                <w:color w:val="auto"/>
                <w:sz w:val="24"/>
                <w:szCs w:val="24"/>
                <w:lang w:eastAsia="zh-CN"/>
              </w:rPr>
              <w:t>。</w:t>
            </w:r>
          </w:p>
          <w:p w14:paraId="01BF43C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（4）上料粉尘</w:t>
            </w:r>
          </w:p>
          <w:p w14:paraId="2197016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项目原料经计量设备称重后上料至皮带会产生上料粉尘，参考《逸散性工业颗粒物控制技术》，粒料加工厂卸料的排放因子0.01kg/t（卸料）。本项目使用原料</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0万t/a，则上料粉尘年产生量为</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t/a，产生速率为</w:t>
            </w:r>
            <w:r>
              <w:rPr>
                <w:rFonts w:hint="eastAsia" w:cs="Times New Roman"/>
                <w:color w:val="auto"/>
                <w:sz w:val="24"/>
                <w:szCs w:val="24"/>
                <w:lang w:val="en-US" w:eastAsia="zh-CN"/>
              </w:rPr>
              <w:t>0.42</w:t>
            </w:r>
            <w:r>
              <w:rPr>
                <w:rFonts w:hint="eastAsia" w:ascii="Times New Roman" w:hAnsi="Times New Roman" w:eastAsia="宋体" w:cs="Times New Roman"/>
                <w:color w:val="auto"/>
                <w:sz w:val="24"/>
                <w:szCs w:val="24"/>
                <w:lang w:eastAsia="zh-CN"/>
              </w:rPr>
              <w:t>kg/h。其中</w:t>
            </w:r>
            <w:r>
              <w:rPr>
                <w:rFonts w:hint="eastAsia" w:cs="Times New Roman"/>
                <w:color w:val="auto"/>
                <w:sz w:val="24"/>
                <w:szCs w:val="24"/>
                <w:lang w:val="en-US" w:eastAsia="zh-CN"/>
              </w:rPr>
              <w:t>0.7</w:t>
            </w:r>
            <w:r>
              <w:rPr>
                <w:rFonts w:hint="eastAsia" w:ascii="Times New Roman" w:hAnsi="Times New Roman" w:eastAsia="宋体" w:cs="Times New Roman"/>
                <w:color w:val="auto"/>
                <w:sz w:val="24"/>
                <w:szCs w:val="24"/>
                <w:lang w:eastAsia="zh-CN"/>
              </w:rPr>
              <w:t>t/a经集气罩（半密闭集气罩，收集率</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eastAsia="zh-CN"/>
              </w:rPr>
              <w:t>0%）收集后进入布袋除尘器处理（风量</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eastAsia="zh-CN"/>
              </w:rPr>
              <w:t>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w:t>
            </w:r>
            <w:r>
              <w:rPr>
                <w:rFonts w:hint="eastAsia" w:cs="Times New Roman"/>
                <w:color w:val="auto"/>
                <w:sz w:val="24"/>
                <w:szCs w:val="24"/>
                <w:lang w:eastAsia="zh-CN"/>
              </w:rPr>
              <w:t>，</w:t>
            </w:r>
            <w:r>
              <w:rPr>
                <w:rFonts w:hint="eastAsia" w:cs="Times New Roman"/>
                <w:color w:val="auto"/>
                <w:sz w:val="24"/>
                <w:szCs w:val="24"/>
                <w:lang w:val="en-US" w:eastAsia="zh-CN"/>
              </w:rPr>
              <w:t>剩余</w:t>
            </w:r>
            <w:r>
              <w:rPr>
                <w:rFonts w:hint="eastAsia" w:ascii="Times New Roman" w:hAnsi="Times New Roman" w:eastAsia="宋体" w:cs="Times New Roman"/>
                <w:color w:val="auto"/>
                <w:sz w:val="24"/>
                <w:szCs w:val="24"/>
                <w:lang w:eastAsia="zh-CN"/>
              </w:rPr>
              <w:t>0.</w:t>
            </w:r>
            <w:r>
              <w:rPr>
                <w:rFonts w:hint="eastAsia" w:cs="Times New Roman"/>
                <w:color w:val="auto"/>
                <w:sz w:val="24"/>
                <w:szCs w:val="24"/>
                <w:lang w:val="en-US" w:eastAsia="zh-CN"/>
              </w:rPr>
              <w:t>3</w:t>
            </w:r>
            <w:r>
              <w:rPr>
                <w:rFonts w:hint="eastAsia" w:ascii="Times New Roman" w:hAnsi="Times New Roman" w:eastAsia="宋体" w:cs="Times New Roman"/>
                <w:color w:val="auto"/>
                <w:sz w:val="24"/>
                <w:szCs w:val="24"/>
                <w:lang w:eastAsia="zh-CN"/>
              </w:rPr>
              <w:t>t/a在厂房内无组织排放。</w:t>
            </w:r>
          </w:p>
          <w:p w14:paraId="391CBDE8">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（5）</w:t>
            </w:r>
            <w:r>
              <w:rPr>
                <w:rFonts w:ascii="Times New Roman" w:hAnsi="Times New Roman" w:eastAsia="宋体" w:cs="Times New Roman"/>
                <w:b/>
                <w:bCs/>
                <w:color w:val="auto"/>
                <w:sz w:val="24"/>
                <w:szCs w:val="24"/>
                <w:lang w:eastAsia="zh-CN"/>
              </w:rPr>
              <w:t>皮带</w:t>
            </w:r>
            <w:r>
              <w:rPr>
                <w:rFonts w:hint="eastAsia" w:ascii="Times New Roman" w:hAnsi="Times New Roman" w:eastAsia="宋体" w:cs="Times New Roman"/>
                <w:b/>
                <w:bCs/>
                <w:color w:val="auto"/>
                <w:sz w:val="24"/>
                <w:szCs w:val="24"/>
                <w:lang w:eastAsia="zh-CN"/>
              </w:rPr>
              <w:t>输送</w:t>
            </w:r>
            <w:r>
              <w:rPr>
                <w:rFonts w:ascii="Times New Roman" w:hAnsi="Times New Roman" w:eastAsia="宋体" w:cs="Times New Roman"/>
                <w:b/>
                <w:bCs/>
                <w:color w:val="auto"/>
                <w:sz w:val="24"/>
                <w:szCs w:val="24"/>
                <w:lang w:eastAsia="zh-CN"/>
              </w:rPr>
              <w:t>粉尘</w:t>
            </w:r>
          </w:p>
          <w:p w14:paraId="1EAE4BB1">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物</w:t>
            </w:r>
            <w:r>
              <w:rPr>
                <w:rFonts w:ascii="Times New Roman" w:hAnsi="Times New Roman" w:eastAsia="宋体" w:cs="Times New Roman"/>
                <w:color w:val="auto"/>
                <w:sz w:val="24"/>
                <w:szCs w:val="24"/>
                <w:lang w:eastAsia="zh-CN"/>
              </w:rPr>
              <w:t>料</w:t>
            </w:r>
            <w:r>
              <w:rPr>
                <w:rFonts w:hint="eastAsia" w:ascii="Times New Roman" w:hAnsi="Times New Roman" w:eastAsia="宋体" w:cs="Times New Roman"/>
                <w:color w:val="auto"/>
                <w:sz w:val="24"/>
                <w:szCs w:val="24"/>
                <w:lang w:eastAsia="zh-CN"/>
              </w:rPr>
              <w:t>在厂区内</w:t>
            </w:r>
            <w:r>
              <w:rPr>
                <w:rFonts w:ascii="Times New Roman" w:hAnsi="Times New Roman" w:eastAsia="宋体" w:cs="Times New Roman"/>
                <w:color w:val="auto"/>
                <w:sz w:val="24"/>
                <w:szCs w:val="24"/>
                <w:lang w:eastAsia="zh-CN"/>
              </w:rPr>
              <w:t>用密闭皮带输送，</w:t>
            </w:r>
            <w:r>
              <w:rPr>
                <w:rFonts w:hint="eastAsia" w:ascii="Times New Roman" w:hAnsi="Times New Roman" w:eastAsia="宋体" w:cs="Times New Roman"/>
                <w:color w:val="auto"/>
                <w:sz w:val="24"/>
                <w:szCs w:val="24"/>
                <w:lang w:eastAsia="zh-CN"/>
              </w:rPr>
              <w:t>运输过程产生皮带输送粉尘，参考《逸散性工业颗粒物控制技术》，粒料加工厂筛选、运输和搬运的排放因子0.15kg/t（搬运量）。本项目使用原料</w:t>
            </w:r>
            <w:r>
              <w:rPr>
                <w:rFonts w:hint="eastAsia" w:cs="Times New Roman"/>
                <w:color w:val="auto"/>
                <w:sz w:val="24"/>
                <w:szCs w:val="24"/>
                <w:lang w:val="en-US" w:eastAsia="zh-CN"/>
              </w:rPr>
              <w:t>1</w:t>
            </w:r>
            <w:r>
              <w:rPr>
                <w:rFonts w:hint="eastAsia" w:ascii="Times New Roman" w:hAnsi="Times New Roman" w:eastAsia="宋体" w:cs="Times New Roman"/>
                <w:color w:val="auto"/>
                <w:sz w:val="24"/>
                <w:szCs w:val="24"/>
                <w:lang w:eastAsia="zh-CN"/>
              </w:rPr>
              <w:t>0万t/a，皮带输送粉尘年产生量为</w:t>
            </w:r>
            <w:r>
              <w:rPr>
                <w:rFonts w:hint="eastAsia" w:cs="Times New Roman"/>
                <w:color w:val="auto"/>
                <w:sz w:val="24"/>
                <w:szCs w:val="24"/>
                <w:lang w:val="en-US" w:eastAsia="zh-CN"/>
              </w:rPr>
              <w:t>15</w:t>
            </w:r>
            <w:r>
              <w:rPr>
                <w:rFonts w:hint="eastAsia" w:ascii="Times New Roman" w:hAnsi="Times New Roman" w:eastAsia="宋体" w:cs="Times New Roman"/>
                <w:color w:val="auto"/>
                <w:sz w:val="24"/>
                <w:szCs w:val="24"/>
                <w:lang w:eastAsia="zh-CN"/>
              </w:rPr>
              <w:t>t/a，密闭皮带的颗粒物去除率为95%，剩余5%进入厂房内无组织排放，则皮带输送粉尘实际产生量为</w:t>
            </w:r>
            <w:r>
              <w:rPr>
                <w:rFonts w:hint="eastAsia" w:cs="Times New Roman"/>
                <w:color w:val="auto"/>
                <w:sz w:val="24"/>
                <w:szCs w:val="24"/>
                <w:lang w:val="en-US" w:eastAsia="zh-CN"/>
              </w:rPr>
              <w:t>0.75</w:t>
            </w:r>
            <w:r>
              <w:rPr>
                <w:rFonts w:hint="eastAsia" w:ascii="Times New Roman" w:hAnsi="Times New Roman" w:eastAsia="宋体" w:cs="Times New Roman"/>
                <w:color w:val="auto"/>
                <w:sz w:val="24"/>
                <w:szCs w:val="24"/>
                <w:lang w:eastAsia="zh-CN"/>
              </w:rPr>
              <w:t>t/a，产生速率为</w:t>
            </w:r>
            <w:r>
              <w:rPr>
                <w:rFonts w:hint="eastAsia" w:cs="Times New Roman"/>
                <w:color w:val="auto"/>
                <w:sz w:val="24"/>
                <w:szCs w:val="24"/>
                <w:lang w:val="en-US" w:eastAsia="zh-CN"/>
              </w:rPr>
              <w:t>0.313</w:t>
            </w:r>
            <w:r>
              <w:rPr>
                <w:rFonts w:hint="eastAsia" w:ascii="Times New Roman" w:hAnsi="Times New Roman" w:eastAsia="宋体" w:cs="Times New Roman"/>
                <w:color w:val="auto"/>
                <w:sz w:val="24"/>
                <w:szCs w:val="24"/>
                <w:lang w:eastAsia="zh-CN"/>
              </w:rPr>
              <w:t>kg/h。</w:t>
            </w:r>
          </w:p>
          <w:p w14:paraId="1F9A9A0C">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（6）</w:t>
            </w:r>
            <w:r>
              <w:rPr>
                <w:rFonts w:ascii="Times New Roman" w:hAnsi="Times New Roman" w:eastAsia="宋体" w:cs="Times New Roman"/>
                <w:b/>
                <w:bCs/>
                <w:color w:val="auto"/>
                <w:sz w:val="24"/>
                <w:szCs w:val="24"/>
                <w:lang w:eastAsia="zh-CN"/>
              </w:rPr>
              <w:t>搅拌粉尘</w:t>
            </w:r>
          </w:p>
          <w:p w14:paraId="0914828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w:t>
            </w:r>
            <w:r>
              <w:rPr>
                <w:rFonts w:ascii="Times New Roman" w:hAnsi="Times New Roman" w:eastAsia="宋体" w:cs="Times New Roman"/>
                <w:color w:val="auto"/>
                <w:sz w:val="24"/>
                <w:szCs w:val="24"/>
                <w:lang w:eastAsia="zh-CN"/>
              </w:rPr>
              <w:t>生产搅拌</w:t>
            </w:r>
            <w:r>
              <w:rPr>
                <w:rFonts w:hint="eastAsia" w:ascii="Times New Roman" w:hAnsi="Times New Roman" w:eastAsia="宋体" w:cs="Times New Roman"/>
                <w:color w:val="auto"/>
                <w:sz w:val="24"/>
                <w:szCs w:val="24"/>
                <w:lang w:eastAsia="zh-CN"/>
              </w:rPr>
              <w:t>工段</w:t>
            </w:r>
            <w:r>
              <w:rPr>
                <w:rFonts w:ascii="Times New Roman" w:hAnsi="Times New Roman" w:eastAsia="宋体" w:cs="Times New Roman"/>
                <w:color w:val="auto"/>
                <w:sz w:val="24"/>
                <w:szCs w:val="24"/>
                <w:lang w:eastAsia="zh-CN"/>
              </w:rPr>
              <w:t>会产生粉尘，双轴搅拌机设置在</w:t>
            </w:r>
            <w:r>
              <w:rPr>
                <w:rFonts w:hint="eastAsia" w:ascii="Times New Roman" w:hAnsi="Times New Roman" w:eastAsia="宋体" w:cs="Times New Roman"/>
                <w:color w:val="auto"/>
                <w:sz w:val="24"/>
                <w:szCs w:val="24"/>
                <w:lang w:eastAsia="zh-CN"/>
              </w:rPr>
              <w:t>封闭厂房</w:t>
            </w:r>
            <w:r>
              <w:rPr>
                <w:rFonts w:ascii="Times New Roman" w:hAnsi="Times New Roman" w:eastAsia="宋体" w:cs="Times New Roman"/>
                <w:color w:val="auto"/>
                <w:sz w:val="24"/>
                <w:szCs w:val="24"/>
                <w:lang w:eastAsia="zh-CN"/>
              </w:rPr>
              <w:t>内，设备机身为封闭式，设置一个排泄口，采用</w:t>
            </w:r>
            <w:r>
              <w:rPr>
                <w:rFonts w:hint="eastAsia" w:ascii="Times New Roman" w:hAnsi="Times New Roman" w:eastAsia="宋体" w:cs="Times New Roman"/>
                <w:color w:val="auto"/>
                <w:sz w:val="24"/>
                <w:szCs w:val="24"/>
                <w:lang w:eastAsia="zh-CN"/>
              </w:rPr>
              <w:t>布袋</w:t>
            </w:r>
            <w:r>
              <w:rPr>
                <w:rFonts w:ascii="Times New Roman" w:hAnsi="Times New Roman" w:eastAsia="宋体" w:cs="Times New Roman"/>
                <w:color w:val="auto"/>
                <w:sz w:val="24"/>
                <w:szCs w:val="24"/>
                <w:lang w:eastAsia="zh-CN"/>
              </w:rPr>
              <w:t>除尘器控制粉尘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bCs/>
                <w:snapToGrid/>
                <w:color w:val="auto"/>
                <w:kern w:val="2"/>
                <w:sz w:val="24"/>
                <w:szCs w:val="24"/>
                <w:lang w:val="en-US" w:eastAsia="zh-CN"/>
              </w:rPr>
              <w:t>项目使用的改性磷石膏、砂石骨料的粒径、含水率等指标与石灰、砂石、水泥等生产行业用料较为接近</w:t>
            </w:r>
            <w:r>
              <w:rPr>
                <w:rFonts w:hint="eastAsia" w:cs="Times New Roman"/>
                <w:bCs/>
                <w:snapToGrid/>
                <w:color w:val="auto"/>
                <w:kern w:val="2"/>
                <w:sz w:val="24"/>
                <w:szCs w:val="24"/>
                <w:lang w:val="en-US" w:eastAsia="zh-CN"/>
              </w:rPr>
              <w:t>，</w:t>
            </w:r>
            <w:r>
              <w:rPr>
                <w:rFonts w:hint="eastAsia" w:ascii="Times New Roman" w:hAnsi="Times New Roman" w:eastAsia="宋体" w:cs="Times New Roman"/>
                <w:bCs/>
                <w:snapToGrid/>
                <w:color w:val="auto"/>
                <w:kern w:val="2"/>
                <w:sz w:val="24"/>
                <w:szCs w:val="24"/>
                <w:lang w:val="en-US" w:eastAsia="zh-CN"/>
              </w:rPr>
              <w:t>因此污染物排放系数类比相关行业。</w:t>
            </w:r>
          </w:p>
          <w:p w14:paraId="3FADF3B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搅拌粉尘产污系数</w:t>
            </w:r>
            <w:r>
              <w:rPr>
                <w:rFonts w:ascii="Times New Roman" w:hAnsi="Times New Roman" w:eastAsia="宋体" w:cs="Times New Roman"/>
                <w:color w:val="auto"/>
                <w:sz w:val="24"/>
                <w:szCs w:val="24"/>
                <w:lang w:eastAsia="zh-CN"/>
              </w:rPr>
              <w:t>参考</w:t>
            </w:r>
            <w:r>
              <w:rPr>
                <w:rFonts w:hint="eastAsia" w:ascii="Times New Roman" w:hAnsi="Times New Roman" w:eastAsia="宋体" w:cs="Times New Roman"/>
                <w:color w:val="auto"/>
                <w:sz w:val="24"/>
                <w:szCs w:val="24"/>
                <w:lang w:eastAsia="zh-CN"/>
              </w:rPr>
              <w:t>《工业源产排污核算方法和系数手册》3021水泥制品制造行业—物料搅拌—水泥、砂子、石子等—物料混合搅拌：颗粒物：0.13千克/吨产品</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路基材料年产10万t/a，</w:t>
            </w:r>
            <w:r>
              <w:rPr>
                <w:rFonts w:ascii="Times New Roman" w:hAnsi="Times New Roman" w:eastAsia="宋体" w:cs="Times New Roman"/>
                <w:color w:val="auto"/>
                <w:sz w:val="24"/>
                <w:szCs w:val="24"/>
                <w:lang w:eastAsia="zh-CN"/>
              </w:rPr>
              <w:t>则颗粒物的产生量为1</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t/a，产生速率</w:t>
            </w:r>
            <w:r>
              <w:rPr>
                <w:rFonts w:hint="eastAsia" w:ascii="Times New Roman" w:hAnsi="Times New Roman" w:eastAsia="宋体" w:cs="Times New Roman"/>
                <w:color w:val="auto"/>
                <w:sz w:val="24"/>
                <w:szCs w:val="24"/>
                <w:lang w:eastAsia="zh-CN"/>
              </w:rPr>
              <w:t>5.42</w:t>
            </w:r>
            <w:r>
              <w:rPr>
                <w:rFonts w:ascii="Times New Roman" w:hAnsi="Times New Roman" w:eastAsia="宋体" w:cs="Times New Roman"/>
                <w:color w:val="auto"/>
                <w:sz w:val="24"/>
                <w:szCs w:val="24"/>
                <w:lang w:eastAsia="zh-CN"/>
              </w:rPr>
              <w:t>kg/h</w:t>
            </w:r>
            <w:r>
              <w:rPr>
                <w:rFonts w:hint="eastAsia" w:ascii="Times New Roman" w:hAnsi="Times New Roman" w:eastAsia="宋体" w:cs="Times New Roman"/>
                <w:color w:val="auto"/>
                <w:sz w:val="24"/>
                <w:szCs w:val="24"/>
                <w:lang w:eastAsia="zh-CN"/>
              </w:rPr>
              <w:t>。搅拌粉尘经</w:t>
            </w:r>
            <w:r>
              <w:rPr>
                <w:rFonts w:hint="eastAsia" w:cs="Times New Roman"/>
                <w:color w:val="auto"/>
                <w:sz w:val="24"/>
                <w:szCs w:val="24"/>
                <w:lang w:val="en-US" w:eastAsia="zh-CN"/>
              </w:rPr>
              <w:t>管道</w:t>
            </w:r>
            <w:r>
              <w:rPr>
                <w:rFonts w:hint="eastAsia" w:ascii="Times New Roman" w:hAnsi="Times New Roman" w:eastAsia="宋体" w:cs="Times New Roman"/>
                <w:color w:val="auto"/>
                <w:sz w:val="24"/>
                <w:szCs w:val="24"/>
                <w:lang w:eastAsia="zh-CN"/>
              </w:rPr>
              <w:t>收集后进入布袋除尘器处理（风量</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eastAsia="zh-CN"/>
              </w:rPr>
              <w:t>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w:t>
            </w:r>
            <w:r>
              <w:rPr>
                <w:rFonts w:ascii="Times New Roman" w:hAnsi="Times New Roman" w:eastAsia="宋体" w:cs="Times New Roman"/>
                <w:color w:val="auto"/>
                <w:sz w:val="24"/>
                <w:szCs w:val="24"/>
                <w:lang w:eastAsia="zh-CN"/>
              </w:rPr>
              <w:t>。</w:t>
            </w:r>
          </w:p>
          <w:p w14:paraId="0E91689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（7）出料粉尘</w:t>
            </w:r>
          </w:p>
          <w:p w14:paraId="34E465B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路基材料成品从搅拌机出料时会产生出料粉尘，参考《逸散性工业颗粒物控制技术》，粒料加工厂卸料的排放因子0.01kg/t（卸料）。路基材料生产线年产路基材料10万t/a，则出料粉尘年产生量为1t/a，产生速率为0.42kg/h。</w:t>
            </w:r>
            <w:r>
              <w:rPr>
                <w:rFonts w:hint="eastAsia" w:cs="Times New Roman"/>
                <w:color w:val="auto"/>
                <w:sz w:val="24"/>
                <w:szCs w:val="24"/>
                <w:lang w:val="en-US" w:eastAsia="zh-CN"/>
              </w:rPr>
              <w:t>其中0.7t</w:t>
            </w:r>
            <w:r>
              <w:rPr>
                <w:rFonts w:hint="eastAsia" w:ascii="Times New Roman" w:hAnsi="Times New Roman" w:eastAsia="宋体" w:cs="Times New Roman"/>
                <w:color w:val="auto"/>
                <w:sz w:val="24"/>
                <w:szCs w:val="24"/>
                <w:lang w:eastAsia="zh-CN"/>
              </w:rPr>
              <w:t>经设置于搅拌机出料口的集气罩（半密闭集气罩，收集率</w:t>
            </w:r>
            <w:r>
              <w:rPr>
                <w:rFonts w:hint="eastAsia" w:cs="Times New Roman"/>
                <w:color w:val="auto"/>
                <w:sz w:val="24"/>
                <w:szCs w:val="24"/>
                <w:lang w:val="en-US" w:eastAsia="zh-CN"/>
              </w:rPr>
              <w:t>7</w:t>
            </w:r>
            <w:r>
              <w:rPr>
                <w:rFonts w:hint="eastAsia" w:ascii="Times New Roman" w:hAnsi="Times New Roman" w:eastAsia="宋体" w:cs="Times New Roman"/>
                <w:color w:val="auto"/>
                <w:sz w:val="24"/>
                <w:szCs w:val="24"/>
                <w:lang w:eastAsia="zh-CN"/>
              </w:rPr>
              <w:t>0%）收集后进入布袋除尘器处理（风量</w:t>
            </w:r>
            <w:r>
              <w:rPr>
                <w:rFonts w:hint="eastAsia" w:cs="Times New Roman"/>
                <w:color w:val="auto"/>
                <w:sz w:val="24"/>
                <w:szCs w:val="24"/>
                <w:lang w:val="en-US" w:eastAsia="zh-CN"/>
              </w:rPr>
              <w:t>5</w:t>
            </w:r>
            <w:r>
              <w:rPr>
                <w:rFonts w:hint="eastAsia" w:ascii="Times New Roman" w:hAnsi="Times New Roman" w:eastAsia="宋体" w:cs="Times New Roman"/>
                <w:color w:val="auto"/>
                <w:sz w:val="24"/>
                <w:szCs w:val="24"/>
                <w:lang w:eastAsia="zh-CN"/>
              </w:rPr>
              <w:t>000m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/h，处理效率99%）后，通过DA001排气筒（15m）有组织排放，</w:t>
            </w:r>
            <w:r>
              <w:rPr>
                <w:rFonts w:hint="eastAsia" w:cs="Times New Roman"/>
                <w:color w:val="auto"/>
                <w:sz w:val="24"/>
                <w:szCs w:val="24"/>
                <w:lang w:val="en-US" w:eastAsia="zh-CN"/>
              </w:rPr>
              <w:t>剩余0.3t</w:t>
            </w:r>
            <w:r>
              <w:rPr>
                <w:rFonts w:hint="eastAsia" w:ascii="Times New Roman" w:hAnsi="Times New Roman" w:eastAsia="宋体" w:cs="Times New Roman"/>
                <w:color w:val="auto"/>
                <w:sz w:val="24"/>
                <w:szCs w:val="24"/>
                <w:lang w:eastAsia="zh-CN"/>
              </w:rPr>
              <w:t>在厂房内无组织排放</w:t>
            </w:r>
            <w:r>
              <w:rPr>
                <w:rFonts w:ascii="Times New Roman" w:hAnsi="Times New Roman" w:eastAsia="宋体" w:cs="Times New Roman"/>
                <w:color w:val="auto"/>
                <w:sz w:val="24"/>
                <w:szCs w:val="24"/>
                <w:lang w:eastAsia="zh-CN"/>
              </w:rPr>
              <w:t>。</w:t>
            </w:r>
          </w:p>
          <w:p w14:paraId="7CED2FC6">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（8）</w:t>
            </w:r>
            <w:r>
              <w:rPr>
                <w:rFonts w:ascii="Times New Roman" w:hAnsi="Times New Roman" w:eastAsia="宋体" w:cs="Times New Roman"/>
                <w:b/>
                <w:bCs/>
                <w:color w:val="auto"/>
                <w:sz w:val="24"/>
                <w:szCs w:val="24"/>
                <w:lang w:eastAsia="zh-CN"/>
              </w:rPr>
              <w:t>食堂油烟</w:t>
            </w:r>
          </w:p>
          <w:p w14:paraId="324EB3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项目设有厨房，厂区</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人用餐，能源为电能。</w:t>
            </w:r>
            <w:r>
              <w:rPr>
                <w:rFonts w:hint="eastAsia" w:ascii="Times New Roman" w:hAnsi="Times New Roman" w:eastAsia="宋体" w:cs="Times New Roman"/>
                <w:color w:val="auto"/>
                <w:sz w:val="24"/>
                <w:szCs w:val="24"/>
                <w:lang w:eastAsia="zh-CN"/>
              </w:rPr>
              <w:t>根据中国营养学会制定的《中国居民平衡膳食宝塔》，本项目按每人每天摄取食用油量30g计，</w:t>
            </w:r>
            <w:r>
              <w:rPr>
                <w:rFonts w:ascii="Times New Roman" w:hAnsi="Times New Roman" w:eastAsia="宋体" w:cs="Times New Roman"/>
                <w:color w:val="auto"/>
                <w:sz w:val="24"/>
                <w:szCs w:val="24"/>
                <w:lang w:eastAsia="zh-CN"/>
              </w:rPr>
              <w:t>耗油量为0.</w:t>
            </w:r>
            <w:r>
              <w:rPr>
                <w:rFonts w:hint="eastAsia" w:ascii="Times New Roman" w:hAnsi="Times New Roman" w:eastAsia="宋体" w:cs="Times New Roman"/>
                <w:color w:val="auto"/>
                <w:sz w:val="24"/>
                <w:szCs w:val="24"/>
                <w:lang w:eastAsia="zh-CN"/>
              </w:rPr>
              <w:t>45</w:t>
            </w:r>
            <w:r>
              <w:rPr>
                <w:rFonts w:ascii="Times New Roman" w:hAnsi="Times New Roman" w:eastAsia="宋体" w:cs="Times New Roman"/>
                <w:color w:val="auto"/>
                <w:sz w:val="24"/>
                <w:szCs w:val="24"/>
                <w:lang w:eastAsia="zh-CN"/>
              </w:rPr>
              <w:t>kg/d</w:t>
            </w:r>
            <w:r>
              <w:rPr>
                <w:rFonts w:hint="eastAsia" w:ascii="Times New Roman" w:hAnsi="Times New Roman" w:eastAsia="宋体" w:cs="Times New Roman"/>
                <w:color w:val="auto"/>
                <w:sz w:val="24"/>
                <w:szCs w:val="24"/>
                <w:lang w:eastAsia="zh-CN"/>
              </w:rPr>
              <w:t>，在食堂烹饪过程中产生的油烟挥发量按食用油量的2.83%计，</w:t>
            </w:r>
            <w:r>
              <w:rPr>
                <w:rFonts w:ascii="Times New Roman" w:hAnsi="Times New Roman" w:eastAsia="宋体" w:cs="Times New Roman"/>
                <w:color w:val="auto"/>
                <w:sz w:val="24"/>
                <w:szCs w:val="24"/>
                <w:lang w:eastAsia="zh-CN"/>
              </w:rPr>
              <w:t>烹饪时间按4h</w:t>
            </w:r>
            <w:r>
              <w:rPr>
                <w:rFonts w:hint="eastAsia" w:ascii="Times New Roman" w:hAnsi="Times New Roman" w:eastAsia="宋体" w:cs="Times New Roman"/>
                <w:color w:val="auto"/>
                <w:sz w:val="24"/>
                <w:szCs w:val="24"/>
                <w:lang w:eastAsia="zh-CN"/>
              </w:rPr>
              <w:t>/d</w:t>
            </w:r>
            <w:r>
              <w:rPr>
                <w:rFonts w:ascii="Times New Roman" w:hAnsi="Times New Roman" w:eastAsia="宋体" w:cs="Times New Roman"/>
                <w:color w:val="auto"/>
                <w:sz w:val="24"/>
                <w:szCs w:val="24"/>
                <w:lang w:eastAsia="zh-CN"/>
              </w:rPr>
              <w:t>计</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本项目油烟产生量为0.0</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2</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kg/d、</w:t>
            </w:r>
            <w:r>
              <w:rPr>
                <w:rFonts w:hint="eastAsia" w:ascii="Times New Roman" w:hAnsi="Times New Roman" w:eastAsia="宋体" w:cs="Times New Roman"/>
                <w:color w:val="auto"/>
                <w:sz w:val="24"/>
                <w:szCs w:val="24"/>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81</w:t>
            </w:r>
            <w:r>
              <w:rPr>
                <w:rFonts w:ascii="Times New Roman" w:hAnsi="Times New Roman" w:eastAsia="宋体" w:cs="Times New Roman"/>
                <w:color w:val="auto"/>
                <w:sz w:val="24"/>
                <w:szCs w:val="24"/>
                <w:lang w:eastAsia="zh-CN"/>
              </w:rPr>
              <w:t>kg/a</w:t>
            </w:r>
            <w:r>
              <w:rPr>
                <w:rFonts w:hint="eastAsia" w:ascii="Times New Roman" w:hAnsi="Times New Roman" w:eastAsia="宋体" w:cs="Times New Roman"/>
                <w:color w:val="auto"/>
                <w:sz w:val="24"/>
                <w:szCs w:val="24"/>
                <w:lang w:eastAsia="zh-CN"/>
              </w:rPr>
              <w:t>，产生速率为0.003173kg/h</w:t>
            </w:r>
            <w:r>
              <w:rPr>
                <w:rFonts w:ascii="Times New Roman" w:hAnsi="Times New Roman" w:eastAsia="宋体" w:cs="Times New Roman"/>
                <w:color w:val="auto"/>
                <w:sz w:val="24"/>
                <w:szCs w:val="24"/>
                <w:lang w:eastAsia="zh-CN"/>
              </w:rPr>
              <w:t>。项目在厨房安装一台风量为1500m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/h的抽油烟机将油烟抽取后外排。抽油烟机有一定的净化效率（约60%），项目油烟排放量为</w:t>
            </w:r>
            <w:r>
              <w:rPr>
                <w:rFonts w:hint="eastAsia" w:ascii="Times New Roman" w:hAnsi="Times New Roman" w:eastAsia="宋体" w:cs="Times New Roman"/>
                <w:color w:val="auto"/>
                <w:sz w:val="24"/>
                <w:szCs w:val="24"/>
                <w:lang w:eastAsia="zh-CN"/>
              </w:rPr>
              <w:t>1.524</w:t>
            </w:r>
            <w:r>
              <w:rPr>
                <w:rFonts w:ascii="Times New Roman" w:hAnsi="Times New Roman" w:eastAsia="宋体" w:cs="Times New Roman"/>
                <w:color w:val="auto"/>
                <w:sz w:val="24"/>
                <w:szCs w:val="24"/>
                <w:lang w:eastAsia="zh-CN"/>
              </w:rPr>
              <w:t>kg/a</w:t>
            </w:r>
            <w:r>
              <w:rPr>
                <w:rFonts w:hint="eastAsia" w:ascii="Times New Roman" w:hAnsi="Times New Roman" w:eastAsia="宋体" w:cs="Times New Roman"/>
                <w:color w:val="auto"/>
                <w:sz w:val="24"/>
                <w:szCs w:val="24"/>
                <w:lang w:eastAsia="zh-CN"/>
              </w:rPr>
              <w:t>，排放浓度为0.847mg/m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，排放速率为</w:t>
            </w:r>
            <w:r>
              <w:rPr>
                <w:rFonts w:ascii="Times New Roman" w:hAnsi="Times New Roman" w:eastAsia="宋体" w:cs="Times New Roman"/>
                <w:color w:val="auto"/>
                <w:sz w:val="24"/>
                <w:szCs w:val="24"/>
                <w:lang w:eastAsia="zh-CN"/>
              </w:rPr>
              <w:t>0.00</w:t>
            </w:r>
            <w:r>
              <w:rPr>
                <w:rFonts w:hint="eastAsia" w:ascii="Times New Roman" w:hAnsi="Times New Roman" w:eastAsia="宋体" w:cs="Times New Roman"/>
                <w:color w:val="auto"/>
                <w:sz w:val="24"/>
                <w:szCs w:val="24"/>
                <w:lang w:eastAsia="zh-CN"/>
              </w:rPr>
              <w:t>12</w:t>
            </w:r>
            <w:r>
              <w:rPr>
                <w:rFonts w:ascii="Times New Roman" w:hAnsi="Times New Roman" w:eastAsia="宋体" w:cs="Times New Roman"/>
                <w:color w:val="auto"/>
                <w:sz w:val="24"/>
                <w:szCs w:val="24"/>
                <w:lang w:eastAsia="zh-CN"/>
              </w:rPr>
              <w:t>7kg/h。</w:t>
            </w:r>
          </w:p>
          <w:p w14:paraId="1046E147">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（9）车辆废气</w:t>
            </w:r>
          </w:p>
          <w:p w14:paraId="0A3D1180">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车辆废气由办公车辆、运输车辆及装载机产生，主要污染物为CO、HC、NOx等。项目车辆废气排放具有排放量小、短时、分散、无组织排放的特点，其本身不会对周围环境产生大的影响，由于进出厂区的车辆数不多，产生的尾气较少，同时本项目均使用年检合规车辆，所使用燃油均从正规加油站购买，以保证尾气达标排放，经空气稀释、扩散后，其排放尾气对周围环境影响较小。</w:t>
            </w:r>
          </w:p>
          <w:p w14:paraId="63D5118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2废气污染物产排情况</w:t>
            </w:r>
          </w:p>
          <w:p w14:paraId="000E1A1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（1）无组织</w:t>
            </w:r>
          </w:p>
          <w:p w14:paraId="380BF17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本项目无组织废气包括运输扬尘、</w:t>
            </w:r>
            <w:r>
              <w:rPr>
                <w:rFonts w:hint="eastAsia" w:cs="Times New Roman"/>
                <w:color w:val="auto"/>
                <w:sz w:val="24"/>
                <w:szCs w:val="24"/>
                <w:lang w:eastAsia="zh-CN"/>
              </w:rPr>
              <w:t>堆场扬尘</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上料粉尘（未收集）</w:t>
            </w:r>
            <w:r>
              <w:rPr>
                <w:rFonts w:hint="eastAsia" w:ascii="Times New Roman" w:hAnsi="Times New Roman" w:eastAsia="宋体" w:cs="Times New Roman"/>
                <w:color w:val="auto"/>
                <w:sz w:val="24"/>
                <w:szCs w:val="24"/>
                <w:lang w:eastAsia="zh-CN"/>
              </w:rPr>
              <w:t>、皮带输送粉尘、</w:t>
            </w:r>
            <w:r>
              <w:rPr>
                <w:rFonts w:hint="eastAsia" w:ascii="Times New Roman" w:hAnsi="Times New Roman" w:eastAsia="宋体" w:cs="Times New Roman"/>
                <w:color w:val="auto"/>
                <w:sz w:val="24"/>
                <w:szCs w:val="24"/>
                <w:lang w:val="en-US" w:eastAsia="zh-CN"/>
              </w:rPr>
              <w:t>出料粉尘（未收集）</w:t>
            </w:r>
            <w:r>
              <w:rPr>
                <w:rFonts w:hint="eastAsia" w:ascii="Times New Roman" w:hAnsi="Times New Roman" w:eastAsia="宋体" w:cs="Times New Roman"/>
                <w:color w:val="auto"/>
                <w:sz w:val="24"/>
                <w:szCs w:val="24"/>
                <w:lang w:eastAsia="zh-CN"/>
              </w:rPr>
              <w:t>、食堂油烟，具体产排情况见下表。</w:t>
            </w:r>
          </w:p>
          <w:p w14:paraId="3D3A7D61">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-2  无组织废气</w:t>
            </w:r>
            <w:r>
              <w:rPr>
                <w:rFonts w:hint="eastAsia" w:ascii="Times New Roman" w:hAnsi="Times New Roman" w:eastAsia="宋体" w:cs="Times New Roman"/>
                <w:b/>
                <w:bCs/>
                <w:color w:val="auto"/>
                <w:sz w:val="24"/>
                <w:szCs w:val="24"/>
                <w:lang w:val="zh-CN" w:eastAsia="zh-CN"/>
              </w:rPr>
              <w:t>污染物产排情况一览表</w:t>
            </w:r>
          </w:p>
          <w:tbl>
            <w:tblPr>
              <w:tblStyle w:val="20"/>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3"/>
              <w:gridCol w:w="708"/>
              <w:gridCol w:w="973"/>
              <w:gridCol w:w="1028"/>
              <w:gridCol w:w="1125"/>
              <w:gridCol w:w="847"/>
              <w:gridCol w:w="1056"/>
              <w:gridCol w:w="1038"/>
            </w:tblGrid>
            <w:tr w14:paraId="1191F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61" w:type="pct"/>
                  <w:vAlign w:val="center"/>
                </w:tcPr>
                <w:p w14:paraId="07E8C6F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污染源</w:t>
                  </w:r>
                </w:p>
              </w:tc>
              <w:tc>
                <w:tcPr>
                  <w:tcW w:w="422" w:type="pct"/>
                  <w:vAlign w:val="center"/>
                </w:tcPr>
                <w:p w14:paraId="082675B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污染物</w:t>
                  </w:r>
                </w:p>
              </w:tc>
              <w:tc>
                <w:tcPr>
                  <w:tcW w:w="579" w:type="pct"/>
                  <w:vAlign w:val="center"/>
                </w:tcPr>
                <w:p w14:paraId="467F6C0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产生量</w:t>
                  </w:r>
                </w:p>
                <w:p w14:paraId="215F8A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t/a</w:t>
                  </w:r>
                </w:p>
              </w:tc>
              <w:tc>
                <w:tcPr>
                  <w:tcW w:w="612" w:type="pct"/>
                  <w:vAlign w:val="center"/>
                </w:tcPr>
                <w:p w14:paraId="6945C1E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产生速率kg/h</w:t>
                  </w:r>
                </w:p>
              </w:tc>
              <w:tc>
                <w:tcPr>
                  <w:tcW w:w="670" w:type="pct"/>
                  <w:vAlign w:val="center"/>
                </w:tcPr>
                <w:p w14:paraId="342DCD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处理措施</w:t>
                  </w:r>
                </w:p>
              </w:tc>
              <w:tc>
                <w:tcPr>
                  <w:tcW w:w="504" w:type="pct"/>
                  <w:vAlign w:val="center"/>
                </w:tcPr>
                <w:p w14:paraId="5C402B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rPr>
                    <w:t>处理</w:t>
                  </w:r>
                </w:p>
                <w:p w14:paraId="24D9284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hint="eastAsia" w:ascii="Times New Roman" w:hAnsi="Times New Roman" w:eastAsia="宋体" w:cs="Times New Roman"/>
                      <w:b/>
                      <w:bCs/>
                      <w:color w:val="auto"/>
                    </w:rPr>
                    <w:t>效率</w:t>
                  </w:r>
                </w:p>
                <w:p w14:paraId="39EAF2C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hint="eastAsia" w:ascii="Times New Roman" w:hAnsi="Times New Roman" w:eastAsia="宋体" w:cs="Times New Roman"/>
                      <w:b/>
                      <w:bCs/>
                      <w:color w:val="auto"/>
                    </w:rPr>
                    <w:t>%</w:t>
                  </w:r>
                </w:p>
              </w:tc>
              <w:tc>
                <w:tcPr>
                  <w:tcW w:w="629" w:type="pct"/>
                  <w:vAlign w:val="center"/>
                </w:tcPr>
                <w:p w14:paraId="056F8A1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排放量t/a</w:t>
                  </w:r>
                </w:p>
              </w:tc>
              <w:tc>
                <w:tcPr>
                  <w:tcW w:w="618" w:type="pct"/>
                  <w:vAlign w:val="center"/>
                </w:tcPr>
                <w:p w14:paraId="231256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rPr>
                  </w:pPr>
                  <w:r>
                    <w:rPr>
                      <w:rFonts w:ascii="Times New Roman" w:hAnsi="Times New Roman" w:eastAsia="宋体" w:cs="Times New Roman"/>
                      <w:b/>
                      <w:bCs/>
                      <w:color w:val="auto"/>
                    </w:rPr>
                    <w:t>排放速率kg/h</w:t>
                  </w:r>
                </w:p>
              </w:tc>
            </w:tr>
            <w:tr w14:paraId="5E58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76414F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r>
                    <w:rPr>
                      <w:rFonts w:hint="eastAsia" w:ascii="Times New Roman" w:hAnsi="Times New Roman" w:eastAsia="宋体" w:cs="Times New Roman"/>
                      <w:color w:val="auto"/>
                    </w:rPr>
                    <w:t>运输扬尘</w:t>
                  </w:r>
                </w:p>
              </w:tc>
              <w:tc>
                <w:tcPr>
                  <w:tcW w:w="422" w:type="pct"/>
                  <w:vMerge w:val="restart"/>
                  <w:vAlign w:val="center"/>
                </w:tcPr>
                <w:p w14:paraId="4585478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r>
                    <w:rPr>
                      <w:rFonts w:ascii="Times New Roman" w:hAnsi="Times New Roman" w:eastAsia="宋体" w:cs="Times New Roman"/>
                      <w:color w:val="auto"/>
                    </w:rPr>
                    <w:t>颗粒物</w:t>
                  </w:r>
                </w:p>
              </w:tc>
              <w:tc>
                <w:tcPr>
                  <w:tcW w:w="579" w:type="pct"/>
                  <w:vAlign w:val="center"/>
                </w:tcPr>
                <w:p w14:paraId="25170E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0.214</w:t>
                  </w:r>
                </w:p>
              </w:tc>
              <w:tc>
                <w:tcPr>
                  <w:tcW w:w="612" w:type="pct"/>
                  <w:vAlign w:val="center"/>
                </w:tcPr>
                <w:p w14:paraId="0086691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1.072</w:t>
                  </w:r>
                </w:p>
              </w:tc>
              <w:tc>
                <w:tcPr>
                  <w:tcW w:w="670" w:type="pct"/>
                  <w:vAlign w:val="center"/>
                </w:tcPr>
                <w:p w14:paraId="3F79CA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洒水降尘</w:t>
                  </w:r>
                </w:p>
              </w:tc>
              <w:tc>
                <w:tcPr>
                  <w:tcW w:w="504" w:type="pct"/>
                  <w:vAlign w:val="center"/>
                </w:tcPr>
                <w:p w14:paraId="3E50FC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66</w:t>
                  </w:r>
                </w:p>
              </w:tc>
              <w:tc>
                <w:tcPr>
                  <w:tcW w:w="629" w:type="pct"/>
                  <w:vAlign w:val="center"/>
                </w:tcPr>
                <w:p w14:paraId="4405CE3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0.</w:t>
                  </w:r>
                  <w:r>
                    <w:rPr>
                      <w:rFonts w:hint="eastAsia" w:cs="Times New Roman"/>
                      <w:color w:val="auto"/>
                      <w:lang w:val="en-US" w:eastAsia="zh-CN"/>
                    </w:rPr>
                    <w:t>073</w:t>
                  </w:r>
                </w:p>
              </w:tc>
              <w:tc>
                <w:tcPr>
                  <w:tcW w:w="618" w:type="pct"/>
                  <w:vAlign w:val="center"/>
                </w:tcPr>
                <w:p w14:paraId="2DC44A0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0.707</w:t>
                  </w:r>
                </w:p>
              </w:tc>
            </w:tr>
            <w:tr w14:paraId="4408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60D12E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cs="Times New Roman"/>
                      <w:color w:val="auto"/>
                      <w:lang w:eastAsia="zh-CN"/>
                    </w:rPr>
                    <w:t>堆场扬尘</w:t>
                  </w:r>
                </w:p>
              </w:tc>
              <w:tc>
                <w:tcPr>
                  <w:tcW w:w="422" w:type="pct"/>
                  <w:vMerge w:val="continue"/>
                  <w:vAlign w:val="center"/>
                </w:tcPr>
                <w:p w14:paraId="1E9B7D3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rPr>
                  </w:pPr>
                </w:p>
              </w:tc>
              <w:tc>
                <w:tcPr>
                  <w:tcW w:w="579" w:type="pct"/>
                  <w:vAlign w:val="center"/>
                </w:tcPr>
                <w:p w14:paraId="4E206C0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32.96</w:t>
                  </w:r>
                </w:p>
              </w:tc>
              <w:tc>
                <w:tcPr>
                  <w:tcW w:w="612" w:type="pct"/>
                  <w:vAlign w:val="center"/>
                </w:tcPr>
                <w:p w14:paraId="4CDCD40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13.73</w:t>
                  </w:r>
                </w:p>
              </w:tc>
              <w:tc>
                <w:tcPr>
                  <w:tcW w:w="670" w:type="pct"/>
                  <w:vMerge w:val="restart"/>
                  <w:vAlign w:val="center"/>
                </w:tcPr>
                <w:p w14:paraId="4EBE228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封闭厂</w:t>
                  </w:r>
                </w:p>
                <w:p w14:paraId="6F403C2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房、喷雾降尘设施</w:t>
                  </w:r>
                </w:p>
              </w:tc>
              <w:tc>
                <w:tcPr>
                  <w:tcW w:w="504" w:type="pct"/>
                  <w:vMerge w:val="restart"/>
                  <w:vAlign w:val="center"/>
                </w:tcPr>
                <w:p w14:paraId="0E51C36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89.6</w:t>
                  </w:r>
                </w:p>
              </w:tc>
              <w:tc>
                <w:tcPr>
                  <w:tcW w:w="629" w:type="pct"/>
                  <w:vAlign w:val="center"/>
                </w:tcPr>
                <w:p w14:paraId="71C2D2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3.43</w:t>
                  </w:r>
                </w:p>
              </w:tc>
              <w:tc>
                <w:tcPr>
                  <w:tcW w:w="618" w:type="pct"/>
                  <w:vAlign w:val="center"/>
                </w:tcPr>
                <w:p w14:paraId="5A21215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1.43</w:t>
                  </w:r>
                </w:p>
              </w:tc>
            </w:tr>
            <w:tr w14:paraId="15E37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1D42100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w:t>
                  </w:r>
                </w:p>
                <w:p w14:paraId="0A6DA60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w:t>
                  </w:r>
                </w:p>
              </w:tc>
              <w:tc>
                <w:tcPr>
                  <w:tcW w:w="422" w:type="pct"/>
                  <w:vMerge w:val="continue"/>
                  <w:vAlign w:val="center"/>
                </w:tcPr>
                <w:p w14:paraId="2B87FB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AC6EDA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r>
                    <w:rPr>
                      <w:rFonts w:hint="eastAsia" w:cs="Times New Roman"/>
                      <w:color w:val="auto"/>
                      <w:lang w:val="en-US" w:eastAsia="zh-CN"/>
                    </w:rPr>
                    <w:t>3</w:t>
                  </w:r>
                </w:p>
              </w:tc>
              <w:tc>
                <w:tcPr>
                  <w:tcW w:w="612" w:type="pct"/>
                  <w:vAlign w:val="center"/>
                </w:tcPr>
                <w:p w14:paraId="5C980F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w:t>
                  </w:r>
                  <w:r>
                    <w:rPr>
                      <w:rFonts w:hint="eastAsia" w:cs="Times New Roman"/>
                      <w:color w:val="auto"/>
                      <w:lang w:val="en-US" w:eastAsia="zh-CN"/>
                    </w:rPr>
                    <w:t>125</w:t>
                  </w:r>
                </w:p>
              </w:tc>
              <w:tc>
                <w:tcPr>
                  <w:tcW w:w="670" w:type="pct"/>
                  <w:vMerge w:val="continue"/>
                  <w:vAlign w:val="center"/>
                </w:tcPr>
                <w:p w14:paraId="50903C4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4864CC2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056" w:type="dxa"/>
                  <w:vAlign w:val="center"/>
                </w:tcPr>
                <w:p w14:paraId="5DF7D62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0.031 </w:t>
                  </w:r>
                </w:p>
              </w:tc>
              <w:tc>
                <w:tcPr>
                  <w:tcW w:w="1038" w:type="dxa"/>
                  <w:vAlign w:val="center"/>
                </w:tcPr>
                <w:p w14:paraId="07DF203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0.013 </w:t>
                  </w:r>
                </w:p>
              </w:tc>
            </w:tr>
            <w:tr w14:paraId="092C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961" w:type="pct"/>
                  <w:vAlign w:val="center"/>
                </w:tcPr>
                <w:p w14:paraId="528472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皮带输送粉尘</w:t>
                  </w:r>
                </w:p>
              </w:tc>
              <w:tc>
                <w:tcPr>
                  <w:tcW w:w="422" w:type="pct"/>
                  <w:vMerge w:val="continue"/>
                  <w:vAlign w:val="center"/>
                </w:tcPr>
                <w:p w14:paraId="3E3853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1EF965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0.75</w:t>
                  </w:r>
                </w:p>
              </w:tc>
              <w:tc>
                <w:tcPr>
                  <w:tcW w:w="612" w:type="pct"/>
                  <w:vAlign w:val="center"/>
                </w:tcPr>
                <w:p w14:paraId="2F67C7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0.313</w:t>
                  </w:r>
                </w:p>
              </w:tc>
              <w:tc>
                <w:tcPr>
                  <w:tcW w:w="670" w:type="pct"/>
                  <w:vMerge w:val="continue"/>
                  <w:vAlign w:val="center"/>
                </w:tcPr>
                <w:p w14:paraId="3B5D33F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019E98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056" w:type="dxa"/>
                  <w:vAlign w:val="center"/>
                </w:tcPr>
                <w:p w14:paraId="3C4BE6F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0.078 </w:t>
                  </w:r>
                </w:p>
              </w:tc>
              <w:tc>
                <w:tcPr>
                  <w:tcW w:w="1038" w:type="dxa"/>
                  <w:vAlign w:val="center"/>
                </w:tcPr>
                <w:p w14:paraId="46E98F5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0.033 </w:t>
                  </w:r>
                </w:p>
              </w:tc>
            </w:tr>
            <w:tr w14:paraId="6FC9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1A704AF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出料粉尘</w:t>
                  </w:r>
                </w:p>
                <w:p w14:paraId="60F8A44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（未收集）</w:t>
                  </w:r>
                </w:p>
              </w:tc>
              <w:tc>
                <w:tcPr>
                  <w:tcW w:w="422" w:type="pct"/>
                  <w:vMerge w:val="continue"/>
                  <w:vAlign w:val="center"/>
                </w:tcPr>
                <w:p w14:paraId="3DC3C4C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79" w:type="pct"/>
                  <w:vAlign w:val="center"/>
                </w:tcPr>
                <w:p w14:paraId="1A6130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w:t>
                  </w:r>
                  <w:r>
                    <w:rPr>
                      <w:rFonts w:hint="eastAsia" w:cs="Times New Roman"/>
                      <w:color w:val="auto"/>
                      <w:lang w:val="en-US" w:eastAsia="zh-CN"/>
                    </w:rPr>
                    <w:t>3</w:t>
                  </w:r>
                </w:p>
              </w:tc>
              <w:tc>
                <w:tcPr>
                  <w:tcW w:w="612" w:type="pct"/>
                  <w:vAlign w:val="center"/>
                </w:tcPr>
                <w:p w14:paraId="1D86FF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0.</w:t>
                  </w:r>
                  <w:r>
                    <w:rPr>
                      <w:rFonts w:hint="eastAsia" w:cs="Times New Roman"/>
                      <w:color w:val="auto"/>
                      <w:lang w:val="en-US" w:eastAsia="zh-CN"/>
                    </w:rPr>
                    <w:t>125</w:t>
                  </w:r>
                </w:p>
              </w:tc>
              <w:tc>
                <w:tcPr>
                  <w:tcW w:w="670" w:type="pct"/>
                  <w:vMerge w:val="continue"/>
                  <w:vAlign w:val="center"/>
                </w:tcPr>
                <w:p w14:paraId="5F0A389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04" w:type="pct"/>
                  <w:vMerge w:val="continue"/>
                  <w:vAlign w:val="center"/>
                </w:tcPr>
                <w:p w14:paraId="2629653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056" w:type="dxa"/>
                  <w:vAlign w:val="center"/>
                </w:tcPr>
                <w:p w14:paraId="1D1D25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0.031 </w:t>
                  </w:r>
                </w:p>
              </w:tc>
              <w:tc>
                <w:tcPr>
                  <w:tcW w:w="1038" w:type="dxa"/>
                  <w:vAlign w:val="center"/>
                </w:tcPr>
                <w:p w14:paraId="022C126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 xml:space="preserve">0.013 </w:t>
                  </w:r>
                </w:p>
              </w:tc>
            </w:tr>
            <w:tr w14:paraId="3A2B3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791D1E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食堂油烟</w:t>
                  </w:r>
                </w:p>
              </w:tc>
              <w:tc>
                <w:tcPr>
                  <w:tcW w:w="422" w:type="pct"/>
                  <w:vAlign w:val="center"/>
                </w:tcPr>
                <w:p w14:paraId="202EFC9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油烟</w:t>
                  </w:r>
                </w:p>
              </w:tc>
              <w:tc>
                <w:tcPr>
                  <w:tcW w:w="579" w:type="pct"/>
                  <w:vAlign w:val="center"/>
                </w:tcPr>
                <w:p w14:paraId="459BF22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0.00381</w:t>
                  </w:r>
                </w:p>
              </w:tc>
              <w:tc>
                <w:tcPr>
                  <w:tcW w:w="612" w:type="pct"/>
                  <w:vAlign w:val="center"/>
                </w:tcPr>
                <w:p w14:paraId="0AA4E9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0.003173</w:t>
                  </w:r>
                </w:p>
              </w:tc>
              <w:tc>
                <w:tcPr>
                  <w:tcW w:w="670" w:type="pct"/>
                  <w:vAlign w:val="center"/>
                </w:tcPr>
                <w:p w14:paraId="73A57E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抽油烟机</w:t>
                  </w:r>
                </w:p>
              </w:tc>
              <w:tc>
                <w:tcPr>
                  <w:tcW w:w="504" w:type="pct"/>
                  <w:vAlign w:val="center"/>
                </w:tcPr>
                <w:p w14:paraId="2EE710A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29" w:type="pct"/>
                  <w:vAlign w:val="center"/>
                </w:tcPr>
                <w:p w14:paraId="7177352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0.001524</w:t>
                  </w:r>
                </w:p>
              </w:tc>
              <w:tc>
                <w:tcPr>
                  <w:tcW w:w="618" w:type="pct"/>
                  <w:vAlign w:val="center"/>
                </w:tcPr>
                <w:p w14:paraId="053E17F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0.00127</w:t>
                  </w:r>
                </w:p>
              </w:tc>
            </w:tr>
          </w:tbl>
          <w:p w14:paraId="282CC50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根据上表，本项目无组织排放颗粒物总量</w:t>
            </w:r>
            <w:r>
              <w:rPr>
                <w:rFonts w:hint="eastAsia" w:cs="Times New Roman"/>
                <w:color w:val="auto"/>
                <w:sz w:val="24"/>
                <w:szCs w:val="24"/>
                <w:lang w:val="en-US" w:eastAsia="zh-CN"/>
              </w:rPr>
              <w:t>3.643</w:t>
            </w:r>
            <w:r>
              <w:rPr>
                <w:rFonts w:hint="eastAsia" w:ascii="Times New Roman" w:hAnsi="Times New Roman" w:eastAsia="宋体" w:cs="Times New Roman"/>
                <w:color w:val="auto"/>
                <w:sz w:val="24"/>
                <w:szCs w:val="24"/>
                <w:lang w:eastAsia="zh-CN"/>
              </w:rPr>
              <w:t>t/a，排放速率</w:t>
            </w:r>
            <w:r>
              <w:rPr>
                <w:rFonts w:hint="eastAsia" w:cs="Times New Roman"/>
                <w:color w:val="auto"/>
                <w:sz w:val="24"/>
                <w:szCs w:val="24"/>
                <w:lang w:val="en-US" w:eastAsia="zh-CN"/>
              </w:rPr>
              <w:t>2.196</w:t>
            </w:r>
            <w:r>
              <w:rPr>
                <w:rFonts w:hint="eastAsia" w:ascii="Times New Roman" w:hAnsi="Times New Roman" w:eastAsia="宋体" w:cs="Times New Roman"/>
                <w:color w:val="auto"/>
                <w:sz w:val="24"/>
                <w:szCs w:val="24"/>
                <w:lang w:eastAsia="zh-CN"/>
              </w:rPr>
              <w:t>kg/h，油烟总量0.001524t/a，排放速率0.00127kg/h。</w:t>
            </w:r>
          </w:p>
          <w:p w14:paraId="588FC9F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（2）有组织</w:t>
            </w:r>
          </w:p>
          <w:p w14:paraId="2E32C075">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b/>
                <w:bCs/>
                <w:color w:val="auto"/>
                <w:sz w:val="24"/>
                <w:szCs w:val="24"/>
                <w:lang w:val="zh-CN" w:eastAsia="zh-CN"/>
              </w:rPr>
            </w:pPr>
            <w:r>
              <w:rPr>
                <w:rFonts w:hint="eastAsia" w:ascii="Times New Roman" w:hAnsi="Times New Roman" w:eastAsia="宋体" w:cs="Times New Roman"/>
                <w:color w:val="auto"/>
                <w:sz w:val="24"/>
                <w:szCs w:val="24"/>
                <w:lang w:eastAsia="zh-CN"/>
              </w:rPr>
              <w:t>本项目有组织废气包括上料粉尘、搅拌粉尘和出料粉尘，产排情况见下表。</w:t>
            </w:r>
          </w:p>
          <w:p w14:paraId="78D67654">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w:t>
            </w:r>
            <w:r>
              <w:rPr>
                <w:rFonts w:hint="eastAsia" w:ascii="Times New Roman" w:hAnsi="Times New Roman" w:eastAsia="宋体" w:cs="Times New Roman"/>
                <w:b/>
                <w:bCs/>
                <w:color w:val="auto"/>
                <w:sz w:val="24"/>
                <w:szCs w:val="24"/>
                <w:lang w:eastAsia="zh-CN"/>
              </w:rPr>
              <w:t>4-3 有组织废气</w:t>
            </w:r>
            <w:r>
              <w:rPr>
                <w:rFonts w:hint="eastAsia" w:ascii="Times New Roman" w:hAnsi="Times New Roman" w:eastAsia="宋体" w:cs="Times New Roman"/>
                <w:b/>
                <w:bCs/>
                <w:color w:val="auto"/>
                <w:sz w:val="24"/>
                <w:szCs w:val="24"/>
                <w:lang w:val="zh-CN" w:eastAsia="zh-CN"/>
              </w:rPr>
              <w:t>污染物产排情况一览表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092"/>
              <w:gridCol w:w="433"/>
              <w:gridCol w:w="650"/>
              <w:gridCol w:w="643"/>
              <w:gridCol w:w="718"/>
              <w:gridCol w:w="921"/>
              <w:gridCol w:w="761"/>
              <w:gridCol w:w="493"/>
              <w:gridCol w:w="750"/>
              <w:gridCol w:w="697"/>
              <w:gridCol w:w="866"/>
            </w:tblGrid>
            <w:tr w14:paraId="62CDC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8" w:type="dxa"/>
                  <w:gridSpan w:val="2"/>
                  <w:vAlign w:val="center"/>
                </w:tcPr>
                <w:p w14:paraId="56865FF6">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污染源</w:t>
                  </w:r>
                </w:p>
              </w:tc>
              <w:tc>
                <w:tcPr>
                  <w:tcW w:w="433" w:type="dxa"/>
                  <w:vAlign w:val="center"/>
                </w:tcPr>
                <w:p w14:paraId="7C1C4C7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w:t>
                  </w:r>
                </w:p>
              </w:tc>
              <w:tc>
                <w:tcPr>
                  <w:tcW w:w="650" w:type="dxa"/>
                  <w:vAlign w:val="center"/>
                </w:tcPr>
                <w:p w14:paraId="64AF355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废气量</w:t>
                  </w:r>
                  <w:r>
                    <w:rPr>
                      <w:rFonts w:hint="eastAsia" w:ascii="Times New Roman" w:hAnsi="Times New Roman" w:eastAsia="宋体" w:cs="Times New Roman"/>
                      <w:b/>
                      <w:bCs/>
                      <w:color w:val="auto"/>
                      <w:lang w:eastAsia="zh-CN"/>
                    </w:rPr>
                    <w:t>万</w:t>
                  </w:r>
                  <w:r>
                    <w:rPr>
                      <w:rFonts w:ascii="Times New Roman" w:hAnsi="Times New Roman" w:eastAsia="宋体" w:cs="Times New Roman"/>
                      <w:b/>
                      <w:bCs/>
                      <w:color w:val="auto"/>
                      <w:lang w:eastAsia="zh-CN"/>
                    </w:rPr>
                    <w:t>N</w:t>
                  </w:r>
                  <w:r>
                    <w:rPr>
                      <w:rFonts w:hint="eastAsia" w:ascii="Times New Roman" w:hAnsi="Times New Roman" w:eastAsia="宋体" w:cs="Times New Roman"/>
                      <w:b/>
                      <w:bCs/>
                      <w:color w:val="auto"/>
                      <w:lang w:eastAsia="zh-CN"/>
                    </w:rPr>
                    <w:t>m³</w:t>
                  </w:r>
                  <w:r>
                    <w:rPr>
                      <w:rFonts w:ascii="Times New Roman" w:hAnsi="Times New Roman" w:eastAsia="宋体" w:cs="Times New Roman"/>
                      <w:b/>
                      <w:bCs/>
                      <w:color w:val="auto"/>
                      <w:lang w:eastAsia="zh-CN"/>
                    </w:rPr>
                    <w:t>/a</w:t>
                  </w:r>
                </w:p>
              </w:tc>
              <w:tc>
                <w:tcPr>
                  <w:tcW w:w="643" w:type="dxa"/>
                  <w:vAlign w:val="center"/>
                </w:tcPr>
                <w:p w14:paraId="309F4EF6">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产生量</w:t>
                  </w:r>
                </w:p>
                <w:p w14:paraId="6AA4F7D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t/a</w:t>
                  </w:r>
                </w:p>
              </w:tc>
              <w:tc>
                <w:tcPr>
                  <w:tcW w:w="718" w:type="dxa"/>
                  <w:vAlign w:val="center"/>
                </w:tcPr>
                <w:p w14:paraId="55C540C8">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产生速率kg/h</w:t>
                  </w:r>
                </w:p>
              </w:tc>
              <w:tc>
                <w:tcPr>
                  <w:tcW w:w="921" w:type="dxa"/>
                  <w:vAlign w:val="center"/>
                </w:tcPr>
                <w:p w14:paraId="0B5329A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产生</w:t>
                  </w:r>
                  <w:r>
                    <w:rPr>
                      <w:rFonts w:hint="eastAsia" w:ascii="Times New Roman" w:hAnsi="Times New Roman" w:eastAsia="宋体" w:cs="Times New Roman"/>
                      <w:b/>
                      <w:bCs/>
                      <w:color w:val="auto"/>
                      <w:lang w:eastAsia="zh-CN"/>
                    </w:rPr>
                    <w:t>浓度</w:t>
                  </w:r>
                  <w:r>
                    <w:rPr>
                      <w:rFonts w:ascii="Times New Roman" w:hAnsi="Times New Roman" w:eastAsia="宋体" w:cs="Times New Roman"/>
                      <w:b/>
                      <w:bCs/>
                      <w:color w:val="auto"/>
                      <w:lang w:eastAsia="zh-CN"/>
                    </w:rPr>
                    <w:t>mg/</w:t>
                  </w:r>
                  <w:r>
                    <w:rPr>
                      <w:rFonts w:hint="eastAsia" w:ascii="Times New Roman" w:hAnsi="Times New Roman" w:eastAsia="宋体" w:cs="Times New Roman"/>
                      <w:b/>
                      <w:bCs/>
                      <w:color w:val="auto"/>
                      <w:lang w:eastAsia="zh-CN"/>
                    </w:rPr>
                    <w:t>m</w:t>
                  </w:r>
                  <w:r>
                    <w:rPr>
                      <w:rFonts w:hint="eastAsia" w:ascii="Times New Roman" w:hAnsi="Times New Roman" w:eastAsia="宋体" w:cs="Times New Roman"/>
                      <w:b/>
                      <w:bCs/>
                      <w:color w:val="auto"/>
                      <w:vertAlign w:val="superscript"/>
                      <w:lang w:eastAsia="zh-CN"/>
                    </w:rPr>
                    <w:t>3</w:t>
                  </w:r>
                </w:p>
              </w:tc>
              <w:tc>
                <w:tcPr>
                  <w:tcW w:w="761" w:type="dxa"/>
                  <w:vAlign w:val="center"/>
                </w:tcPr>
                <w:p w14:paraId="10719BD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处理措施</w:t>
                  </w:r>
                </w:p>
              </w:tc>
              <w:tc>
                <w:tcPr>
                  <w:tcW w:w="493" w:type="dxa"/>
                  <w:vAlign w:val="center"/>
                </w:tcPr>
                <w:p w14:paraId="7174A5C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处理效率</w:t>
                  </w:r>
                </w:p>
                <w:p w14:paraId="23099EB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w:t>
                  </w:r>
                </w:p>
              </w:tc>
              <w:tc>
                <w:tcPr>
                  <w:tcW w:w="750" w:type="dxa"/>
                  <w:vAlign w:val="center"/>
                </w:tcPr>
                <w:p w14:paraId="431B767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排放量t/a</w:t>
                  </w:r>
                </w:p>
              </w:tc>
              <w:tc>
                <w:tcPr>
                  <w:tcW w:w="697" w:type="dxa"/>
                  <w:vAlign w:val="center"/>
                </w:tcPr>
                <w:p w14:paraId="0F9CFA8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排放速率kg/h</w:t>
                  </w:r>
                </w:p>
              </w:tc>
              <w:tc>
                <w:tcPr>
                  <w:tcW w:w="866" w:type="dxa"/>
                  <w:vAlign w:val="center"/>
                </w:tcPr>
                <w:p w14:paraId="1444604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排放</w:t>
                  </w:r>
                </w:p>
                <w:p w14:paraId="1E2DEC4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浓度mg/</w:t>
                  </w:r>
                  <w:r>
                    <w:rPr>
                      <w:rFonts w:hint="eastAsia" w:ascii="Times New Roman" w:hAnsi="Times New Roman" w:eastAsia="宋体" w:cs="Times New Roman"/>
                      <w:b/>
                      <w:bCs/>
                      <w:color w:val="auto"/>
                      <w:lang w:eastAsia="zh-CN"/>
                    </w:rPr>
                    <w:t>m</w:t>
                  </w:r>
                  <w:r>
                    <w:rPr>
                      <w:rFonts w:hint="eastAsia" w:ascii="Times New Roman" w:hAnsi="Times New Roman" w:eastAsia="宋体" w:cs="Times New Roman"/>
                      <w:b/>
                      <w:bCs/>
                      <w:color w:val="auto"/>
                      <w:vertAlign w:val="superscript"/>
                      <w:lang w:eastAsia="zh-CN"/>
                    </w:rPr>
                    <w:t>3</w:t>
                  </w:r>
                </w:p>
              </w:tc>
            </w:tr>
            <w:tr w14:paraId="1B5BC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restart"/>
                  <w:vAlign w:val="center"/>
                </w:tcPr>
                <w:p w14:paraId="0B12D68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DA001</w:t>
                  </w:r>
                </w:p>
              </w:tc>
              <w:tc>
                <w:tcPr>
                  <w:tcW w:w="1092" w:type="dxa"/>
                  <w:vAlign w:val="center"/>
                </w:tcPr>
                <w:p w14:paraId="6CBB9CF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w:t>
                  </w:r>
                </w:p>
                <w:p w14:paraId="748210A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（已收集）</w:t>
                  </w:r>
                </w:p>
              </w:tc>
              <w:tc>
                <w:tcPr>
                  <w:tcW w:w="433" w:type="dxa"/>
                  <w:vMerge w:val="restart"/>
                  <w:vAlign w:val="center"/>
                </w:tcPr>
                <w:p w14:paraId="3CC62EB0">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ascii="Times New Roman" w:hAnsi="Times New Roman" w:eastAsia="宋体" w:cs="Times New Roman"/>
                      <w:color w:val="auto"/>
                      <w:lang w:eastAsia="zh-CN"/>
                    </w:rPr>
                    <w:t>颗粒物</w:t>
                  </w:r>
                </w:p>
              </w:tc>
              <w:tc>
                <w:tcPr>
                  <w:tcW w:w="650" w:type="dxa"/>
                  <w:vMerge w:val="restart"/>
                  <w:vAlign w:val="center"/>
                </w:tcPr>
                <w:p w14:paraId="19F9E33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cs="Times New Roman"/>
                      <w:color w:val="auto"/>
                      <w:lang w:val="en-US" w:eastAsia="zh-CN"/>
                    </w:rPr>
                    <w:t>12</w:t>
                  </w:r>
                  <w:r>
                    <w:rPr>
                      <w:rFonts w:hint="eastAsia" w:ascii="Times New Roman" w:hAnsi="Times New Roman" w:eastAsia="宋体" w:cs="Times New Roman"/>
                      <w:color w:val="auto"/>
                      <w:lang w:eastAsia="zh-CN"/>
                    </w:rPr>
                    <w:t>00</w:t>
                  </w:r>
                </w:p>
              </w:tc>
              <w:tc>
                <w:tcPr>
                  <w:tcW w:w="643" w:type="dxa"/>
                  <w:vAlign w:val="center"/>
                </w:tcPr>
                <w:p w14:paraId="228D8CB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0.7</w:t>
                  </w:r>
                </w:p>
              </w:tc>
              <w:tc>
                <w:tcPr>
                  <w:tcW w:w="718" w:type="dxa"/>
                  <w:vAlign w:val="center"/>
                </w:tcPr>
                <w:p w14:paraId="2B5B3D7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cs="Times New Roman"/>
                      <w:color w:val="auto"/>
                      <w:lang w:val="en-US" w:eastAsia="zh-CN"/>
                    </w:rPr>
                    <w:t>0.29</w:t>
                  </w:r>
                </w:p>
              </w:tc>
              <w:tc>
                <w:tcPr>
                  <w:tcW w:w="921" w:type="dxa"/>
                  <w:vMerge w:val="restart"/>
                  <w:vAlign w:val="center"/>
                </w:tcPr>
                <w:p w14:paraId="6652C06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1200</w:t>
                  </w:r>
                </w:p>
              </w:tc>
              <w:tc>
                <w:tcPr>
                  <w:tcW w:w="761" w:type="dxa"/>
                  <w:vMerge w:val="restart"/>
                  <w:vAlign w:val="center"/>
                </w:tcPr>
                <w:p w14:paraId="0FACCB2D">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布袋除尘器</w:t>
                  </w:r>
                </w:p>
              </w:tc>
              <w:tc>
                <w:tcPr>
                  <w:tcW w:w="493" w:type="dxa"/>
                  <w:vMerge w:val="restart"/>
                  <w:vAlign w:val="center"/>
                </w:tcPr>
                <w:p w14:paraId="72FB2BF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99</w:t>
                  </w:r>
                </w:p>
              </w:tc>
              <w:tc>
                <w:tcPr>
                  <w:tcW w:w="750" w:type="dxa"/>
                  <w:vMerge w:val="restart"/>
                  <w:vAlign w:val="center"/>
                </w:tcPr>
                <w:p w14:paraId="28D208B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0.144</w:t>
                  </w:r>
                </w:p>
              </w:tc>
              <w:tc>
                <w:tcPr>
                  <w:tcW w:w="697" w:type="dxa"/>
                  <w:vMerge w:val="restart"/>
                  <w:vAlign w:val="center"/>
                </w:tcPr>
                <w:p w14:paraId="1CA5C6B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0.06</w:t>
                  </w:r>
                </w:p>
              </w:tc>
              <w:tc>
                <w:tcPr>
                  <w:tcW w:w="866" w:type="dxa"/>
                  <w:vMerge w:val="restart"/>
                  <w:vAlign w:val="center"/>
                </w:tcPr>
                <w:p w14:paraId="1EC58A6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12</w:t>
                  </w:r>
                </w:p>
              </w:tc>
            </w:tr>
            <w:tr w14:paraId="796E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continue"/>
                  <w:vAlign w:val="center"/>
                </w:tcPr>
                <w:p w14:paraId="2B826FA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1092" w:type="dxa"/>
                  <w:vAlign w:val="center"/>
                </w:tcPr>
                <w:p w14:paraId="46014A2E">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搅拌粉尘</w:t>
                  </w:r>
                </w:p>
              </w:tc>
              <w:tc>
                <w:tcPr>
                  <w:tcW w:w="433" w:type="dxa"/>
                  <w:vMerge w:val="continue"/>
                  <w:vAlign w:val="center"/>
                </w:tcPr>
                <w:p w14:paraId="3A87A69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50" w:type="dxa"/>
                  <w:vMerge w:val="continue"/>
                  <w:vAlign w:val="center"/>
                </w:tcPr>
                <w:p w14:paraId="010FE86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43" w:type="dxa"/>
                  <w:vAlign w:val="center"/>
                </w:tcPr>
                <w:p w14:paraId="5A5435B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13</w:t>
                  </w:r>
                </w:p>
              </w:tc>
              <w:tc>
                <w:tcPr>
                  <w:tcW w:w="718" w:type="dxa"/>
                  <w:vAlign w:val="center"/>
                </w:tcPr>
                <w:p w14:paraId="6B9DE6C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5</w:t>
                  </w:r>
                  <w:r>
                    <w:rPr>
                      <w:rFonts w:hint="eastAsia" w:cs="Times New Roman"/>
                      <w:color w:val="auto"/>
                      <w:lang w:val="en-US" w:eastAsia="zh-CN"/>
                    </w:rPr>
                    <w:t>.42</w:t>
                  </w:r>
                </w:p>
              </w:tc>
              <w:tc>
                <w:tcPr>
                  <w:tcW w:w="921" w:type="dxa"/>
                  <w:vMerge w:val="continue"/>
                  <w:vAlign w:val="center"/>
                </w:tcPr>
                <w:p w14:paraId="23AB4D2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61" w:type="dxa"/>
                  <w:vMerge w:val="continue"/>
                  <w:vAlign w:val="center"/>
                </w:tcPr>
                <w:p w14:paraId="7DBC1B3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493" w:type="dxa"/>
                  <w:vMerge w:val="continue"/>
                  <w:vAlign w:val="center"/>
                </w:tcPr>
                <w:p w14:paraId="346E3BAB">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50" w:type="dxa"/>
                  <w:vMerge w:val="continue"/>
                  <w:vAlign w:val="center"/>
                </w:tcPr>
                <w:p w14:paraId="03F3EBA9">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97" w:type="dxa"/>
                  <w:vMerge w:val="continue"/>
                  <w:vAlign w:val="center"/>
                </w:tcPr>
                <w:p w14:paraId="3FA4726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866" w:type="dxa"/>
                  <w:vMerge w:val="continue"/>
                  <w:vAlign w:val="center"/>
                </w:tcPr>
                <w:p w14:paraId="22C4F817">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r>
            <w:tr w14:paraId="2897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Merge w:val="continue"/>
                  <w:vAlign w:val="center"/>
                </w:tcPr>
                <w:p w14:paraId="158EC2D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1092" w:type="dxa"/>
                  <w:vAlign w:val="center"/>
                </w:tcPr>
                <w:p w14:paraId="20D4B17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出料粉尘（已收集）</w:t>
                  </w:r>
                </w:p>
              </w:tc>
              <w:tc>
                <w:tcPr>
                  <w:tcW w:w="433" w:type="dxa"/>
                  <w:vMerge w:val="continue"/>
                  <w:vAlign w:val="center"/>
                </w:tcPr>
                <w:p w14:paraId="1AA88DB4">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50" w:type="dxa"/>
                  <w:vMerge w:val="continue"/>
                  <w:vAlign w:val="center"/>
                </w:tcPr>
                <w:p w14:paraId="4F50EEB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43" w:type="dxa"/>
                  <w:vAlign w:val="center"/>
                </w:tcPr>
                <w:p w14:paraId="6EE2780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0.7</w:t>
                  </w:r>
                </w:p>
              </w:tc>
              <w:tc>
                <w:tcPr>
                  <w:tcW w:w="718" w:type="dxa"/>
                  <w:vAlign w:val="center"/>
                </w:tcPr>
                <w:p w14:paraId="0124BD48">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0.29</w:t>
                  </w:r>
                </w:p>
              </w:tc>
              <w:tc>
                <w:tcPr>
                  <w:tcW w:w="921" w:type="dxa"/>
                  <w:vMerge w:val="continue"/>
                  <w:vAlign w:val="center"/>
                </w:tcPr>
                <w:p w14:paraId="797E20E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61" w:type="dxa"/>
                  <w:vMerge w:val="continue"/>
                  <w:vAlign w:val="center"/>
                </w:tcPr>
                <w:p w14:paraId="76C2705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493" w:type="dxa"/>
                  <w:vMerge w:val="continue"/>
                  <w:vAlign w:val="center"/>
                </w:tcPr>
                <w:p w14:paraId="1C5D17EC">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750" w:type="dxa"/>
                  <w:vMerge w:val="continue"/>
                  <w:vAlign w:val="center"/>
                </w:tcPr>
                <w:p w14:paraId="3A6B698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697" w:type="dxa"/>
                  <w:vMerge w:val="continue"/>
                  <w:vAlign w:val="center"/>
                </w:tcPr>
                <w:p w14:paraId="45BBA9F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c>
                <w:tcPr>
                  <w:tcW w:w="866" w:type="dxa"/>
                  <w:vMerge w:val="continue"/>
                  <w:vAlign w:val="center"/>
                </w:tcPr>
                <w:p w14:paraId="4B737D3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color w:val="auto"/>
                      <w:lang w:eastAsia="zh-CN"/>
                    </w:rPr>
                  </w:pPr>
                </w:p>
              </w:tc>
            </w:tr>
            <w:tr w14:paraId="7824B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6" w:type="dxa"/>
                  <w:vAlign w:val="center"/>
                </w:tcPr>
                <w:p w14:paraId="75729C26">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z w:val="21"/>
                      <w:szCs w:val="21"/>
                      <w:lang w:val="en-US" w:eastAsia="zh-CN" w:bidi="ar-SA"/>
                    </w:rPr>
                  </w:pPr>
                  <w:r>
                    <w:rPr>
                      <w:rFonts w:hint="eastAsia" w:cs="Times New Roman"/>
                      <w:color w:val="auto"/>
                      <w:lang w:val="en-US" w:eastAsia="zh-CN"/>
                    </w:rPr>
                    <w:t>DA002</w:t>
                  </w:r>
                </w:p>
              </w:tc>
              <w:tc>
                <w:tcPr>
                  <w:tcW w:w="1092" w:type="dxa"/>
                  <w:vAlign w:val="center"/>
                </w:tcPr>
                <w:p w14:paraId="0AA584D1">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筒仓粉尘</w:t>
                  </w:r>
                </w:p>
              </w:tc>
              <w:tc>
                <w:tcPr>
                  <w:tcW w:w="433" w:type="dxa"/>
                  <w:vMerge w:val="continue"/>
                  <w:vAlign w:val="center"/>
                </w:tcPr>
                <w:p w14:paraId="66D9B644">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ascii="Times New Roman" w:hAnsi="Times New Roman" w:eastAsia="宋体" w:cs="Times New Roman"/>
                      <w:snapToGrid w:val="0"/>
                      <w:color w:val="auto"/>
                      <w:sz w:val="21"/>
                      <w:szCs w:val="21"/>
                      <w:lang w:val="en-US" w:eastAsia="zh-CN" w:bidi="ar-SA"/>
                    </w:rPr>
                  </w:pPr>
                </w:p>
              </w:tc>
              <w:tc>
                <w:tcPr>
                  <w:tcW w:w="650" w:type="dxa"/>
                  <w:vAlign w:val="center"/>
                </w:tcPr>
                <w:p w14:paraId="0C1AF3D4">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480</w:t>
                  </w:r>
                </w:p>
              </w:tc>
              <w:tc>
                <w:tcPr>
                  <w:tcW w:w="643" w:type="dxa"/>
                  <w:vAlign w:val="center"/>
                </w:tcPr>
                <w:p w14:paraId="4A0A97B3">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rPr>
                    <w:t>41.8</w:t>
                  </w:r>
                </w:p>
              </w:tc>
              <w:tc>
                <w:tcPr>
                  <w:tcW w:w="718" w:type="dxa"/>
                  <w:vAlign w:val="center"/>
                </w:tcPr>
                <w:p w14:paraId="385D4DF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17.42</w:t>
                  </w:r>
                </w:p>
              </w:tc>
              <w:tc>
                <w:tcPr>
                  <w:tcW w:w="921" w:type="dxa"/>
                  <w:vAlign w:val="center"/>
                </w:tcPr>
                <w:p w14:paraId="3568AB4A">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z w:val="21"/>
                      <w:szCs w:val="21"/>
                      <w:lang w:val="en-US" w:eastAsia="zh-CN" w:bidi="ar-SA"/>
                    </w:rPr>
                  </w:pPr>
                  <w:r>
                    <w:rPr>
                      <w:rFonts w:hint="default" w:ascii="Times New Roman" w:hAnsi="Times New Roman" w:eastAsia="宋体" w:cs="Times New Roman"/>
                      <w:color w:val="auto"/>
                      <w:lang w:val="en-US" w:eastAsia="zh-CN"/>
                    </w:rPr>
                    <w:t>1741.67</w:t>
                  </w:r>
                </w:p>
              </w:tc>
              <w:tc>
                <w:tcPr>
                  <w:tcW w:w="761" w:type="dxa"/>
                  <w:vAlign w:val="center"/>
                </w:tcPr>
                <w:p w14:paraId="6D7BC554">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脉冲布袋除尘器</w:t>
                  </w:r>
                </w:p>
              </w:tc>
              <w:tc>
                <w:tcPr>
                  <w:tcW w:w="493" w:type="dxa"/>
                  <w:vAlign w:val="center"/>
                </w:tcPr>
                <w:p w14:paraId="19D204B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99</w:t>
                  </w:r>
                </w:p>
              </w:tc>
              <w:tc>
                <w:tcPr>
                  <w:tcW w:w="750" w:type="dxa"/>
                  <w:vAlign w:val="center"/>
                </w:tcPr>
                <w:p w14:paraId="125541A2">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0.418</w:t>
                  </w:r>
                </w:p>
              </w:tc>
              <w:tc>
                <w:tcPr>
                  <w:tcW w:w="697" w:type="dxa"/>
                  <w:vAlign w:val="center"/>
                </w:tcPr>
                <w:p w14:paraId="57439D45">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eastAsia"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eastAsia="zh-CN"/>
                    </w:rPr>
                    <w:t>0.174</w:t>
                  </w:r>
                </w:p>
              </w:tc>
              <w:tc>
                <w:tcPr>
                  <w:tcW w:w="866" w:type="dxa"/>
                  <w:vAlign w:val="center"/>
                </w:tcPr>
                <w:p w14:paraId="4F07B58F">
                  <w:pPr>
                    <w:keepNext w:val="0"/>
                    <w:keepLines w:val="0"/>
                    <w:pageBreakBefore w:val="0"/>
                    <w:widowControl/>
                    <w:kinsoku/>
                    <w:wordWrap/>
                    <w:overflowPunct w:val="0"/>
                    <w:topLinePunct w:val="0"/>
                    <w:autoSpaceDE/>
                    <w:autoSpaceDN/>
                    <w:bidi w:val="0"/>
                    <w:adjustRightInd w:val="0"/>
                    <w:snapToGrid w:val="0"/>
                    <w:spacing w:line="240" w:lineRule="auto"/>
                    <w:jc w:val="center"/>
                    <w:textAlignment w:val="baseline"/>
                    <w:rPr>
                      <w:rFonts w:hint="default" w:ascii="Times New Roman" w:hAnsi="Times New Roman" w:eastAsia="宋体" w:cs="Times New Roman"/>
                      <w:snapToGrid w:val="0"/>
                      <w:color w:val="auto"/>
                      <w:sz w:val="21"/>
                      <w:szCs w:val="21"/>
                      <w:lang w:val="en-US" w:eastAsia="zh-CN" w:bidi="ar-SA"/>
                    </w:rPr>
                  </w:pPr>
                  <w:r>
                    <w:rPr>
                      <w:rFonts w:hint="eastAsia" w:ascii="Times New Roman" w:hAnsi="Times New Roman" w:eastAsia="宋体" w:cs="Times New Roman"/>
                      <w:color w:val="auto"/>
                      <w:lang w:val="en-US" w:eastAsia="zh-CN"/>
                    </w:rPr>
                    <w:t>17.42</w:t>
                  </w:r>
                </w:p>
              </w:tc>
            </w:tr>
          </w:tbl>
          <w:p w14:paraId="4DB3178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根据上表，本项目有组织排放</w:t>
            </w:r>
            <w:r>
              <w:rPr>
                <w:rFonts w:hint="eastAsia" w:ascii="Times New Roman" w:hAnsi="Times New Roman" w:eastAsia="宋体" w:cs="Times New Roman"/>
                <w:color w:val="auto"/>
                <w:sz w:val="24"/>
                <w:szCs w:val="24"/>
                <w:lang w:val="en-US" w:eastAsia="zh-CN"/>
              </w:rPr>
              <w:t>废气总量</w:t>
            </w:r>
            <w:r>
              <w:rPr>
                <w:rFonts w:hint="eastAsia" w:cs="Times New Roman"/>
                <w:color w:val="auto"/>
                <w:sz w:val="24"/>
                <w:szCs w:val="24"/>
                <w:lang w:val="en-US" w:eastAsia="zh-CN"/>
              </w:rPr>
              <w:t>16</w:t>
            </w:r>
            <w:r>
              <w:rPr>
                <w:rFonts w:hint="eastAsia" w:ascii="Times New Roman" w:hAnsi="Times New Roman" w:eastAsia="宋体" w:cs="Times New Roman"/>
                <w:color w:val="auto"/>
                <w:sz w:val="24"/>
                <w:szCs w:val="24"/>
                <w:lang w:val="en-US" w:eastAsia="zh-CN"/>
              </w:rPr>
              <w:t>80</w:t>
            </w:r>
            <w:r>
              <w:rPr>
                <w:rFonts w:hint="eastAsia" w:ascii="Times New Roman" w:hAnsi="Times New Roman" w:eastAsia="宋体" w:cs="Times New Roman"/>
                <w:b w:val="0"/>
                <w:bCs w:val="0"/>
                <w:color w:val="auto"/>
                <w:sz w:val="24"/>
                <w:szCs w:val="24"/>
                <w:lang w:val="en-US" w:eastAsia="zh-CN"/>
              </w:rPr>
              <w:t>万</w:t>
            </w:r>
            <w:r>
              <w:rPr>
                <w:rFonts w:hint="eastAsia" w:ascii="Times New Roman" w:hAnsi="Times New Roman" w:eastAsia="宋体" w:cs="Times New Roman"/>
                <w:b w:val="0"/>
                <w:bCs w:val="0"/>
                <w:color w:val="auto"/>
                <w:lang w:val="en-US" w:eastAsia="zh-CN"/>
              </w:rPr>
              <w:t>m</w:t>
            </w:r>
            <w:r>
              <w:rPr>
                <w:rFonts w:hint="eastAsia" w:ascii="Times New Roman" w:hAnsi="Times New Roman" w:eastAsia="宋体" w:cs="Times New Roman"/>
                <w:b w:val="0"/>
                <w:bCs w:val="0"/>
                <w:color w:val="auto"/>
                <w:vertAlign w:val="superscript"/>
                <w:lang w:val="en-US" w:eastAsia="zh-CN"/>
              </w:rPr>
              <w:t>3</w:t>
            </w:r>
            <w:r>
              <w:rPr>
                <w:rFonts w:ascii="Times New Roman" w:hAnsi="Times New Roman" w:eastAsia="宋体" w:cs="Times New Roman"/>
                <w:b w:val="0"/>
                <w:bCs w:val="0"/>
                <w:color w:val="auto"/>
                <w:lang w:eastAsia="zh-CN"/>
              </w:rPr>
              <w:t>/a</w:t>
            </w:r>
            <w:r>
              <w:rPr>
                <w:rFonts w:hint="eastAsia" w:ascii="Times New Roman" w:hAnsi="Times New Roman" w:eastAsia="宋体" w:cs="Times New Roman"/>
                <w:b w:val="0"/>
                <w:bCs w:val="0"/>
                <w:color w:val="auto"/>
                <w:sz w:val="24"/>
                <w:szCs w:val="24"/>
                <w:lang w:val="en-US" w:eastAsia="zh-CN"/>
              </w:rPr>
              <w:t>，</w:t>
            </w:r>
            <w:r>
              <w:rPr>
                <w:rFonts w:hint="eastAsia" w:ascii="Times New Roman" w:hAnsi="Times New Roman" w:eastAsia="宋体" w:cs="Times New Roman"/>
                <w:color w:val="auto"/>
                <w:sz w:val="24"/>
                <w:szCs w:val="24"/>
                <w:lang w:eastAsia="zh-CN"/>
              </w:rPr>
              <w:t>颗粒物总量</w:t>
            </w:r>
            <w:r>
              <w:rPr>
                <w:rFonts w:hint="eastAsia" w:cs="Times New Roman"/>
                <w:color w:val="auto"/>
                <w:sz w:val="24"/>
                <w:szCs w:val="24"/>
                <w:lang w:val="en-US" w:eastAsia="zh-CN"/>
              </w:rPr>
              <w:t>0.56</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t/a，排放速率0.</w:t>
            </w:r>
            <w:r>
              <w:rPr>
                <w:rFonts w:hint="eastAsia" w:cs="Times New Roman"/>
                <w:color w:val="auto"/>
                <w:sz w:val="24"/>
                <w:szCs w:val="24"/>
                <w:lang w:val="en-US" w:eastAsia="zh-CN"/>
              </w:rPr>
              <w:t>234</w:t>
            </w:r>
            <w:r>
              <w:rPr>
                <w:rFonts w:hint="eastAsia" w:ascii="Times New Roman" w:hAnsi="Times New Roman" w:eastAsia="宋体" w:cs="Times New Roman"/>
                <w:color w:val="auto"/>
                <w:sz w:val="24"/>
                <w:szCs w:val="24"/>
                <w:lang w:eastAsia="zh-CN"/>
              </w:rPr>
              <w:t>kg/h。</w:t>
            </w:r>
          </w:p>
          <w:p w14:paraId="6A99625D">
            <w:pPr>
              <w:pStyle w:val="30"/>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2.3废气污染物达标分析</w:t>
            </w:r>
          </w:p>
          <w:p w14:paraId="195F73F6">
            <w:pPr>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（1）有组织</w:t>
            </w:r>
          </w:p>
          <w:p w14:paraId="7DF0669A">
            <w:pPr>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本项目有组织废气污染物排放达标分析见下表：</w:t>
            </w:r>
          </w:p>
          <w:p w14:paraId="0A9D11AB">
            <w:pPr>
              <w:pStyle w:val="30"/>
              <w:kinsoku/>
              <w:overflowPunct w:val="0"/>
              <w:autoSpaceDE/>
              <w:autoSpaceDN/>
              <w:adjustRightInd/>
              <w:snapToGrid/>
              <w:jc w:val="center"/>
              <w:rPr>
                <w:rFonts w:ascii="Times New Roman" w:hAnsi="Times New Roman" w:eastAsia="宋体" w:cs="Times New Roman"/>
                <w:b/>
                <w:bCs/>
                <w:color w:val="auto"/>
                <w:sz w:val="24"/>
                <w:szCs w:val="24"/>
                <w:lang w:val="zh-CN"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-4 有组织废气污染物排放达标分析一览表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954"/>
              <w:gridCol w:w="2275"/>
              <w:gridCol w:w="1002"/>
              <w:gridCol w:w="884"/>
              <w:gridCol w:w="1052"/>
              <w:gridCol w:w="945"/>
            </w:tblGrid>
            <w:tr w14:paraId="42CBA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14:paraId="46BB7A0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污染源</w:t>
                  </w:r>
                </w:p>
              </w:tc>
              <w:tc>
                <w:tcPr>
                  <w:tcW w:w="568" w:type="pct"/>
                  <w:vAlign w:val="center"/>
                </w:tcPr>
                <w:p w14:paraId="21444A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污染物</w:t>
                  </w:r>
                </w:p>
              </w:tc>
              <w:tc>
                <w:tcPr>
                  <w:tcW w:w="1355" w:type="pct"/>
                  <w:vAlign w:val="center"/>
                </w:tcPr>
                <w:p w14:paraId="53F013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597" w:type="pct"/>
                  <w:vAlign w:val="center"/>
                </w:tcPr>
                <w:p w14:paraId="3C2DB4B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排放</w:t>
                  </w:r>
                </w:p>
                <w:p w14:paraId="407BD22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数据</w:t>
                  </w:r>
                </w:p>
              </w:tc>
              <w:tc>
                <w:tcPr>
                  <w:tcW w:w="526" w:type="pct"/>
                  <w:vAlign w:val="center"/>
                </w:tcPr>
                <w:p w14:paraId="69395EE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标准限值</w:t>
                  </w:r>
                </w:p>
              </w:tc>
              <w:tc>
                <w:tcPr>
                  <w:tcW w:w="626" w:type="pct"/>
                  <w:vAlign w:val="center"/>
                </w:tcPr>
                <w:p w14:paraId="58F9D99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占标率%</w:t>
                  </w:r>
                </w:p>
              </w:tc>
              <w:tc>
                <w:tcPr>
                  <w:tcW w:w="563" w:type="pct"/>
                  <w:vAlign w:val="center"/>
                </w:tcPr>
                <w:p w14:paraId="041D7FB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达标</w:t>
                  </w:r>
                </w:p>
                <w:p w14:paraId="7AB9BE6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情况</w:t>
                  </w:r>
                </w:p>
              </w:tc>
            </w:tr>
            <w:tr w14:paraId="2CB02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vAlign w:val="center"/>
                </w:tcPr>
                <w:p w14:paraId="1ACDAC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DA001排气筒</w:t>
                  </w:r>
                </w:p>
              </w:tc>
              <w:tc>
                <w:tcPr>
                  <w:tcW w:w="568" w:type="pct"/>
                  <w:vMerge w:val="restart"/>
                  <w:vAlign w:val="center"/>
                </w:tcPr>
                <w:p w14:paraId="5F5400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颗粒物</w:t>
                  </w:r>
                </w:p>
              </w:tc>
              <w:tc>
                <w:tcPr>
                  <w:tcW w:w="1355" w:type="pct"/>
                  <w:vAlign w:val="center"/>
                </w:tcPr>
                <w:p w14:paraId="349BCF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w:t>
                  </w:r>
                  <w:r>
                    <w:rPr>
                      <w:rFonts w:ascii="Times New Roman" w:hAnsi="Times New Roman" w:eastAsia="宋体" w:cs="Times New Roman"/>
                      <w:color w:val="auto"/>
                      <w:lang w:eastAsia="zh-CN"/>
                    </w:rPr>
                    <w:t>mg/</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597" w:type="pct"/>
                  <w:vAlign w:val="center"/>
                </w:tcPr>
                <w:p w14:paraId="5878340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12</w:t>
                  </w:r>
                </w:p>
              </w:tc>
              <w:tc>
                <w:tcPr>
                  <w:tcW w:w="526" w:type="pct"/>
                  <w:vAlign w:val="center"/>
                </w:tcPr>
                <w:p w14:paraId="16714F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626" w:type="pct"/>
                  <w:vAlign w:val="center"/>
                </w:tcPr>
                <w:p w14:paraId="1401FD9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10</w:t>
                  </w:r>
                </w:p>
              </w:tc>
              <w:tc>
                <w:tcPr>
                  <w:tcW w:w="563" w:type="pct"/>
                  <w:vAlign w:val="center"/>
                </w:tcPr>
                <w:p w14:paraId="2B6A6BA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2637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7CED160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568" w:type="pct"/>
                  <w:vMerge w:val="continue"/>
                  <w:vAlign w:val="center"/>
                </w:tcPr>
                <w:p w14:paraId="2E73739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355" w:type="pct"/>
                  <w:vAlign w:val="center"/>
                </w:tcPr>
                <w:p w14:paraId="1E257E4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排放速率（kg/h）</w:t>
                  </w:r>
                </w:p>
              </w:tc>
              <w:tc>
                <w:tcPr>
                  <w:tcW w:w="597" w:type="pct"/>
                  <w:vAlign w:val="center"/>
                </w:tcPr>
                <w:p w14:paraId="1F6A6C9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0.06</w:t>
                  </w:r>
                </w:p>
              </w:tc>
              <w:tc>
                <w:tcPr>
                  <w:tcW w:w="526" w:type="pct"/>
                  <w:vAlign w:val="center"/>
                </w:tcPr>
                <w:p w14:paraId="50D5C8C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1.75</w:t>
                  </w:r>
                </w:p>
              </w:tc>
              <w:tc>
                <w:tcPr>
                  <w:tcW w:w="626" w:type="pct"/>
                  <w:vAlign w:val="center"/>
                </w:tcPr>
                <w:p w14:paraId="348483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3.43</w:t>
                  </w:r>
                </w:p>
              </w:tc>
              <w:tc>
                <w:tcPr>
                  <w:tcW w:w="563" w:type="pct"/>
                  <w:vAlign w:val="center"/>
                </w:tcPr>
                <w:p w14:paraId="5AAC7CA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70C4E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vAlign w:val="center"/>
                </w:tcPr>
                <w:p w14:paraId="57BCF3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DA002排气筒</w:t>
                  </w:r>
                </w:p>
              </w:tc>
              <w:tc>
                <w:tcPr>
                  <w:tcW w:w="568" w:type="pct"/>
                  <w:vMerge w:val="restart"/>
                  <w:vAlign w:val="center"/>
                </w:tcPr>
                <w:p w14:paraId="0784FBC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1355" w:type="pct"/>
                  <w:vAlign w:val="center"/>
                </w:tcPr>
                <w:p w14:paraId="160E17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排放浓度（</w:t>
                  </w:r>
                  <w:r>
                    <w:rPr>
                      <w:rFonts w:ascii="Times New Roman" w:hAnsi="Times New Roman" w:eastAsia="宋体" w:cs="Times New Roman"/>
                      <w:color w:val="auto"/>
                      <w:lang w:eastAsia="zh-CN"/>
                    </w:rPr>
                    <w:t>mg/</w:t>
                  </w:r>
                  <w:r>
                    <w:rPr>
                      <w:rFonts w:hint="eastAsia" w:ascii="Times New Roman" w:hAnsi="Times New Roman" w:eastAsia="宋体" w:cs="Times New Roman"/>
                      <w:color w:val="auto"/>
                      <w:lang w:eastAsia="zh-CN"/>
                    </w:rPr>
                    <w:t>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w:t>
                  </w:r>
                </w:p>
              </w:tc>
              <w:tc>
                <w:tcPr>
                  <w:tcW w:w="597" w:type="pct"/>
                  <w:vAlign w:val="center"/>
                </w:tcPr>
                <w:p w14:paraId="35E6B88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17.42</w:t>
                  </w:r>
                </w:p>
              </w:tc>
              <w:tc>
                <w:tcPr>
                  <w:tcW w:w="884" w:type="dxa"/>
                  <w:vAlign w:val="center"/>
                </w:tcPr>
                <w:p w14:paraId="5A636F3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120</w:t>
                  </w:r>
                </w:p>
              </w:tc>
              <w:tc>
                <w:tcPr>
                  <w:tcW w:w="626" w:type="pct"/>
                  <w:vAlign w:val="center"/>
                </w:tcPr>
                <w:p w14:paraId="0D2CE03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14.52</w:t>
                  </w:r>
                </w:p>
              </w:tc>
              <w:tc>
                <w:tcPr>
                  <w:tcW w:w="945" w:type="dxa"/>
                  <w:vAlign w:val="center"/>
                </w:tcPr>
                <w:p w14:paraId="649A7E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77985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vAlign w:val="center"/>
                </w:tcPr>
                <w:p w14:paraId="0F91883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val="en-US" w:eastAsia="zh-CN"/>
                    </w:rPr>
                  </w:pPr>
                </w:p>
              </w:tc>
              <w:tc>
                <w:tcPr>
                  <w:tcW w:w="568" w:type="pct"/>
                  <w:vMerge w:val="continue"/>
                  <w:vAlign w:val="center"/>
                </w:tcPr>
                <w:p w14:paraId="3D033A3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p>
              </w:tc>
              <w:tc>
                <w:tcPr>
                  <w:tcW w:w="1355" w:type="pct"/>
                  <w:vAlign w:val="center"/>
                </w:tcPr>
                <w:p w14:paraId="4F29941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排放速率（kg/h）</w:t>
                  </w:r>
                </w:p>
              </w:tc>
              <w:tc>
                <w:tcPr>
                  <w:tcW w:w="597" w:type="pct"/>
                  <w:vAlign w:val="center"/>
                </w:tcPr>
                <w:p w14:paraId="709A54B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0.174</w:t>
                  </w:r>
                </w:p>
              </w:tc>
              <w:tc>
                <w:tcPr>
                  <w:tcW w:w="884" w:type="dxa"/>
                  <w:vAlign w:val="center"/>
                </w:tcPr>
                <w:p w14:paraId="0B0094C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2.47</w:t>
                  </w:r>
                </w:p>
              </w:tc>
              <w:tc>
                <w:tcPr>
                  <w:tcW w:w="626" w:type="pct"/>
                  <w:vAlign w:val="center"/>
                </w:tcPr>
                <w:p w14:paraId="2857808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lang w:val="en-US" w:eastAsia="zh-CN"/>
                    </w:rPr>
                  </w:pPr>
                  <w:r>
                    <w:rPr>
                      <w:rFonts w:hint="eastAsia" w:cs="Times New Roman"/>
                      <w:color w:val="auto"/>
                      <w:lang w:val="en-US" w:eastAsia="zh-CN"/>
                    </w:rPr>
                    <w:t>7.0</w:t>
                  </w:r>
                  <w:r>
                    <w:rPr>
                      <w:rFonts w:hint="eastAsia" w:ascii="Times New Roman" w:hAnsi="Times New Roman" w:eastAsia="宋体" w:cs="Times New Roman"/>
                      <w:color w:val="auto"/>
                      <w:lang w:val="en-US" w:eastAsia="zh-CN"/>
                    </w:rPr>
                    <w:t>4</w:t>
                  </w:r>
                </w:p>
              </w:tc>
              <w:tc>
                <w:tcPr>
                  <w:tcW w:w="945" w:type="dxa"/>
                  <w:vAlign w:val="center"/>
                </w:tcPr>
                <w:p w14:paraId="5D08159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49047FC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据上表可知，本项目DA001排气筒</w:t>
            </w:r>
            <w:r>
              <w:rPr>
                <w:rFonts w:hint="eastAsia" w:ascii="Times New Roman" w:hAnsi="Times New Roman" w:eastAsia="宋体" w:cs="Times New Roman"/>
                <w:color w:val="auto"/>
                <w:sz w:val="24"/>
                <w:szCs w:val="24"/>
                <w:lang w:val="en-US" w:eastAsia="zh-CN"/>
              </w:rPr>
              <w:t>及</w:t>
            </w:r>
            <w:r>
              <w:rPr>
                <w:rFonts w:hint="eastAsia" w:cs="Times New Roman"/>
                <w:color w:val="auto"/>
                <w:sz w:val="24"/>
                <w:szCs w:val="24"/>
                <w:lang w:val="en-US" w:eastAsia="zh-CN"/>
              </w:rPr>
              <w:t>DA002排气筒</w:t>
            </w:r>
            <w:r>
              <w:rPr>
                <w:rFonts w:hint="eastAsia" w:ascii="Times New Roman" w:hAnsi="Times New Roman" w:eastAsia="宋体" w:cs="Times New Roman"/>
                <w:color w:val="auto"/>
                <w:sz w:val="24"/>
                <w:szCs w:val="24"/>
                <w:lang w:eastAsia="zh-CN"/>
              </w:rPr>
              <w:t>的废气，颗粒物浓度及速率</w:t>
            </w:r>
            <w:r>
              <w:rPr>
                <w:rFonts w:hint="eastAsia" w:ascii="Times New Roman" w:hAnsi="Times New Roman" w:eastAsia="宋体" w:cs="Times New Roman"/>
                <w:color w:val="auto"/>
                <w:sz w:val="24"/>
                <w:szCs w:val="24"/>
                <w:lang w:val="en-US" w:eastAsia="zh-CN"/>
              </w:rPr>
              <w:t>均</w:t>
            </w:r>
            <w:r>
              <w:rPr>
                <w:rFonts w:hint="eastAsia" w:ascii="Times New Roman" w:hAnsi="Times New Roman" w:eastAsia="宋体" w:cs="Times New Roman"/>
                <w:color w:val="auto"/>
                <w:sz w:val="24"/>
                <w:szCs w:val="24"/>
                <w:lang w:eastAsia="zh-CN"/>
              </w:rPr>
              <w:t>可满足《大气污染物综合排放标准》（GB16297-1996）表2中有组织排放限值。</w:t>
            </w:r>
          </w:p>
          <w:p w14:paraId="4CA7D78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（2）无组织</w:t>
            </w:r>
          </w:p>
          <w:p w14:paraId="5E0534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本环评采用AERSCREEN模型估算项目建成后</w:t>
            </w:r>
            <w:r>
              <w:rPr>
                <w:rFonts w:hint="eastAsia" w:ascii="Times New Roman" w:hAnsi="Times New Roman" w:eastAsia="宋体" w:cs="Times New Roman"/>
                <w:color w:val="auto"/>
                <w:sz w:val="24"/>
                <w:szCs w:val="24"/>
                <w:lang w:eastAsia="zh-CN"/>
              </w:rPr>
              <w:t>无组织废气中颗粒物</w:t>
            </w:r>
            <w:r>
              <w:rPr>
                <w:rFonts w:ascii="Times New Roman" w:hAnsi="Times New Roman" w:eastAsia="宋体" w:cs="Times New Roman"/>
                <w:color w:val="auto"/>
                <w:sz w:val="24"/>
                <w:szCs w:val="24"/>
                <w:lang w:eastAsia="zh-CN"/>
              </w:rPr>
              <w:t>对周围环境的影响，估算模式为生态环境部工程评估中心环境质量模拟重点实验室提供。</w:t>
            </w:r>
            <w:r>
              <w:rPr>
                <w:rFonts w:hint="eastAsia" w:ascii="Times New Roman" w:hAnsi="Times New Roman" w:eastAsia="宋体" w:cs="Times New Roman"/>
                <w:color w:val="auto"/>
                <w:sz w:val="24"/>
                <w:szCs w:val="24"/>
                <w:lang w:eastAsia="zh-CN"/>
              </w:rPr>
              <w:t>预测结果见下表。</w:t>
            </w:r>
          </w:p>
          <w:p w14:paraId="08C100B9">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-5 无组织废气污染物预测结果一览表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95"/>
              <w:gridCol w:w="4195"/>
            </w:tblGrid>
            <w:tr w14:paraId="48B3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Pr>
                <w:p w14:paraId="6F4572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离源距离（m）</w:t>
                  </w:r>
                </w:p>
              </w:tc>
              <w:tc>
                <w:tcPr>
                  <w:tcW w:w="4195" w:type="dxa"/>
                </w:tcPr>
                <w:p w14:paraId="5652FCA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预测浓度（mg/m</w:t>
                  </w:r>
                  <w:r>
                    <w:rPr>
                      <w:rFonts w:hint="eastAsia" w:ascii="Times New Roman" w:hAnsi="Times New Roman" w:eastAsia="宋体" w:cs="Times New Roman"/>
                      <w:b/>
                      <w:bCs/>
                      <w:color w:val="auto"/>
                      <w:vertAlign w:val="superscript"/>
                      <w:lang w:eastAsia="zh-CN"/>
                    </w:rPr>
                    <w:t>3</w:t>
                  </w:r>
                  <w:r>
                    <w:rPr>
                      <w:rFonts w:hint="eastAsia" w:ascii="Times New Roman" w:hAnsi="Times New Roman" w:eastAsia="宋体" w:cs="Times New Roman"/>
                      <w:b/>
                      <w:bCs/>
                      <w:color w:val="auto"/>
                      <w:lang w:eastAsia="zh-CN"/>
                    </w:rPr>
                    <w:t>）</w:t>
                  </w:r>
                </w:p>
              </w:tc>
            </w:tr>
            <w:tr w14:paraId="5B25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61FC3A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w:t>
                  </w:r>
                </w:p>
              </w:tc>
              <w:tc>
                <w:tcPr>
                  <w:tcW w:w="4195" w:type="dxa"/>
                  <w:vAlign w:val="center"/>
                </w:tcPr>
                <w:p w14:paraId="5BA16ED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r>
            <w:tr w14:paraId="4400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4979620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w:t>
                  </w:r>
                </w:p>
              </w:tc>
              <w:tc>
                <w:tcPr>
                  <w:tcW w:w="4195" w:type="dxa"/>
                  <w:vAlign w:val="center"/>
                </w:tcPr>
                <w:p w14:paraId="50B17C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0.28</w:t>
                  </w:r>
                </w:p>
              </w:tc>
            </w:tr>
            <w:tr w14:paraId="6F702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bottom w:val="single" w:color="auto" w:sz="12" w:space="0"/>
                  </w:tcBorders>
                  <w:vAlign w:val="center"/>
                </w:tcPr>
                <w:p w14:paraId="5DB8CD1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w:t>
                  </w:r>
                </w:p>
              </w:tc>
              <w:tc>
                <w:tcPr>
                  <w:tcW w:w="4195" w:type="dxa"/>
                  <w:tcBorders>
                    <w:bottom w:val="single" w:color="auto" w:sz="12" w:space="0"/>
                  </w:tcBorders>
                  <w:vAlign w:val="center"/>
                </w:tcPr>
                <w:p w14:paraId="15A17E1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0.35</w:t>
                  </w:r>
                </w:p>
              </w:tc>
            </w:tr>
            <w:tr w14:paraId="4DCB9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top w:val="single" w:color="auto" w:sz="12" w:space="0"/>
                    <w:left w:val="single" w:color="auto" w:sz="12" w:space="0"/>
                    <w:bottom w:val="single" w:color="auto" w:sz="12" w:space="0"/>
                    <w:right w:val="single" w:color="auto" w:sz="4" w:space="0"/>
                  </w:tcBorders>
                  <w:vAlign w:val="center"/>
                </w:tcPr>
                <w:p w14:paraId="3BC8254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75</w:t>
                  </w:r>
                </w:p>
              </w:tc>
              <w:tc>
                <w:tcPr>
                  <w:tcW w:w="4195" w:type="dxa"/>
                  <w:tcBorders>
                    <w:top w:val="single" w:color="auto" w:sz="12" w:space="0"/>
                    <w:left w:val="single" w:color="auto" w:sz="4" w:space="0"/>
                    <w:bottom w:val="single" w:color="auto" w:sz="12" w:space="0"/>
                    <w:right w:val="single" w:color="auto" w:sz="12" w:space="0"/>
                  </w:tcBorders>
                  <w:vAlign w:val="center"/>
                </w:tcPr>
                <w:p w14:paraId="084B5A1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0.39</w:t>
                  </w:r>
                </w:p>
              </w:tc>
            </w:tr>
            <w:tr w14:paraId="01BA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tcBorders>
                    <w:top w:val="single" w:color="auto" w:sz="12" w:space="0"/>
                  </w:tcBorders>
                  <w:vAlign w:val="center"/>
                </w:tcPr>
                <w:p w14:paraId="1622AB4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100</w:t>
                  </w:r>
                </w:p>
              </w:tc>
              <w:tc>
                <w:tcPr>
                  <w:tcW w:w="4195" w:type="dxa"/>
                  <w:tcBorders>
                    <w:top w:val="single" w:color="auto" w:sz="12" w:space="0"/>
                  </w:tcBorders>
                  <w:vAlign w:val="center"/>
                </w:tcPr>
                <w:p w14:paraId="4B11B78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0.36</w:t>
                  </w:r>
                </w:p>
              </w:tc>
            </w:tr>
            <w:tr w14:paraId="6088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2E8A0D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125</w:t>
                  </w:r>
                </w:p>
              </w:tc>
              <w:tc>
                <w:tcPr>
                  <w:tcW w:w="4195" w:type="dxa"/>
                  <w:vAlign w:val="center"/>
                </w:tcPr>
                <w:p w14:paraId="616E538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0.29</w:t>
                  </w:r>
                </w:p>
              </w:tc>
            </w:tr>
            <w:tr w14:paraId="6C37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EA73AB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150</w:t>
                  </w:r>
                </w:p>
              </w:tc>
              <w:tc>
                <w:tcPr>
                  <w:tcW w:w="4195" w:type="dxa"/>
                  <w:vAlign w:val="center"/>
                </w:tcPr>
                <w:p w14:paraId="208367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0.27</w:t>
                  </w:r>
                </w:p>
              </w:tc>
            </w:tr>
            <w:tr w14:paraId="42F09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FC45DE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175</w:t>
                  </w:r>
                </w:p>
              </w:tc>
              <w:tc>
                <w:tcPr>
                  <w:tcW w:w="4195" w:type="dxa"/>
                  <w:vAlign w:val="center"/>
                </w:tcPr>
                <w:p w14:paraId="1B5264C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0.24</w:t>
                  </w:r>
                </w:p>
              </w:tc>
            </w:tr>
            <w:tr w14:paraId="12F4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431303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200</w:t>
                  </w:r>
                </w:p>
              </w:tc>
              <w:tc>
                <w:tcPr>
                  <w:tcW w:w="4195" w:type="dxa"/>
                  <w:vAlign w:val="center"/>
                </w:tcPr>
                <w:p w14:paraId="0E133C1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0.22</w:t>
                  </w:r>
                </w:p>
              </w:tc>
            </w:tr>
            <w:tr w14:paraId="5FF9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3E0A0B4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225</w:t>
                  </w:r>
                </w:p>
              </w:tc>
              <w:tc>
                <w:tcPr>
                  <w:tcW w:w="4195" w:type="dxa"/>
                  <w:vAlign w:val="center"/>
                </w:tcPr>
                <w:p w14:paraId="226035B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r>
            <w:tr w14:paraId="248C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410B00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250</w:t>
                  </w:r>
                </w:p>
              </w:tc>
              <w:tc>
                <w:tcPr>
                  <w:tcW w:w="4195" w:type="dxa"/>
                  <w:vAlign w:val="center"/>
                </w:tcPr>
                <w:p w14:paraId="3F3D0F9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0.18</w:t>
                  </w:r>
                </w:p>
              </w:tc>
            </w:tr>
            <w:tr w14:paraId="2612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321499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275</w:t>
                  </w:r>
                </w:p>
              </w:tc>
              <w:tc>
                <w:tcPr>
                  <w:tcW w:w="4195" w:type="dxa"/>
                  <w:vAlign w:val="center"/>
                </w:tcPr>
                <w:p w14:paraId="5B56A55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0.16</w:t>
                  </w:r>
                </w:p>
              </w:tc>
            </w:tr>
            <w:tr w14:paraId="16E1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D25B5A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300</w:t>
                  </w:r>
                </w:p>
              </w:tc>
              <w:tc>
                <w:tcPr>
                  <w:tcW w:w="4195" w:type="dxa"/>
                  <w:vAlign w:val="center"/>
                </w:tcPr>
                <w:p w14:paraId="1AB7C3D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0.15</w:t>
                  </w:r>
                </w:p>
              </w:tc>
            </w:tr>
            <w:tr w14:paraId="6045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2492C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325</w:t>
                  </w:r>
                </w:p>
              </w:tc>
              <w:tc>
                <w:tcPr>
                  <w:tcW w:w="4195" w:type="dxa"/>
                  <w:vAlign w:val="center"/>
                </w:tcPr>
                <w:p w14:paraId="2C33F4D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0.13</w:t>
                  </w:r>
                </w:p>
              </w:tc>
            </w:tr>
            <w:tr w14:paraId="28090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634DB0D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350</w:t>
                  </w:r>
                </w:p>
              </w:tc>
              <w:tc>
                <w:tcPr>
                  <w:tcW w:w="4195" w:type="dxa"/>
                  <w:vAlign w:val="center"/>
                </w:tcPr>
                <w:p w14:paraId="3685047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0.12</w:t>
                  </w:r>
                </w:p>
              </w:tc>
            </w:tr>
            <w:tr w14:paraId="5E46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7D8869C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375</w:t>
                  </w:r>
                </w:p>
              </w:tc>
              <w:tc>
                <w:tcPr>
                  <w:tcW w:w="4195" w:type="dxa"/>
                  <w:vAlign w:val="center"/>
                </w:tcPr>
                <w:p w14:paraId="754E775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0.11</w:t>
                  </w:r>
                </w:p>
              </w:tc>
            </w:tr>
            <w:tr w14:paraId="6DF4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45FA31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400</w:t>
                  </w:r>
                </w:p>
              </w:tc>
              <w:tc>
                <w:tcPr>
                  <w:tcW w:w="4195" w:type="dxa"/>
                  <w:vAlign w:val="center"/>
                </w:tcPr>
                <w:p w14:paraId="2A49D81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4F16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5B64972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425</w:t>
                  </w:r>
                </w:p>
              </w:tc>
              <w:tc>
                <w:tcPr>
                  <w:tcW w:w="4195" w:type="dxa"/>
                  <w:vAlign w:val="center"/>
                </w:tcPr>
                <w:p w14:paraId="3D06F5F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r>
            <w:tr w14:paraId="1BDA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27D8D9D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450</w:t>
                  </w:r>
                </w:p>
              </w:tc>
              <w:tc>
                <w:tcPr>
                  <w:tcW w:w="4195" w:type="dxa"/>
                  <w:vAlign w:val="center"/>
                </w:tcPr>
                <w:p w14:paraId="452AF3D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0.09</w:t>
                  </w:r>
                </w:p>
              </w:tc>
            </w:tr>
            <w:tr w14:paraId="67A0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CF4147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475</w:t>
                  </w:r>
                </w:p>
              </w:tc>
              <w:tc>
                <w:tcPr>
                  <w:tcW w:w="4195" w:type="dxa"/>
                  <w:vAlign w:val="center"/>
                </w:tcPr>
                <w:p w14:paraId="5AC2360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w:t>
                  </w:r>
                </w:p>
              </w:tc>
            </w:tr>
            <w:tr w14:paraId="02681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95" w:type="dxa"/>
                  <w:vAlign w:val="center"/>
                </w:tcPr>
                <w:p w14:paraId="16E47A4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500</w:t>
                  </w:r>
                </w:p>
              </w:tc>
              <w:tc>
                <w:tcPr>
                  <w:tcW w:w="4195" w:type="dxa"/>
                  <w:vAlign w:val="center"/>
                </w:tcPr>
                <w:p w14:paraId="5633203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0.08</w:t>
                  </w:r>
                </w:p>
              </w:tc>
            </w:tr>
          </w:tbl>
          <w:p w14:paraId="6EC4DB0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上表</w:t>
            </w:r>
            <w:r>
              <w:rPr>
                <w:rFonts w:ascii="Times New Roman" w:hAnsi="Times New Roman" w:eastAsia="宋体" w:cs="Times New Roman"/>
                <w:color w:val="auto"/>
                <w:sz w:val="24"/>
                <w:szCs w:val="24"/>
                <w:lang w:eastAsia="zh-CN"/>
              </w:rPr>
              <w:t>，项目无组织颗粒物的最大地面落地浓度</w:t>
            </w:r>
            <w:r>
              <w:rPr>
                <w:rFonts w:hint="eastAsia" w:ascii="Times New Roman" w:hAnsi="Times New Roman" w:eastAsia="宋体" w:cs="Times New Roman"/>
                <w:color w:val="auto"/>
                <w:sz w:val="24"/>
                <w:szCs w:val="24"/>
                <w:lang w:eastAsia="zh-CN"/>
              </w:rPr>
              <w:t>离</w:t>
            </w:r>
            <w:r>
              <w:rPr>
                <w:rFonts w:ascii="Times New Roman" w:hAnsi="Times New Roman" w:eastAsia="宋体" w:cs="Times New Roman"/>
                <w:color w:val="auto"/>
                <w:sz w:val="24"/>
                <w:szCs w:val="24"/>
                <w:lang w:eastAsia="zh-CN"/>
              </w:rPr>
              <w:t xml:space="preserve">源距离为源下风向 </w:t>
            </w:r>
            <w:r>
              <w:rPr>
                <w:rFonts w:hint="eastAsia" w:ascii="Times New Roman" w:hAnsi="Times New Roman" w:eastAsia="宋体" w:cs="Times New Roman"/>
                <w:color w:val="auto"/>
                <w:sz w:val="24"/>
                <w:szCs w:val="24"/>
                <w:lang w:eastAsia="zh-CN"/>
              </w:rPr>
              <w:t>75</w:t>
            </w:r>
            <w:r>
              <w:rPr>
                <w:rFonts w:ascii="Times New Roman" w:hAnsi="Times New Roman" w:eastAsia="宋体" w:cs="Times New Roman"/>
                <w:color w:val="auto"/>
                <w:sz w:val="24"/>
                <w:szCs w:val="24"/>
                <w:lang w:eastAsia="zh-CN"/>
              </w:rPr>
              <w:t>m。无组织颗粒物最大落地浓度为</w:t>
            </w:r>
            <w:r>
              <w:rPr>
                <w:rFonts w:hint="eastAsia" w:ascii="Times New Roman" w:hAnsi="Times New Roman" w:eastAsia="宋体" w:cs="Times New Roman"/>
                <w:color w:val="auto"/>
                <w:sz w:val="24"/>
                <w:szCs w:val="24"/>
                <w:lang w:eastAsia="zh-CN"/>
              </w:rPr>
              <w:t>0.39</w:t>
            </w:r>
            <w:r>
              <w:rPr>
                <w:rFonts w:ascii="Times New Roman" w:hAnsi="Times New Roman" w:eastAsia="宋体" w:cs="Times New Roman"/>
                <w:color w:val="auto"/>
                <w:sz w:val="24"/>
                <w:szCs w:val="24"/>
                <w:lang w:eastAsia="zh-CN"/>
              </w:rPr>
              <w:t>mg/m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。厂界无组织废气满足《大气污染物综合排放标准》（GB16297-1996）中无组织颗粒物排放限值要求。</w:t>
            </w:r>
          </w:p>
          <w:p w14:paraId="11136F1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综上，本项目废气对周边大气环境影响较小。</w:t>
            </w:r>
          </w:p>
          <w:p w14:paraId="3199A424">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2.4非正常工况分析</w:t>
            </w:r>
          </w:p>
          <w:p w14:paraId="6E3ACA4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本项目废气非正常排放主要考虑布袋除尘器不能够达到正常的处理效率时的废气排放情况，在这种条件下</w:t>
            </w:r>
            <w:r>
              <w:rPr>
                <w:rFonts w:hint="eastAsia" w:ascii="Times New Roman" w:hAnsi="Times New Roman" w:eastAsia="宋体" w:cs="Times New Roman"/>
                <w:color w:val="auto"/>
                <w:sz w:val="24"/>
                <w:szCs w:val="24"/>
                <w:lang w:eastAsia="zh-CN"/>
              </w:rPr>
              <w:t>，除尘效率降至50%</w:t>
            </w:r>
            <w:r>
              <w:rPr>
                <w:rFonts w:ascii="Times New Roman" w:hAnsi="Times New Roman" w:eastAsia="宋体" w:cs="Times New Roman"/>
                <w:color w:val="auto"/>
                <w:sz w:val="24"/>
                <w:szCs w:val="24"/>
                <w:lang w:eastAsia="zh-CN"/>
              </w:rPr>
              <w:t>，废气不能够得到有效治理时发生的废气非正常排放。一般耗时在1-2h左右，最长不超过2小时，此种情况一年最多1～2次，</w:t>
            </w:r>
            <w:r>
              <w:rPr>
                <w:rFonts w:hint="eastAsia" w:ascii="Times New Roman" w:hAnsi="Times New Roman" w:eastAsia="宋体" w:cs="Times New Roman"/>
                <w:color w:val="auto"/>
                <w:sz w:val="24"/>
                <w:szCs w:val="24"/>
                <w:lang w:eastAsia="zh-CN"/>
              </w:rPr>
              <w:t>故障时处理效率</w:t>
            </w:r>
            <w:r>
              <w:rPr>
                <w:rFonts w:ascii="Times New Roman" w:hAnsi="Times New Roman" w:eastAsia="宋体" w:cs="Times New Roman"/>
                <w:color w:val="auto"/>
                <w:sz w:val="24"/>
                <w:szCs w:val="24"/>
                <w:lang w:eastAsia="zh-CN"/>
              </w:rPr>
              <w:t>按</w:t>
            </w:r>
            <w:r>
              <w:rPr>
                <w:rFonts w:hint="eastAsia" w:ascii="Times New Roman" w:hAnsi="Times New Roman" w:eastAsia="宋体" w:cs="Times New Roman"/>
                <w:color w:val="auto"/>
                <w:sz w:val="24"/>
                <w:szCs w:val="24"/>
                <w:lang w:eastAsia="zh-CN"/>
              </w:rPr>
              <w:t>正常的一半</w:t>
            </w:r>
            <w:r>
              <w:rPr>
                <w:rFonts w:ascii="Times New Roman" w:hAnsi="Times New Roman" w:eastAsia="宋体" w:cs="Times New Roman"/>
                <w:color w:val="auto"/>
                <w:sz w:val="24"/>
                <w:szCs w:val="24"/>
                <w:lang w:eastAsia="zh-CN"/>
              </w:rPr>
              <w:t>计</w:t>
            </w:r>
            <w:r>
              <w:rPr>
                <w:rFonts w:hint="eastAsia" w:ascii="Times New Roman" w:hAnsi="Times New Roman" w:eastAsia="宋体" w:cs="Times New Roman"/>
                <w:color w:val="auto"/>
                <w:sz w:val="24"/>
                <w:szCs w:val="24"/>
                <w:lang w:eastAsia="zh-CN"/>
              </w:rPr>
              <w:t>算</w:t>
            </w:r>
            <w:r>
              <w:rPr>
                <w:rFonts w:ascii="Times New Roman" w:hAnsi="Times New Roman" w:eastAsia="宋体" w:cs="Times New Roman"/>
                <w:color w:val="auto"/>
                <w:sz w:val="24"/>
                <w:szCs w:val="24"/>
                <w:lang w:eastAsia="zh-CN"/>
              </w:rPr>
              <w:t>。排放频次和时间按照最不利情况计，所以本项目非正常排放频次为2次，排放时间为2h，则非正常工况排放如下：</w:t>
            </w:r>
          </w:p>
          <w:p w14:paraId="606FC1EA">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-6 废气非正常工况产排污系数表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7"/>
              <w:gridCol w:w="934"/>
              <w:gridCol w:w="1207"/>
              <w:gridCol w:w="837"/>
              <w:gridCol w:w="836"/>
              <w:gridCol w:w="985"/>
              <w:gridCol w:w="1262"/>
              <w:gridCol w:w="1262"/>
            </w:tblGrid>
            <w:tr w14:paraId="5DC365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635" w:type="pct"/>
                  <w:tcBorders>
                    <w:bottom w:val="single" w:color="auto" w:sz="4" w:space="0"/>
                  </w:tcBorders>
                  <w:vAlign w:val="center"/>
                </w:tcPr>
                <w:p w14:paraId="3A6F150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w:t>
                  </w:r>
                  <w:r>
                    <w:rPr>
                      <w:rFonts w:hint="eastAsia" w:ascii="Times New Roman" w:hAnsi="Times New Roman" w:eastAsia="宋体" w:cs="Times New Roman"/>
                      <w:b/>
                      <w:bCs/>
                      <w:color w:val="auto"/>
                      <w:sz w:val="21"/>
                      <w:szCs w:val="21"/>
                      <w:lang w:eastAsia="zh-CN"/>
                    </w:rPr>
                    <w:t>源</w:t>
                  </w:r>
                </w:p>
              </w:tc>
              <w:tc>
                <w:tcPr>
                  <w:tcW w:w="556" w:type="pct"/>
                  <w:tcBorders>
                    <w:bottom w:val="single" w:color="auto" w:sz="4" w:space="0"/>
                  </w:tcBorders>
                  <w:vAlign w:val="center"/>
                </w:tcPr>
                <w:p w14:paraId="5286CAB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污染物</w:t>
                  </w:r>
                </w:p>
              </w:tc>
              <w:tc>
                <w:tcPr>
                  <w:tcW w:w="719" w:type="pct"/>
                  <w:tcBorders>
                    <w:bottom w:val="single" w:color="auto" w:sz="4" w:space="0"/>
                  </w:tcBorders>
                  <w:vAlign w:val="center"/>
                </w:tcPr>
                <w:p w14:paraId="181CB80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治理措施</w:t>
                  </w:r>
                </w:p>
              </w:tc>
              <w:tc>
                <w:tcPr>
                  <w:tcW w:w="498" w:type="pct"/>
                  <w:tcBorders>
                    <w:bottom w:val="single" w:color="auto" w:sz="4" w:space="0"/>
                  </w:tcBorders>
                  <w:vAlign w:val="center"/>
                </w:tcPr>
                <w:p w14:paraId="20CC0E87">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故障</w:t>
                  </w:r>
                </w:p>
                <w:p w14:paraId="4F5616C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时间</w:t>
                  </w:r>
                </w:p>
              </w:tc>
              <w:tc>
                <w:tcPr>
                  <w:tcW w:w="498" w:type="pct"/>
                  <w:tcBorders>
                    <w:bottom w:val="single" w:color="auto" w:sz="4" w:space="0"/>
                  </w:tcBorders>
                  <w:vAlign w:val="center"/>
                </w:tcPr>
                <w:p w14:paraId="34B5946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产生量</w:t>
                  </w:r>
                </w:p>
                <w:p w14:paraId="350C379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eastAsia="zh-CN"/>
                    </w:rPr>
                    <w:t>kg</w:t>
                  </w:r>
                  <w:r>
                    <w:rPr>
                      <w:rFonts w:ascii="Times New Roman" w:hAnsi="Times New Roman" w:eastAsia="宋体" w:cs="Times New Roman"/>
                      <w:b/>
                      <w:bCs/>
                      <w:color w:val="auto"/>
                      <w:sz w:val="21"/>
                      <w:szCs w:val="21"/>
                      <w:lang w:eastAsia="zh-CN"/>
                    </w:rPr>
                    <w:t>）</w:t>
                  </w:r>
                </w:p>
              </w:tc>
              <w:tc>
                <w:tcPr>
                  <w:tcW w:w="587" w:type="pct"/>
                  <w:tcBorders>
                    <w:bottom w:val="single" w:color="auto" w:sz="4" w:space="0"/>
                  </w:tcBorders>
                  <w:vAlign w:val="center"/>
                </w:tcPr>
                <w:p w14:paraId="30BEABA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排放量</w:t>
                  </w:r>
                </w:p>
                <w:p w14:paraId="1DCCC85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w:t>
                  </w:r>
                  <w:r>
                    <w:rPr>
                      <w:rFonts w:hint="eastAsia" w:ascii="Times New Roman" w:hAnsi="Times New Roman" w:eastAsia="宋体" w:cs="Times New Roman"/>
                      <w:b/>
                      <w:bCs/>
                      <w:color w:val="auto"/>
                      <w:sz w:val="21"/>
                      <w:szCs w:val="21"/>
                      <w:lang w:eastAsia="zh-CN"/>
                    </w:rPr>
                    <w:t>kg</w:t>
                  </w:r>
                  <w:r>
                    <w:rPr>
                      <w:rFonts w:ascii="Times New Roman" w:hAnsi="Times New Roman" w:eastAsia="宋体" w:cs="Times New Roman"/>
                      <w:b/>
                      <w:bCs/>
                      <w:color w:val="auto"/>
                      <w:sz w:val="21"/>
                      <w:szCs w:val="21"/>
                      <w:lang w:eastAsia="zh-CN"/>
                    </w:rPr>
                    <w:t>）</w:t>
                  </w:r>
                </w:p>
              </w:tc>
              <w:tc>
                <w:tcPr>
                  <w:tcW w:w="752" w:type="pct"/>
                  <w:tcBorders>
                    <w:bottom w:val="single" w:color="auto" w:sz="4" w:space="0"/>
                  </w:tcBorders>
                  <w:vAlign w:val="center"/>
                </w:tcPr>
                <w:p w14:paraId="542D954E">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排放浓度</w:t>
                  </w:r>
                </w:p>
                <w:p w14:paraId="73C5AEEB">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（mg/m</w:t>
                  </w:r>
                  <w:r>
                    <w:rPr>
                      <w:rFonts w:hint="eastAsia" w:ascii="Times New Roman" w:hAnsi="Times New Roman" w:eastAsia="宋体" w:cs="Times New Roman"/>
                      <w:b/>
                      <w:bCs/>
                      <w:color w:val="auto"/>
                      <w:sz w:val="21"/>
                      <w:szCs w:val="21"/>
                      <w:vertAlign w:val="superscript"/>
                      <w:lang w:eastAsia="zh-CN"/>
                    </w:rPr>
                    <w:t>3</w:t>
                  </w:r>
                  <w:r>
                    <w:rPr>
                      <w:rFonts w:hint="eastAsia" w:ascii="Times New Roman" w:hAnsi="Times New Roman" w:eastAsia="宋体" w:cs="Times New Roman"/>
                      <w:b/>
                      <w:bCs/>
                      <w:color w:val="auto"/>
                      <w:sz w:val="21"/>
                      <w:szCs w:val="21"/>
                      <w:lang w:eastAsia="zh-CN"/>
                    </w:rPr>
                    <w:t>）</w:t>
                  </w:r>
                </w:p>
              </w:tc>
              <w:tc>
                <w:tcPr>
                  <w:tcW w:w="752" w:type="pct"/>
                  <w:tcBorders>
                    <w:bottom w:val="single" w:color="auto" w:sz="4" w:space="0"/>
                  </w:tcBorders>
                  <w:vAlign w:val="center"/>
                </w:tcPr>
                <w:p w14:paraId="01D4688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排放速率</w:t>
                  </w:r>
                </w:p>
                <w:p w14:paraId="4CBBDAB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（kg/h）</w:t>
                  </w:r>
                </w:p>
              </w:tc>
            </w:tr>
            <w:tr w14:paraId="6C17E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635" w:type="pct"/>
                  <w:tcBorders>
                    <w:top w:val="single" w:color="auto" w:sz="4" w:space="0"/>
                    <w:left w:val="single" w:color="auto" w:sz="4" w:space="0"/>
                    <w:bottom w:val="single" w:color="auto" w:sz="4" w:space="0"/>
                  </w:tcBorders>
                  <w:vAlign w:val="center"/>
                </w:tcPr>
                <w:p w14:paraId="2C1E50E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DA001排气筒</w:t>
                  </w:r>
                </w:p>
              </w:tc>
              <w:tc>
                <w:tcPr>
                  <w:tcW w:w="556" w:type="pct"/>
                  <w:tcBorders>
                    <w:top w:val="single" w:color="auto" w:sz="4" w:space="0"/>
                    <w:bottom w:val="single" w:color="auto" w:sz="4" w:space="0"/>
                  </w:tcBorders>
                  <w:vAlign w:val="center"/>
                </w:tcPr>
                <w:p w14:paraId="2212034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颗粒物</w:t>
                  </w:r>
                </w:p>
              </w:tc>
              <w:tc>
                <w:tcPr>
                  <w:tcW w:w="719" w:type="pct"/>
                  <w:tcBorders>
                    <w:top w:val="single" w:color="auto" w:sz="4" w:space="0"/>
                    <w:bottom w:val="single" w:color="auto" w:sz="4" w:space="0"/>
                  </w:tcBorders>
                  <w:vAlign w:val="center"/>
                </w:tcPr>
                <w:p w14:paraId="2814D3CC">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除尘效率降至50%</w:t>
                  </w:r>
                </w:p>
              </w:tc>
              <w:tc>
                <w:tcPr>
                  <w:tcW w:w="498" w:type="pct"/>
                  <w:tcBorders>
                    <w:top w:val="single" w:color="auto" w:sz="4" w:space="0"/>
                    <w:bottom w:val="single" w:color="auto" w:sz="4" w:space="0"/>
                  </w:tcBorders>
                  <w:vAlign w:val="center"/>
                </w:tcPr>
                <w:p w14:paraId="420E0F8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4h</w:t>
                  </w:r>
                </w:p>
              </w:tc>
              <w:tc>
                <w:tcPr>
                  <w:tcW w:w="498" w:type="pct"/>
                  <w:tcBorders>
                    <w:top w:val="single" w:color="auto" w:sz="4" w:space="0"/>
                    <w:bottom w:val="single" w:color="auto" w:sz="4" w:space="0"/>
                  </w:tcBorders>
                  <w:vAlign w:val="center"/>
                </w:tcPr>
                <w:p w14:paraId="30758BE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24</w:t>
                  </w:r>
                </w:p>
              </w:tc>
              <w:tc>
                <w:tcPr>
                  <w:tcW w:w="587" w:type="pct"/>
                  <w:tcBorders>
                    <w:top w:val="single" w:color="auto" w:sz="4" w:space="0"/>
                    <w:bottom w:val="single" w:color="auto" w:sz="4" w:space="0"/>
                  </w:tcBorders>
                  <w:vAlign w:val="center"/>
                </w:tcPr>
                <w:p w14:paraId="2884CDB3">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12</w:t>
                  </w:r>
                </w:p>
              </w:tc>
              <w:tc>
                <w:tcPr>
                  <w:tcW w:w="752" w:type="pct"/>
                  <w:tcBorders>
                    <w:top w:val="single" w:color="auto" w:sz="4" w:space="0"/>
                    <w:bottom w:val="single" w:color="auto" w:sz="4" w:space="0"/>
                    <w:right w:val="single" w:color="auto" w:sz="4" w:space="0"/>
                  </w:tcBorders>
                  <w:vAlign w:val="center"/>
                </w:tcPr>
                <w:p w14:paraId="09D4090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600</w:t>
                  </w:r>
                </w:p>
              </w:tc>
              <w:tc>
                <w:tcPr>
                  <w:tcW w:w="752" w:type="pct"/>
                  <w:tcBorders>
                    <w:top w:val="single" w:color="auto" w:sz="4" w:space="0"/>
                    <w:bottom w:val="single" w:color="auto" w:sz="4" w:space="0"/>
                    <w:right w:val="single" w:color="auto" w:sz="4" w:space="0"/>
                  </w:tcBorders>
                  <w:vAlign w:val="center"/>
                </w:tcPr>
                <w:p w14:paraId="266AD91D">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p>
              </w:tc>
            </w:tr>
            <w:tr w14:paraId="37FD9D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jc w:val="center"/>
              </w:trPr>
              <w:tc>
                <w:tcPr>
                  <w:tcW w:w="635" w:type="pct"/>
                  <w:tcBorders>
                    <w:top w:val="single" w:color="auto" w:sz="4" w:space="0"/>
                    <w:left w:val="single" w:color="auto" w:sz="4" w:space="0"/>
                  </w:tcBorders>
                  <w:vAlign w:val="center"/>
                </w:tcPr>
                <w:p w14:paraId="4F0D3DF2">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DA002排气筒</w:t>
                  </w:r>
                </w:p>
              </w:tc>
              <w:tc>
                <w:tcPr>
                  <w:tcW w:w="556" w:type="pct"/>
                  <w:tcBorders>
                    <w:top w:val="single" w:color="auto" w:sz="4" w:space="0"/>
                  </w:tcBorders>
                  <w:vAlign w:val="center"/>
                </w:tcPr>
                <w:p w14:paraId="0C95471E">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719" w:type="pct"/>
                  <w:tcBorders>
                    <w:top w:val="single" w:color="auto" w:sz="4" w:space="0"/>
                  </w:tcBorders>
                  <w:vAlign w:val="center"/>
                </w:tcPr>
                <w:p w14:paraId="793C06D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除尘效率降至50%</w:t>
                  </w:r>
                </w:p>
              </w:tc>
              <w:tc>
                <w:tcPr>
                  <w:tcW w:w="498" w:type="pct"/>
                  <w:tcBorders>
                    <w:top w:val="single" w:color="auto" w:sz="4" w:space="0"/>
                  </w:tcBorders>
                  <w:vAlign w:val="center"/>
                </w:tcPr>
                <w:p w14:paraId="3673A11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4h</w:t>
                  </w:r>
                </w:p>
              </w:tc>
              <w:tc>
                <w:tcPr>
                  <w:tcW w:w="498" w:type="pct"/>
                  <w:tcBorders>
                    <w:top w:val="single" w:color="auto" w:sz="4" w:space="0"/>
                  </w:tcBorders>
                  <w:vAlign w:val="center"/>
                </w:tcPr>
                <w:p w14:paraId="664AE74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41.8</w:t>
                  </w:r>
                </w:p>
              </w:tc>
              <w:tc>
                <w:tcPr>
                  <w:tcW w:w="587" w:type="pct"/>
                  <w:tcBorders>
                    <w:top w:val="single" w:color="auto" w:sz="4" w:space="0"/>
                  </w:tcBorders>
                  <w:vAlign w:val="center"/>
                </w:tcPr>
                <w:p w14:paraId="5CA47444">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20.9</w:t>
                  </w:r>
                </w:p>
              </w:tc>
              <w:tc>
                <w:tcPr>
                  <w:tcW w:w="752" w:type="pct"/>
                  <w:tcBorders>
                    <w:top w:val="single" w:color="auto" w:sz="4" w:space="0"/>
                    <w:bottom w:val="single" w:color="auto" w:sz="4" w:space="0"/>
                    <w:right w:val="single" w:color="auto" w:sz="4" w:space="0"/>
                  </w:tcBorders>
                  <w:vAlign w:val="center"/>
                </w:tcPr>
                <w:p w14:paraId="76A49C21">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870.83</w:t>
                  </w:r>
                </w:p>
              </w:tc>
              <w:tc>
                <w:tcPr>
                  <w:tcW w:w="752" w:type="pct"/>
                  <w:tcBorders>
                    <w:top w:val="single" w:color="auto" w:sz="4" w:space="0"/>
                    <w:bottom w:val="single" w:color="auto" w:sz="4" w:space="0"/>
                    <w:right w:val="single" w:color="auto" w:sz="4" w:space="0"/>
                  </w:tcBorders>
                  <w:vAlign w:val="center"/>
                </w:tcPr>
                <w:p w14:paraId="25BA54E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8.71</w:t>
                  </w:r>
                </w:p>
              </w:tc>
            </w:tr>
          </w:tbl>
          <w:p w14:paraId="6D1CCAD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非正常工况下，项目</w:t>
            </w:r>
            <w:r>
              <w:rPr>
                <w:rFonts w:hint="eastAsia" w:ascii="Times New Roman" w:hAnsi="Times New Roman" w:eastAsia="宋体" w:cs="Times New Roman"/>
                <w:color w:val="auto"/>
                <w:sz w:val="24"/>
                <w:szCs w:val="24"/>
                <w:lang w:eastAsia="zh-CN"/>
              </w:rPr>
              <w:t>颗粒物</w:t>
            </w:r>
            <w:r>
              <w:rPr>
                <w:rFonts w:ascii="Times New Roman" w:hAnsi="Times New Roman" w:eastAsia="宋体" w:cs="Times New Roman"/>
                <w:color w:val="auto"/>
                <w:sz w:val="24"/>
                <w:szCs w:val="24"/>
                <w:lang w:eastAsia="zh-CN"/>
              </w:rPr>
              <w:t>排放量较大，</w:t>
            </w:r>
            <w:r>
              <w:rPr>
                <w:rFonts w:hint="eastAsia" w:ascii="Times New Roman" w:hAnsi="Times New Roman" w:eastAsia="宋体" w:cs="Times New Roman"/>
                <w:color w:val="auto"/>
                <w:sz w:val="24"/>
                <w:szCs w:val="24"/>
                <w:lang w:eastAsia="zh-CN"/>
              </w:rPr>
              <w:t>浓度和速率均</w:t>
            </w:r>
            <w:r>
              <w:rPr>
                <w:rFonts w:ascii="Times New Roman" w:hAnsi="Times New Roman" w:eastAsia="宋体" w:cs="Times New Roman"/>
                <w:color w:val="auto"/>
                <w:sz w:val="24"/>
                <w:szCs w:val="24"/>
                <w:lang w:eastAsia="zh-CN"/>
              </w:rPr>
              <w:t>不能满足《大气污染物综合排放标准》（GB16297-1996</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表2中标准限值要求</w:t>
            </w:r>
            <w:r>
              <w:rPr>
                <w:rFonts w:hint="eastAsia" w:ascii="Times New Roman" w:hAnsi="Times New Roman" w:eastAsia="宋体" w:cs="Times New Roman"/>
                <w:color w:val="auto"/>
                <w:sz w:val="24"/>
                <w:szCs w:val="24"/>
                <w:lang w:eastAsia="zh-CN"/>
              </w:rPr>
              <w:t>，即排放浓度120mg/m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排放速率1.75kg/h的要求。</w:t>
            </w:r>
            <w:r>
              <w:rPr>
                <w:rFonts w:ascii="Times New Roman" w:hAnsi="Times New Roman" w:eastAsia="宋体" w:cs="Times New Roman"/>
                <w:color w:val="auto"/>
                <w:sz w:val="24"/>
                <w:szCs w:val="24"/>
                <w:lang w:eastAsia="zh-CN"/>
              </w:rPr>
              <w:t>因此为防止非正常工况发生，企业应安排专职人员负责废气治理设施运营、维护，确保废气治理设施稳定运行、避免非正常排放情况发生。若发生废气治理措施非正常工作情况，应立即停止生产，对废气治理措施进行检修。</w:t>
            </w:r>
          </w:p>
          <w:p w14:paraId="049FA5F5">
            <w:pPr>
              <w:pStyle w:val="30"/>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5废气排放情况</w:t>
            </w:r>
          </w:p>
          <w:p w14:paraId="7BAE4C7E">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zh-CN" w:eastAsia="zh-CN"/>
              </w:rPr>
              <w:t>表4</w:t>
            </w:r>
            <w:r>
              <w:rPr>
                <w:rFonts w:hint="eastAsia" w:ascii="Times New Roman" w:hAnsi="Times New Roman" w:eastAsia="宋体" w:cs="Times New Roman"/>
                <w:b/>
                <w:bCs/>
                <w:color w:val="auto"/>
                <w:sz w:val="24"/>
                <w:szCs w:val="24"/>
                <w:lang w:eastAsia="zh-CN"/>
              </w:rPr>
              <w:t>-7</w:t>
            </w:r>
            <w:r>
              <w:rPr>
                <w:rFonts w:hint="eastAsia" w:ascii="Times New Roman" w:hAnsi="Times New Roman" w:eastAsia="宋体" w:cs="Times New Roman"/>
                <w:b/>
                <w:bCs/>
                <w:color w:val="auto"/>
                <w:sz w:val="24"/>
                <w:szCs w:val="24"/>
                <w:lang w:val="zh-CN" w:eastAsia="zh-CN"/>
              </w:rPr>
              <w:t xml:space="preserve"> </w:t>
            </w:r>
            <w:r>
              <w:rPr>
                <w:rFonts w:hint="eastAsia" w:ascii="Times New Roman" w:hAnsi="Times New Roman" w:eastAsia="宋体" w:cs="Times New Roman"/>
                <w:b/>
                <w:bCs/>
                <w:color w:val="auto"/>
                <w:sz w:val="24"/>
                <w:szCs w:val="24"/>
                <w:lang w:eastAsia="zh-CN"/>
              </w:rPr>
              <w:t xml:space="preserve"> 项目废气排放情况</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792"/>
              <w:gridCol w:w="1222"/>
              <w:gridCol w:w="1222"/>
              <w:gridCol w:w="1224"/>
              <w:gridCol w:w="2241"/>
            </w:tblGrid>
            <w:tr w14:paraId="20D7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68B9693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产排污环节</w:t>
                  </w:r>
                </w:p>
              </w:tc>
              <w:tc>
                <w:tcPr>
                  <w:tcW w:w="1222" w:type="dxa"/>
                  <w:vAlign w:val="center"/>
                </w:tcPr>
                <w:p w14:paraId="2C06757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上料</w:t>
                  </w:r>
                </w:p>
              </w:tc>
              <w:tc>
                <w:tcPr>
                  <w:tcW w:w="1222" w:type="dxa"/>
                  <w:vAlign w:val="center"/>
                </w:tcPr>
                <w:p w14:paraId="0ED5343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搅拌</w:t>
                  </w:r>
                </w:p>
              </w:tc>
              <w:tc>
                <w:tcPr>
                  <w:tcW w:w="1224" w:type="dxa"/>
                  <w:vAlign w:val="center"/>
                </w:tcPr>
                <w:p w14:paraId="24400D1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出料</w:t>
                  </w:r>
                </w:p>
              </w:tc>
              <w:tc>
                <w:tcPr>
                  <w:tcW w:w="2241" w:type="dxa"/>
                  <w:vAlign w:val="center"/>
                </w:tcPr>
                <w:p w14:paraId="1F6C17B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卸料</w:t>
                  </w:r>
                </w:p>
              </w:tc>
            </w:tr>
            <w:tr w14:paraId="0D3D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A20771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污染物种类</w:t>
                  </w:r>
                </w:p>
              </w:tc>
              <w:tc>
                <w:tcPr>
                  <w:tcW w:w="3668" w:type="dxa"/>
                  <w:gridSpan w:val="3"/>
                  <w:vAlign w:val="center"/>
                </w:tcPr>
                <w:p w14:paraId="2A8610B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颗粒物</w:t>
                  </w:r>
                </w:p>
              </w:tc>
              <w:tc>
                <w:tcPr>
                  <w:tcW w:w="2241" w:type="dxa"/>
                  <w:vAlign w:val="center"/>
                </w:tcPr>
                <w:p w14:paraId="7F76850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颗粒物</w:t>
                  </w:r>
                </w:p>
              </w:tc>
            </w:tr>
            <w:tr w14:paraId="612D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1882A28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污染物产生量（t/a）</w:t>
                  </w:r>
                </w:p>
              </w:tc>
              <w:tc>
                <w:tcPr>
                  <w:tcW w:w="1222" w:type="dxa"/>
                  <w:vAlign w:val="center"/>
                </w:tcPr>
                <w:p w14:paraId="66A0D3A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0.7</w:t>
                  </w:r>
                </w:p>
              </w:tc>
              <w:tc>
                <w:tcPr>
                  <w:tcW w:w="1222" w:type="dxa"/>
                  <w:vAlign w:val="center"/>
                </w:tcPr>
                <w:p w14:paraId="42E48EA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13</w:t>
                  </w:r>
                </w:p>
              </w:tc>
              <w:tc>
                <w:tcPr>
                  <w:tcW w:w="1224" w:type="dxa"/>
                  <w:vAlign w:val="center"/>
                </w:tcPr>
                <w:p w14:paraId="55406B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0.7</w:t>
                  </w:r>
                </w:p>
              </w:tc>
              <w:tc>
                <w:tcPr>
                  <w:tcW w:w="2241" w:type="dxa"/>
                  <w:vAlign w:val="center"/>
                </w:tcPr>
                <w:p w14:paraId="3227CA3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41.8</w:t>
                  </w:r>
                </w:p>
              </w:tc>
            </w:tr>
            <w:tr w14:paraId="116F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2FF9346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污染物产生速率（kg/h）</w:t>
                  </w:r>
                </w:p>
              </w:tc>
              <w:tc>
                <w:tcPr>
                  <w:tcW w:w="1222" w:type="dxa"/>
                  <w:vAlign w:val="center"/>
                </w:tcPr>
                <w:p w14:paraId="065C29E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0.29</w:t>
                  </w:r>
                </w:p>
              </w:tc>
              <w:tc>
                <w:tcPr>
                  <w:tcW w:w="1222" w:type="dxa"/>
                  <w:vAlign w:val="center"/>
                </w:tcPr>
                <w:p w14:paraId="18BFB479">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5.42</w:t>
                  </w:r>
                </w:p>
              </w:tc>
              <w:tc>
                <w:tcPr>
                  <w:tcW w:w="1224" w:type="dxa"/>
                  <w:vAlign w:val="center"/>
                </w:tcPr>
                <w:p w14:paraId="0D7B329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0.29</w:t>
                  </w:r>
                </w:p>
              </w:tc>
              <w:tc>
                <w:tcPr>
                  <w:tcW w:w="2241" w:type="dxa"/>
                  <w:vAlign w:val="center"/>
                </w:tcPr>
                <w:p w14:paraId="3272947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17.42</w:t>
                  </w:r>
                </w:p>
              </w:tc>
            </w:tr>
            <w:tr w14:paraId="4107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36C4F3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污染物产生浓度（mg/m</w:t>
                  </w:r>
                  <w:r>
                    <w:rPr>
                      <w:rFonts w:hint="eastAsia" w:ascii="Times New Roman" w:hAnsi="Times New Roman" w:eastAsia="宋体" w:cs="Times New Roman"/>
                      <w:color w:val="auto"/>
                      <w:shd w:val="clear" w:color="auto" w:fill="FFFFFF"/>
                      <w:vertAlign w:val="superscript"/>
                      <w:lang w:eastAsia="zh-CN"/>
                    </w:rPr>
                    <w:t>3</w:t>
                  </w:r>
                  <w:r>
                    <w:rPr>
                      <w:rFonts w:hint="eastAsia" w:ascii="Times New Roman" w:hAnsi="Times New Roman" w:eastAsia="宋体" w:cs="Times New Roman"/>
                      <w:color w:val="auto"/>
                      <w:shd w:val="clear" w:color="auto" w:fill="FFFFFF"/>
                      <w:lang w:eastAsia="zh-CN"/>
                    </w:rPr>
                    <w:t>）</w:t>
                  </w:r>
                </w:p>
              </w:tc>
              <w:tc>
                <w:tcPr>
                  <w:tcW w:w="3668" w:type="dxa"/>
                  <w:gridSpan w:val="3"/>
                  <w:vAlign w:val="center"/>
                </w:tcPr>
                <w:p w14:paraId="3CD0905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lang w:val="en-US" w:eastAsia="zh-CN"/>
                    </w:rPr>
                    <w:t>1200</w:t>
                  </w:r>
                </w:p>
              </w:tc>
              <w:tc>
                <w:tcPr>
                  <w:tcW w:w="2241" w:type="dxa"/>
                  <w:vAlign w:val="center"/>
                </w:tcPr>
                <w:p w14:paraId="7FB5969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1741.67</w:t>
                  </w:r>
                </w:p>
              </w:tc>
            </w:tr>
            <w:tr w14:paraId="039D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2B5DC4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排放形式</w:t>
                  </w:r>
                </w:p>
              </w:tc>
              <w:tc>
                <w:tcPr>
                  <w:tcW w:w="3668" w:type="dxa"/>
                  <w:gridSpan w:val="3"/>
                  <w:vAlign w:val="center"/>
                </w:tcPr>
                <w:p w14:paraId="25D0860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有组织（DA00</w:t>
                  </w:r>
                  <w:r>
                    <w:rPr>
                      <w:rFonts w:hint="eastAsia" w:ascii="Times New Roman" w:hAnsi="Times New Roman" w:eastAsia="宋体" w:cs="Times New Roman"/>
                      <w:color w:val="auto"/>
                      <w:shd w:val="clear" w:color="auto" w:fill="FFFFFF"/>
                      <w:lang w:eastAsia="zh-CN"/>
                    </w:rPr>
                    <w:t>1</w:t>
                  </w:r>
                  <w:r>
                    <w:rPr>
                      <w:rFonts w:hint="eastAsia" w:ascii="Times New Roman" w:hAnsi="Times New Roman" w:eastAsia="宋体" w:cs="Times New Roman"/>
                      <w:color w:val="auto"/>
                      <w:shd w:val="clear" w:color="auto" w:fill="FFFFFF"/>
                      <w:lang w:val="en-US" w:eastAsia="zh-CN"/>
                    </w:rPr>
                    <w:t>排气筒</w:t>
                  </w:r>
                  <w:r>
                    <w:rPr>
                      <w:rFonts w:hint="eastAsia" w:ascii="Times New Roman" w:hAnsi="Times New Roman" w:eastAsia="宋体" w:cs="Times New Roman"/>
                      <w:color w:val="auto"/>
                      <w:shd w:val="clear" w:color="auto" w:fill="FFFFFF"/>
                      <w:lang w:eastAsia="zh-CN"/>
                    </w:rPr>
                    <w:t>）</w:t>
                  </w:r>
                </w:p>
              </w:tc>
              <w:tc>
                <w:tcPr>
                  <w:tcW w:w="2241" w:type="dxa"/>
                  <w:vAlign w:val="center"/>
                </w:tcPr>
                <w:p w14:paraId="71A95D3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rPr>
                    <w:t>有组织</w:t>
                  </w:r>
                  <w:r>
                    <w:rPr>
                      <w:rFonts w:hint="eastAsia" w:ascii="Times New Roman" w:hAnsi="Times New Roman" w:eastAsia="宋体" w:cs="Times New Roman"/>
                      <w:color w:val="auto"/>
                      <w:shd w:val="clear" w:color="auto" w:fill="FFFFFF"/>
                      <w:lang w:eastAsia="zh-CN"/>
                    </w:rPr>
                    <w:t>（DA002排气筒）</w:t>
                  </w:r>
                </w:p>
              </w:tc>
            </w:tr>
            <w:tr w14:paraId="4EC8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restart"/>
                  <w:vAlign w:val="center"/>
                </w:tcPr>
                <w:p w14:paraId="2090DB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治理</w:t>
                  </w:r>
                </w:p>
                <w:p w14:paraId="7046989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设施</w:t>
                  </w:r>
                </w:p>
              </w:tc>
              <w:tc>
                <w:tcPr>
                  <w:tcW w:w="1792" w:type="dxa"/>
                  <w:vAlign w:val="center"/>
                </w:tcPr>
                <w:p w14:paraId="5F5992C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治理工艺</w:t>
                  </w:r>
                </w:p>
              </w:tc>
              <w:tc>
                <w:tcPr>
                  <w:tcW w:w="3668" w:type="dxa"/>
                  <w:gridSpan w:val="3"/>
                  <w:vAlign w:val="center"/>
                </w:tcPr>
                <w:p w14:paraId="0A61C5A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布袋除尘器</w:t>
                  </w:r>
                </w:p>
              </w:tc>
              <w:tc>
                <w:tcPr>
                  <w:tcW w:w="2241" w:type="dxa"/>
                  <w:vAlign w:val="center"/>
                </w:tcPr>
                <w:p w14:paraId="4876116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脉冲式布袋除尘器</w:t>
                  </w:r>
                </w:p>
              </w:tc>
            </w:tr>
            <w:tr w14:paraId="7932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0463AB5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EB0B91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是否为可行技术</w:t>
                  </w:r>
                </w:p>
              </w:tc>
              <w:tc>
                <w:tcPr>
                  <w:tcW w:w="3668" w:type="dxa"/>
                  <w:gridSpan w:val="3"/>
                  <w:vAlign w:val="center"/>
                </w:tcPr>
                <w:p w14:paraId="5CB97FB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是</w:t>
                  </w:r>
                </w:p>
              </w:tc>
              <w:tc>
                <w:tcPr>
                  <w:tcW w:w="2241" w:type="dxa"/>
                  <w:vAlign w:val="center"/>
                </w:tcPr>
                <w:p w14:paraId="1EC3582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是</w:t>
                  </w:r>
                </w:p>
              </w:tc>
            </w:tr>
            <w:tr w14:paraId="4F77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8AD813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污染物排放浓度（mg/m</w:t>
                  </w:r>
                  <w:r>
                    <w:rPr>
                      <w:rFonts w:hint="eastAsia" w:ascii="Times New Roman" w:hAnsi="Times New Roman" w:eastAsia="宋体" w:cs="Times New Roman"/>
                      <w:color w:val="auto"/>
                      <w:shd w:val="clear" w:color="auto" w:fill="FFFFFF"/>
                      <w:vertAlign w:val="superscript"/>
                      <w:lang w:eastAsia="zh-CN"/>
                    </w:rPr>
                    <w:t>3</w:t>
                  </w:r>
                  <w:r>
                    <w:rPr>
                      <w:rFonts w:hint="eastAsia" w:ascii="Times New Roman" w:hAnsi="Times New Roman" w:eastAsia="宋体" w:cs="Times New Roman"/>
                      <w:color w:val="auto"/>
                      <w:shd w:val="clear" w:color="auto" w:fill="FFFFFF"/>
                      <w:lang w:eastAsia="zh-CN"/>
                    </w:rPr>
                    <w:t>）</w:t>
                  </w:r>
                </w:p>
              </w:tc>
              <w:tc>
                <w:tcPr>
                  <w:tcW w:w="3668" w:type="dxa"/>
                  <w:gridSpan w:val="3"/>
                  <w:vAlign w:val="center"/>
                </w:tcPr>
                <w:p w14:paraId="1341F76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12</w:t>
                  </w:r>
                </w:p>
              </w:tc>
              <w:tc>
                <w:tcPr>
                  <w:tcW w:w="2241" w:type="dxa"/>
                  <w:vAlign w:val="center"/>
                </w:tcPr>
                <w:p w14:paraId="382E4BA2">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17.42</w:t>
                  </w:r>
                </w:p>
              </w:tc>
            </w:tr>
            <w:tr w14:paraId="06440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098E58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污染物排放速率（kg/h）</w:t>
                  </w:r>
                </w:p>
              </w:tc>
              <w:tc>
                <w:tcPr>
                  <w:tcW w:w="3668" w:type="dxa"/>
                  <w:gridSpan w:val="3"/>
                  <w:vAlign w:val="center"/>
                </w:tcPr>
                <w:p w14:paraId="14AA85F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0.06</w:t>
                  </w:r>
                </w:p>
              </w:tc>
              <w:tc>
                <w:tcPr>
                  <w:tcW w:w="2241" w:type="dxa"/>
                  <w:vAlign w:val="center"/>
                </w:tcPr>
                <w:p w14:paraId="7941D0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0.174</w:t>
                  </w:r>
                </w:p>
              </w:tc>
            </w:tr>
            <w:tr w14:paraId="2D2D7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1FE6EDD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污染物排放量（t/a）</w:t>
                  </w:r>
                </w:p>
              </w:tc>
              <w:tc>
                <w:tcPr>
                  <w:tcW w:w="3668" w:type="dxa"/>
                  <w:gridSpan w:val="3"/>
                  <w:vAlign w:val="center"/>
                </w:tcPr>
                <w:p w14:paraId="793F066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0.144</w:t>
                  </w:r>
                </w:p>
              </w:tc>
              <w:tc>
                <w:tcPr>
                  <w:tcW w:w="2241" w:type="dxa"/>
                  <w:vAlign w:val="center"/>
                </w:tcPr>
                <w:p w14:paraId="29C270F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0.418</w:t>
                  </w:r>
                </w:p>
              </w:tc>
            </w:tr>
            <w:tr w14:paraId="79AA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restart"/>
                  <w:vAlign w:val="center"/>
                </w:tcPr>
                <w:p w14:paraId="3976146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排气筒基本情况</w:t>
                  </w:r>
                </w:p>
              </w:tc>
              <w:tc>
                <w:tcPr>
                  <w:tcW w:w="1792" w:type="dxa"/>
                  <w:vAlign w:val="center"/>
                </w:tcPr>
                <w:p w14:paraId="01F8FF20">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排气筒高度</w:t>
                  </w:r>
                </w:p>
              </w:tc>
              <w:tc>
                <w:tcPr>
                  <w:tcW w:w="3668" w:type="dxa"/>
                  <w:gridSpan w:val="3"/>
                  <w:vAlign w:val="center"/>
                </w:tcPr>
                <w:p w14:paraId="48601AF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lang w:eastAsia="zh-CN"/>
                    </w:rPr>
                    <w:t>15</w:t>
                  </w:r>
                  <w:r>
                    <w:rPr>
                      <w:rFonts w:hint="eastAsia" w:ascii="Times New Roman" w:hAnsi="Times New Roman" w:eastAsia="宋体" w:cs="Times New Roman"/>
                      <w:color w:val="auto"/>
                      <w:shd w:val="clear" w:color="auto" w:fill="FFFFFF"/>
                    </w:rPr>
                    <w:t>m</w:t>
                  </w:r>
                </w:p>
              </w:tc>
              <w:tc>
                <w:tcPr>
                  <w:tcW w:w="2241" w:type="dxa"/>
                  <w:vAlign w:val="center"/>
                </w:tcPr>
                <w:p w14:paraId="78E4C5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ascii="Times New Roman" w:hAnsi="Times New Roman" w:eastAsia="宋体" w:cs="Times New Roman"/>
                      <w:color w:val="auto"/>
                      <w:shd w:val="clear" w:color="auto" w:fill="FFFFFF"/>
                      <w:lang w:val="en-US" w:eastAsia="zh-CN"/>
                    </w:rPr>
                    <w:t>1m</w:t>
                  </w:r>
                </w:p>
              </w:tc>
            </w:tr>
            <w:tr w14:paraId="5C9A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29C150A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840EB24">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排气筒内径</w:t>
                  </w:r>
                </w:p>
              </w:tc>
              <w:tc>
                <w:tcPr>
                  <w:tcW w:w="3668" w:type="dxa"/>
                  <w:gridSpan w:val="3"/>
                  <w:vAlign w:val="center"/>
                </w:tcPr>
                <w:p w14:paraId="6D89AC4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0.</w:t>
                  </w:r>
                  <w:r>
                    <w:rPr>
                      <w:rFonts w:hint="eastAsia" w:cs="Times New Roman"/>
                      <w:color w:val="auto"/>
                      <w:shd w:val="clear" w:color="auto" w:fill="FFFFFF"/>
                      <w:lang w:val="en-US" w:eastAsia="zh-CN"/>
                    </w:rPr>
                    <w:t>35</w:t>
                  </w:r>
                  <w:r>
                    <w:rPr>
                      <w:rFonts w:hint="eastAsia" w:ascii="Times New Roman" w:hAnsi="Times New Roman" w:eastAsia="宋体" w:cs="Times New Roman"/>
                      <w:color w:val="auto"/>
                      <w:shd w:val="clear" w:color="auto" w:fill="FFFFFF"/>
                    </w:rPr>
                    <w:t>m</w:t>
                  </w:r>
                </w:p>
              </w:tc>
              <w:tc>
                <w:tcPr>
                  <w:tcW w:w="2241" w:type="dxa"/>
                  <w:vAlign w:val="center"/>
                </w:tcPr>
                <w:p w14:paraId="338A85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0.35m</w:t>
                  </w:r>
                </w:p>
              </w:tc>
            </w:tr>
            <w:tr w14:paraId="68924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0E9F5458">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117359E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温度</w:t>
                  </w:r>
                </w:p>
              </w:tc>
              <w:tc>
                <w:tcPr>
                  <w:tcW w:w="3668" w:type="dxa"/>
                  <w:gridSpan w:val="3"/>
                  <w:vAlign w:val="center"/>
                </w:tcPr>
                <w:p w14:paraId="114C097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lang w:eastAsia="zh-CN"/>
                    </w:rPr>
                    <w:t>25</w:t>
                  </w:r>
                  <w:r>
                    <w:rPr>
                      <w:rFonts w:hint="eastAsia" w:ascii="Times New Roman" w:hAnsi="Times New Roman" w:eastAsia="宋体" w:cs="Times New Roman"/>
                      <w:color w:val="auto"/>
                      <w:shd w:val="clear" w:color="auto" w:fill="FFFFFF"/>
                    </w:rPr>
                    <w:t>℃</w:t>
                  </w:r>
                </w:p>
              </w:tc>
              <w:tc>
                <w:tcPr>
                  <w:tcW w:w="2241" w:type="dxa"/>
                  <w:vAlign w:val="center"/>
                </w:tcPr>
                <w:p w14:paraId="3E0EA96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25</w:t>
                  </w:r>
                  <w:r>
                    <w:rPr>
                      <w:rFonts w:hint="eastAsia" w:ascii="Times New Roman" w:hAnsi="Times New Roman" w:eastAsia="宋体" w:cs="Times New Roman"/>
                      <w:color w:val="auto"/>
                      <w:shd w:val="clear" w:color="auto" w:fill="FFFFFF"/>
                    </w:rPr>
                    <w:t>℃</w:t>
                  </w:r>
                </w:p>
              </w:tc>
            </w:tr>
            <w:tr w14:paraId="3DE3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1C409C2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75B25AF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编号</w:t>
                  </w:r>
                </w:p>
              </w:tc>
              <w:tc>
                <w:tcPr>
                  <w:tcW w:w="3668" w:type="dxa"/>
                  <w:gridSpan w:val="3"/>
                  <w:vAlign w:val="center"/>
                </w:tcPr>
                <w:p w14:paraId="5659237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DA00</w:t>
                  </w:r>
                  <w:r>
                    <w:rPr>
                      <w:rFonts w:hint="eastAsia" w:ascii="Times New Roman" w:hAnsi="Times New Roman" w:eastAsia="宋体" w:cs="Times New Roman"/>
                      <w:color w:val="auto"/>
                      <w:shd w:val="clear" w:color="auto" w:fill="FFFFFF"/>
                      <w:lang w:eastAsia="zh-CN"/>
                    </w:rPr>
                    <w:t>1</w:t>
                  </w:r>
                </w:p>
              </w:tc>
              <w:tc>
                <w:tcPr>
                  <w:tcW w:w="2241" w:type="dxa"/>
                  <w:vAlign w:val="center"/>
                </w:tcPr>
                <w:p w14:paraId="32695257">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default" w:ascii="Times New Roman" w:hAnsi="Times New Roman" w:eastAsia="宋体" w:cs="Times New Roman"/>
                      <w:color w:val="auto"/>
                      <w:shd w:val="clear" w:color="auto" w:fill="FFFFFF"/>
                      <w:lang w:val="en-US" w:eastAsia="zh-CN"/>
                    </w:rPr>
                  </w:pPr>
                  <w:r>
                    <w:rPr>
                      <w:rFonts w:hint="eastAsia" w:cs="Times New Roman"/>
                      <w:color w:val="auto"/>
                      <w:shd w:val="clear" w:color="auto" w:fill="FFFFFF"/>
                      <w:lang w:val="en-US" w:eastAsia="zh-CN"/>
                    </w:rPr>
                    <w:t>DA002</w:t>
                  </w:r>
                </w:p>
              </w:tc>
            </w:tr>
            <w:tr w14:paraId="52B4B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4E41748C">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4020F39B">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类型</w:t>
                  </w:r>
                </w:p>
              </w:tc>
              <w:tc>
                <w:tcPr>
                  <w:tcW w:w="3668" w:type="dxa"/>
                  <w:gridSpan w:val="3"/>
                  <w:vAlign w:val="center"/>
                </w:tcPr>
                <w:p w14:paraId="4B2E457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一般排放口</w:t>
                  </w:r>
                </w:p>
              </w:tc>
              <w:tc>
                <w:tcPr>
                  <w:tcW w:w="2241" w:type="dxa"/>
                  <w:vAlign w:val="center"/>
                </w:tcPr>
                <w:p w14:paraId="2289937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一般排放口</w:t>
                  </w:r>
                </w:p>
              </w:tc>
            </w:tr>
            <w:tr w14:paraId="4591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vMerge w:val="continue"/>
                  <w:vAlign w:val="center"/>
                </w:tcPr>
                <w:p w14:paraId="5861A14F">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p>
              </w:tc>
              <w:tc>
                <w:tcPr>
                  <w:tcW w:w="1792" w:type="dxa"/>
                  <w:vAlign w:val="center"/>
                </w:tcPr>
                <w:p w14:paraId="347628B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地理坐标</w:t>
                  </w:r>
                </w:p>
              </w:tc>
              <w:tc>
                <w:tcPr>
                  <w:tcW w:w="3668" w:type="dxa"/>
                  <w:gridSpan w:val="3"/>
                  <w:vAlign w:val="center"/>
                </w:tcPr>
                <w:p w14:paraId="20877FE6">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10</w:t>
                  </w:r>
                  <w:r>
                    <w:rPr>
                      <w:rFonts w:hint="eastAsia" w:ascii="Times New Roman" w:hAnsi="Times New Roman" w:eastAsia="宋体" w:cs="Times New Roman"/>
                      <w:color w:val="auto"/>
                      <w:shd w:val="clear" w:color="auto" w:fill="FFFFFF"/>
                      <w:lang w:eastAsia="zh-CN"/>
                    </w:rPr>
                    <w:t>3</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10</w:t>
                  </w:r>
                  <w:r>
                    <w:rPr>
                      <w:rFonts w:hint="eastAsia" w:ascii="Times New Roman" w:hAnsi="Times New Roman" w:eastAsia="宋体" w:cs="Times New Roman"/>
                      <w:color w:val="auto"/>
                      <w:shd w:val="clear" w:color="auto" w:fill="FFFFFF"/>
                    </w:rPr>
                    <w:t>.04</w:t>
                  </w:r>
                  <w:r>
                    <w:rPr>
                      <w:rFonts w:hint="eastAsia" w:ascii="Times New Roman" w:hAnsi="Times New Roman" w:eastAsia="宋体" w:cs="Times New Roman"/>
                      <w:color w:val="auto"/>
                      <w:shd w:val="clear" w:color="auto" w:fill="FFFFFF"/>
                      <w:lang w:eastAsia="zh-CN"/>
                    </w:rPr>
                    <w:t>6</w:t>
                  </w:r>
                  <w:r>
                    <w:rPr>
                      <w:rFonts w:hint="eastAsia" w:ascii="Times New Roman" w:hAnsi="Times New Roman" w:eastAsia="宋体" w:cs="Times New Roman"/>
                      <w:color w:val="auto"/>
                      <w:shd w:val="clear" w:color="auto" w:fill="FFFFFF"/>
                    </w:rPr>
                    <w:t>″，</w:t>
                  </w:r>
                </w:p>
                <w:p w14:paraId="3405E11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2</w:t>
                  </w:r>
                  <w:r>
                    <w:rPr>
                      <w:rFonts w:hint="eastAsia" w:ascii="Times New Roman" w:hAnsi="Times New Roman" w:eastAsia="宋体" w:cs="Times New Roman"/>
                      <w:color w:val="auto"/>
                      <w:shd w:val="clear" w:color="auto" w:fill="FFFFFF"/>
                      <w:lang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31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24</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754</w:t>
                  </w:r>
                  <w:r>
                    <w:rPr>
                      <w:rFonts w:hint="eastAsia" w:ascii="Times New Roman" w:hAnsi="Times New Roman" w:eastAsia="宋体" w:cs="Times New Roman"/>
                      <w:color w:val="auto"/>
                      <w:shd w:val="clear" w:color="auto" w:fill="FFFFFF"/>
                    </w:rPr>
                    <w:t>″</w:t>
                  </w:r>
                </w:p>
              </w:tc>
              <w:tc>
                <w:tcPr>
                  <w:tcW w:w="2241" w:type="dxa"/>
                  <w:vAlign w:val="center"/>
                </w:tcPr>
                <w:p w14:paraId="2472C63E">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rPr>
                    <w:t>10</w:t>
                  </w:r>
                  <w:r>
                    <w:rPr>
                      <w:rFonts w:hint="eastAsia" w:ascii="Times New Roman" w:hAnsi="Times New Roman" w:eastAsia="宋体" w:cs="Times New Roman"/>
                      <w:color w:val="auto"/>
                      <w:shd w:val="clear" w:color="auto" w:fill="FFFFFF"/>
                      <w:lang w:eastAsia="zh-CN"/>
                    </w:rPr>
                    <w:t>3</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1</w:t>
                  </w:r>
                  <w:r>
                    <w:rPr>
                      <w:rFonts w:hint="eastAsia" w:ascii="Times New Roman" w:hAnsi="Times New Roman" w:eastAsia="宋体" w:cs="Times New Roman"/>
                      <w:color w:val="auto"/>
                      <w:shd w:val="clear" w:color="auto" w:fill="FFFFFF"/>
                      <w:lang w:val="en-US" w:eastAsia="zh-CN"/>
                    </w:rPr>
                    <w:t>1</w:t>
                  </w:r>
                  <w:r>
                    <w:rPr>
                      <w:rFonts w:hint="eastAsia" w:ascii="Times New Roman" w:hAnsi="Times New Roman" w:eastAsia="宋体" w:cs="Times New Roman"/>
                      <w:color w:val="auto"/>
                      <w:shd w:val="clear" w:color="auto" w:fill="FFFFFF"/>
                    </w:rPr>
                    <w:t>.0</w:t>
                  </w:r>
                  <w:r>
                    <w:rPr>
                      <w:rFonts w:hint="eastAsia" w:ascii="Times New Roman" w:hAnsi="Times New Roman" w:eastAsia="宋体" w:cs="Times New Roman"/>
                      <w:color w:val="auto"/>
                      <w:shd w:val="clear" w:color="auto" w:fill="FFFFFF"/>
                      <w:lang w:val="en-US" w:eastAsia="zh-CN"/>
                    </w:rPr>
                    <w:t>7</w:t>
                  </w:r>
                  <w:r>
                    <w:rPr>
                      <w:rFonts w:hint="eastAsia" w:ascii="Times New Roman" w:hAnsi="Times New Roman" w:eastAsia="宋体" w:cs="Times New Roman"/>
                      <w:color w:val="auto"/>
                      <w:shd w:val="clear" w:color="auto" w:fill="FFFFFF"/>
                      <w:lang w:eastAsia="zh-CN"/>
                    </w:rPr>
                    <w:t>6</w:t>
                  </w:r>
                  <w:r>
                    <w:rPr>
                      <w:rFonts w:hint="eastAsia" w:ascii="Times New Roman" w:hAnsi="Times New Roman" w:eastAsia="宋体" w:cs="Times New Roman"/>
                      <w:color w:val="auto"/>
                      <w:shd w:val="clear" w:color="auto" w:fill="FFFFFF"/>
                    </w:rPr>
                    <w:t>″，</w:t>
                  </w:r>
                </w:p>
                <w:p w14:paraId="48E4F2F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2</w:t>
                  </w:r>
                  <w:r>
                    <w:rPr>
                      <w:rFonts w:hint="eastAsia" w:ascii="Times New Roman" w:hAnsi="Times New Roman" w:eastAsia="宋体" w:cs="Times New Roman"/>
                      <w:color w:val="auto"/>
                      <w:shd w:val="clear" w:color="auto" w:fill="FFFFFF"/>
                      <w:lang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31</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eastAsia="zh-CN"/>
                    </w:rPr>
                    <w:t>2</w:t>
                  </w:r>
                  <w:r>
                    <w:rPr>
                      <w:rFonts w:hint="eastAsia" w:ascii="Times New Roman" w:hAnsi="Times New Roman" w:eastAsia="宋体" w:cs="Times New Roman"/>
                      <w:color w:val="auto"/>
                      <w:shd w:val="clear" w:color="auto" w:fill="FFFFFF"/>
                      <w:lang w:val="en-US" w:eastAsia="zh-CN"/>
                    </w:rPr>
                    <w:t>5</w:t>
                  </w:r>
                  <w:r>
                    <w:rPr>
                      <w:rFonts w:hint="eastAsia" w:ascii="Times New Roman" w:hAnsi="Times New Roman" w:eastAsia="宋体" w:cs="Times New Roman"/>
                      <w:color w:val="auto"/>
                      <w:shd w:val="clear" w:color="auto" w:fill="FFFFFF"/>
                    </w:rPr>
                    <w:t>.</w:t>
                  </w:r>
                  <w:r>
                    <w:rPr>
                      <w:rFonts w:hint="eastAsia" w:ascii="Times New Roman" w:hAnsi="Times New Roman" w:eastAsia="宋体" w:cs="Times New Roman"/>
                      <w:color w:val="auto"/>
                      <w:shd w:val="clear" w:color="auto" w:fill="FFFFFF"/>
                      <w:lang w:val="en-US" w:eastAsia="zh-CN"/>
                    </w:rPr>
                    <w:t>1</w:t>
                  </w:r>
                  <w:r>
                    <w:rPr>
                      <w:rFonts w:hint="eastAsia" w:ascii="Times New Roman" w:hAnsi="Times New Roman" w:eastAsia="宋体" w:cs="Times New Roman"/>
                      <w:color w:val="auto"/>
                      <w:shd w:val="clear" w:color="auto" w:fill="FFFFFF"/>
                      <w:lang w:eastAsia="zh-CN"/>
                    </w:rPr>
                    <w:t>4</w:t>
                  </w:r>
                  <w:r>
                    <w:rPr>
                      <w:rFonts w:hint="eastAsia" w:ascii="Times New Roman" w:hAnsi="Times New Roman" w:eastAsia="宋体" w:cs="Times New Roman"/>
                      <w:color w:val="auto"/>
                      <w:shd w:val="clear" w:color="auto" w:fill="FFFFFF"/>
                      <w:lang w:val="en-US" w:eastAsia="zh-CN"/>
                    </w:rPr>
                    <w:t>3</w:t>
                  </w:r>
                  <w:r>
                    <w:rPr>
                      <w:rFonts w:hint="eastAsia" w:ascii="Times New Roman" w:hAnsi="Times New Roman" w:eastAsia="宋体" w:cs="Times New Roman"/>
                      <w:color w:val="auto"/>
                      <w:shd w:val="clear" w:color="auto" w:fill="FFFFFF"/>
                    </w:rPr>
                    <w:t>″</w:t>
                  </w:r>
                </w:p>
              </w:tc>
            </w:tr>
            <w:tr w14:paraId="0ECE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81" w:type="dxa"/>
                  <w:gridSpan w:val="2"/>
                  <w:vAlign w:val="center"/>
                </w:tcPr>
                <w:p w14:paraId="5DB9E25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hd w:val="clear" w:color="auto" w:fill="FFFFFF"/>
                    </w:rPr>
                  </w:pPr>
                  <w:r>
                    <w:rPr>
                      <w:rFonts w:hint="eastAsia" w:ascii="Times New Roman" w:hAnsi="Times New Roman" w:eastAsia="宋体" w:cs="Times New Roman"/>
                      <w:color w:val="auto"/>
                      <w:shd w:val="clear" w:color="auto" w:fill="FFFFFF"/>
                    </w:rPr>
                    <w:t>排放标准</w:t>
                  </w:r>
                </w:p>
              </w:tc>
              <w:tc>
                <w:tcPr>
                  <w:tcW w:w="5909" w:type="dxa"/>
                  <w:gridSpan w:val="4"/>
                  <w:vAlign w:val="center"/>
                </w:tcPr>
                <w:p w14:paraId="1EDAD493">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hd w:val="clear" w:color="auto" w:fill="FFFFFF"/>
                      <w:lang w:eastAsia="zh-CN"/>
                    </w:rPr>
                  </w:pPr>
                  <w:r>
                    <w:rPr>
                      <w:rFonts w:hint="eastAsia" w:ascii="Times New Roman" w:hAnsi="Times New Roman" w:eastAsia="宋体" w:cs="Times New Roman"/>
                      <w:color w:val="auto"/>
                      <w:shd w:val="clear" w:color="auto" w:fill="FFFFFF"/>
                      <w:lang w:eastAsia="zh-CN"/>
                    </w:rPr>
                    <w:t>《大气污染物综合排放标准》（GB16297-1996）表2中有组织排放限值</w:t>
                  </w:r>
                </w:p>
              </w:tc>
            </w:tr>
          </w:tbl>
          <w:p w14:paraId="2BDF90D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6</w:t>
            </w:r>
            <w:r>
              <w:rPr>
                <w:rFonts w:ascii="Times New Roman" w:hAnsi="Times New Roman" w:eastAsia="宋体" w:cs="Times New Roman"/>
                <w:b/>
                <w:bCs/>
                <w:color w:val="auto"/>
                <w:sz w:val="24"/>
                <w:szCs w:val="24"/>
                <w:lang w:eastAsia="zh-CN"/>
              </w:rPr>
              <w:t>粉尘对</w:t>
            </w:r>
            <w:r>
              <w:rPr>
                <w:rFonts w:hint="eastAsia" w:ascii="Times New Roman" w:hAnsi="Times New Roman" w:eastAsia="宋体" w:cs="Times New Roman"/>
                <w:b/>
                <w:bCs/>
                <w:color w:val="auto"/>
                <w:sz w:val="24"/>
                <w:szCs w:val="24"/>
                <w:lang w:eastAsia="zh-CN"/>
              </w:rPr>
              <w:t>环境保护目标</w:t>
            </w:r>
            <w:r>
              <w:rPr>
                <w:rFonts w:ascii="Times New Roman" w:hAnsi="Times New Roman" w:eastAsia="宋体" w:cs="Times New Roman"/>
                <w:b/>
                <w:bCs/>
                <w:color w:val="auto"/>
                <w:sz w:val="24"/>
                <w:szCs w:val="24"/>
                <w:lang w:eastAsia="zh-CN"/>
              </w:rPr>
              <w:t>的影响</w:t>
            </w:r>
          </w:p>
          <w:p w14:paraId="3AC444A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w:t>
            </w:r>
            <w:r>
              <w:rPr>
                <w:rFonts w:hint="eastAsia" w:ascii="Times New Roman" w:hAnsi="Times New Roman" w:eastAsia="宋体" w:cs="Times New Roman"/>
                <w:color w:val="auto"/>
                <w:sz w:val="24"/>
                <w:szCs w:val="24"/>
                <w:lang w:eastAsia="zh-CN"/>
              </w:rPr>
              <w:t>环境保护目标为东北侧泽铁社区、西南侧小潘所村和东侧泽铁社区散户，</w:t>
            </w:r>
            <w:r>
              <w:rPr>
                <w:rFonts w:ascii="Times New Roman" w:hAnsi="Times New Roman" w:eastAsia="宋体" w:cs="Times New Roman"/>
                <w:color w:val="auto"/>
                <w:sz w:val="24"/>
                <w:szCs w:val="24"/>
                <w:lang w:eastAsia="zh-CN"/>
              </w:rPr>
              <w:t>项目废气主要</w:t>
            </w:r>
            <w:r>
              <w:rPr>
                <w:rFonts w:hint="eastAsia" w:ascii="Times New Roman" w:hAnsi="Times New Roman" w:eastAsia="宋体" w:cs="Times New Roman"/>
                <w:color w:val="auto"/>
                <w:sz w:val="24"/>
                <w:szCs w:val="24"/>
                <w:lang w:eastAsia="zh-CN"/>
              </w:rPr>
              <w:t>污染物</w:t>
            </w:r>
            <w:r>
              <w:rPr>
                <w:rFonts w:ascii="Times New Roman" w:hAnsi="Times New Roman" w:eastAsia="宋体" w:cs="Times New Roman"/>
                <w:color w:val="auto"/>
                <w:sz w:val="24"/>
                <w:szCs w:val="24"/>
                <w:lang w:eastAsia="zh-CN"/>
              </w:rPr>
              <w:t>是颗粒物，不产生有毒有害气体及挥发性有机物，项目堆场</w:t>
            </w:r>
            <w:r>
              <w:rPr>
                <w:rFonts w:hint="eastAsia" w:ascii="Times New Roman" w:hAnsi="Times New Roman" w:eastAsia="宋体" w:cs="Times New Roman"/>
                <w:color w:val="auto"/>
                <w:sz w:val="24"/>
                <w:szCs w:val="24"/>
                <w:lang w:eastAsia="zh-CN"/>
              </w:rPr>
              <w:t>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口，且地面硬化，逸散至外环境的粉尘很小，产生的</w:t>
            </w:r>
            <w:r>
              <w:rPr>
                <w:rFonts w:hint="eastAsia" w:cs="Times New Roman"/>
                <w:color w:val="auto"/>
                <w:sz w:val="24"/>
                <w:szCs w:val="24"/>
                <w:lang w:eastAsia="zh-CN"/>
              </w:rPr>
              <w:t>堆场扬尘</w:t>
            </w:r>
            <w:r>
              <w:rPr>
                <w:rFonts w:hint="eastAsia" w:ascii="Times New Roman" w:hAnsi="Times New Roman" w:eastAsia="宋体" w:cs="Times New Roman"/>
                <w:color w:val="auto"/>
                <w:sz w:val="24"/>
                <w:szCs w:val="24"/>
                <w:lang w:eastAsia="zh-CN"/>
              </w:rPr>
              <w:t>对周边环境</w:t>
            </w:r>
            <w:r>
              <w:rPr>
                <w:rFonts w:ascii="Times New Roman" w:hAnsi="Times New Roman" w:eastAsia="宋体" w:cs="Times New Roman"/>
                <w:color w:val="auto"/>
                <w:sz w:val="24"/>
                <w:szCs w:val="24"/>
                <w:lang w:eastAsia="zh-CN"/>
              </w:rPr>
              <w:t>影响较小；项目物料在皮带输送过程中产生少量的颗粒物，但项目物料用密闭皮带输送机输送，对</w:t>
            </w:r>
            <w:r>
              <w:rPr>
                <w:rFonts w:hint="eastAsia" w:ascii="Times New Roman" w:hAnsi="Times New Roman" w:eastAsia="宋体" w:cs="Times New Roman"/>
                <w:color w:val="auto"/>
                <w:sz w:val="24"/>
                <w:szCs w:val="24"/>
                <w:lang w:eastAsia="zh-CN"/>
              </w:rPr>
              <w:t>居民</w:t>
            </w:r>
            <w:r>
              <w:rPr>
                <w:rFonts w:ascii="Times New Roman" w:hAnsi="Times New Roman" w:eastAsia="宋体" w:cs="Times New Roman"/>
                <w:color w:val="auto"/>
                <w:sz w:val="24"/>
                <w:szCs w:val="24"/>
                <w:lang w:eastAsia="zh-CN"/>
              </w:rPr>
              <w:t>影响较小。项目双轴搅拌机设备机身为封闭式，设置一个排泄口，采用</w:t>
            </w:r>
            <w:r>
              <w:rPr>
                <w:rFonts w:hint="eastAsia" w:ascii="Times New Roman" w:hAnsi="Times New Roman" w:eastAsia="宋体" w:cs="Times New Roman"/>
                <w:color w:val="auto"/>
                <w:sz w:val="24"/>
                <w:szCs w:val="24"/>
                <w:lang w:eastAsia="zh-CN"/>
              </w:rPr>
              <w:t>布袋</w:t>
            </w:r>
            <w:r>
              <w:rPr>
                <w:rFonts w:ascii="Times New Roman" w:hAnsi="Times New Roman" w:eastAsia="宋体" w:cs="Times New Roman"/>
                <w:color w:val="auto"/>
                <w:sz w:val="24"/>
                <w:szCs w:val="24"/>
                <w:lang w:eastAsia="zh-CN"/>
              </w:rPr>
              <w:t>除尘器来控制粉尘，且生产线在厂房内，对</w:t>
            </w:r>
            <w:r>
              <w:rPr>
                <w:rFonts w:hint="eastAsia" w:ascii="Times New Roman" w:hAnsi="Times New Roman" w:eastAsia="宋体" w:cs="Times New Roman"/>
                <w:color w:val="auto"/>
                <w:sz w:val="24"/>
                <w:szCs w:val="24"/>
                <w:lang w:eastAsia="zh-CN"/>
              </w:rPr>
              <w:t>居民</w:t>
            </w:r>
            <w:r>
              <w:rPr>
                <w:rFonts w:ascii="Times New Roman" w:hAnsi="Times New Roman" w:eastAsia="宋体" w:cs="Times New Roman"/>
                <w:color w:val="auto"/>
                <w:sz w:val="24"/>
                <w:szCs w:val="24"/>
                <w:lang w:eastAsia="zh-CN"/>
              </w:rPr>
              <w:t>影响较小。项目运输扬尘采取洒水降尘措施</w:t>
            </w:r>
            <w:r>
              <w:rPr>
                <w:rFonts w:hint="eastAsia" w:ascii="Times New Roman" w:hAnsi="Times New Roman" w:eastAsia="宋体" w:cs="Times New Roman"/>
                <w:color w:val="auto"/>
                <w:sz w:val="24"/>
                <w:szCs w:val="24"/>
                <w:lang w:eastAsia="zh-CN"/>
              </w:rPr>
              <w:t>，可有效控制运输粉尘。据前文分析，本项目颗粒物排放浓度及速率均能做到达标排放，</w:t>
            </w:r>
            <w:r>
              <w:rPr>
                <w:rFonts w:ascii="Times New Roman" w:hAnsi="Times New Roman" w:eastAsia="宋体" w:cs="Times New Roman"/>
                <w:color w:val="auto"/>
                <w:sz w:val="24"/>
                <w:szCs w:val="24"/>
                <w:lang w:eastAsia="zh-CN"/>
              </w:rPr>
              <w:t>因此，本项目产生粉尘对</w:t>
            </w:r>
            <w:r>
              <w:rPr>
                <w:rFonts w:hint="eastAsia" w:ascii="Times New Roman" w:hAnsi="Times New Roman" w:eastAsia="宋体" w:cs="Times New Roman"/>
                <w:color w:val="auto"/>
                <w:sz w:val="24"/>
                <w:szCs w:val="24"/>
                <w:lang w:eastAsia="zh-CN"/>
              </w:rPr>
              <w:t>居民点</w:t>
            </w:r>
            <w:r>
              <w:rPr>
                <w:rFonts w:ascii="Times New Roman" w:hAnsi="Times New Roman" w:eastAsia="宋体" w:cs="Times New Roman"/>
                <w:color w:val="auto"/>
                <w:sz w:val="24"/>
                <w:szCs w:val="24"/>
                <w:lang w:eastAsia="zh-CN"/>
              </w:rPr>
              <w:t>影响较小。</w:t>
            </w:r>
          </w:p>
          <w:p w14:paraId="168A6528">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7</w:t>
            </w:r>
            <w:r>
              <w:rPr>
                <w:rFonts w:ascii="Times New Roman" w:hAnsi="Times New Roman" w:eastAsia="宋体" w:cs="Times New Roman"/>
                <w:b/>
                <w:bCs/>
                <w:color w:val="auto"/>
                <w:sz w:val="24"/>
                <w:szCs w:val="24"/>
                <w:lang w:eastAsia="zh-CN"/>
              </w:rPr>
              <w:t>措施处理可行性分析</w:t>
            </w:r>
          </w:p>
          <w:p w14:paraId="565762A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空气细颗粒物污染综合防治技术政策》（2013年9月25日实施），“对于排放细颗粒物的工业污染源，应按照生产工艺、排放方式和烟（废）气组成的特点，选取适用的污染防治技术。工业污染源有组织排放的颗粒物，宜采取袋除尘、电除尘、电袋除尘等高效除尘技术”。</w:t>
            </w:r>
          </w:p>
          <w:p w14:paraId="716FB60B">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项目废气污染物为颗粒物，</w:t>
            </w:r>
            <w:r>
              <w:rPr>
                <w:rFonts w:hint="eastAsia" w:cs="Times New Roman"/>
                <w:color w:val="auto"/>
                <w:sz w:val="24"/>
                <w:szCs w:val="24"/>
                <w:lang w:val="en-US" w:eastAsia="zh-CN"/>
              </w:rPr>
              <w:t>上料</w:t>
            </w:r>
            <w:r>
              <w:rPr>
                <w:rFonts w:hint="eastAsia" w:ascii="Times New Roman" w:hAnsi="Times New Roman" w:eastAsia="宋体" w:cs="Times New Roman"/>
                <w:color w:val="auto"/>
                <w:sz w:val="24"/>
                <w:szCs w:val="24"/>
                <w:lang w:eastAsia="zh-CN"/>
              </w:rPr>
              <w:t>粉尘、搅拌粉尘和出料粉尘经管道引至布袋除尘器</w:t>
            </w:r>
            <w:r>
              <w:rPr>
                <w:rFonts w:ascii="Times New Roman" w:hAnsi="Times New Roman" w:eastAsia="宋体" w:cs="Times New Roman"/>
                <w:color w:val="auto"/>
                <w:sz w:val="24"/>
                <w:szCs w:val="24"/>
                <w:lang w:eastAsia="zh-CN"/>
              </w:rPr>
              <w:t>处理后</w:t>
            </w:r>
            <w:r>
              <w:rPr>
                <w:rFonts w:hint="eastAsia" w:ascii="Times New Roman" w:hAnsi="Times New Roman" w:eastAsia="宋体" w:cs="Times New Roman"/>
                <w:color w:val="auto"/>
                <w:sz w:val="24"/>
                <w:szCs w:val="24"/>
                <w:lang w:eastAsia="zh-CN"/>
              </w:rPr>
              <w:t>通过DA001排气筒（15m）</w:t>
            </w:r>
            <w:r>
              <w:rPr>
                <w:rFonts w:ascii="Times New Roman" w:hAnsi="Times New Roman" w:eastAsia="宋体" w:cs="Times New Roman"/>
                <w:color w:val="auto"/>
                <w:sz w:val="24"/>
                <w:szCs w:val="24"/>
                <w:lang w:eastAsia="zh-CN"/>
              </w:rPr>
              <w:t>排放，处理方式属于《环境空气细颗粒物污染综合防治技术政策》（2013年9月25日实施）中的可行技术。</w:t>
            </w:r>
          </w:p>
          <w:p w14:paraId="65A7B1FD">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环境空气细颗粒物污染综合防治技术政策》（2013年9月25日实施），“产生大气颗粒物及其前体物污染物的生产活动应尽量采用密闭装置，避免无组织排放；无法完全密闭的，应安装集气装置收集逸散的污染物，经净化后排放”，针对扬尘防治，该技术政策指出“实行粉状物料及渣土车辆密闭运输，加强监管，防止遗撒。及时进行道路清扫、冲洗、洒水作业，减少扬尘。”。</w:t>
            </w:r>
          </w:p>
          <w:p w14:paraId="6D64299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项目厂房</w:t>
            </w:r>
            <w:r>
              <w:rPr>
                <w:rFonts w:hint="eastAsia" w:ascii="Times New Roman" w:hAnsi="Times New Roman" w:eastAsia="宋体" w:cs="Times New Roman"/>
                <w:color w:val="auto"/>
                <w:sz w:val="24"/>
                <w:szCs w:val="24"/>
                <w:lang w:eastAsia="zh-CN"/>
              </w:rPr>
              <w:t>均为封闭厂房</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仅设置</w:t>
            </w:r>
            <w:r>
              <w:rPr>
                <w:rFonts w:ascii="Times New Roman" w:hAnsi="Times New Roman" w:eastAsia="宋体" w:cs="Times New Roman"/>
                <w:color w:val="auto"/>
                <w:sz w:val="24"/>
                <w:szCs w:val="24"/>
                <w:lang w:eastAsia="zh-CN"/>
              </w:rPr>
              <w:t>一个</w:t>
            </w:r>
            <w:r>
              <w:rPr>
                <w:rFonts w:hint="eastAsia" w:ascii="Times New Roman" w:hAnsi="Times New Roman" w:eastAsia="宋体" w:cs="Times New Roman"/>
                <w:color w:val="auto"/>
                <w:sz w:val="24"/>
                <w:szCs w:val="24"/>
                <w:lang w:eastAsia="zh-CN"/>
              </w:rPr>
              <w:t>出入</w:t>
            </w:r>
            <w:r>
              <w:rPr>
                <w:rFonts w:ascii="Times New Roman" w:hAnsi="Times New Roman" w:eastAsia="宋体" w:cs="Times New Roman"/>
                <w:color w:val="auto"/>
                <w:sz w:val="24"/>
                <w:szCs w:val="24"/>
                <w:lang w:eastAsia="zh-CN"/>
              </w:rPr>
              <w:t>口，</w:t>
            </w:r>
            <w:r>
              <w:rPr>
                <w:rFonts w:hint="eastAsia" w:ascii="Times New Roman" w:hAnsi="Times New Roman" w:eastAsia="宋体" w:cs="Times New Roman"/>
                <w:color w:val="auto"/>
                <w:sz w:val="24"/>
                <w:szCs w:val="24"/>
                <w:lang w:eastAsia="zh-CN"/>
              </w:rPr>
              <w:t>厂房出入口及顶棚出气口设置喷雾降尘设施，</w:t>
            </w:r>
            <w:r>
              <w:rPr>
                <w:rFonts w:ascii="Times New Roman" w:hAnsi="Times New Roman" w:eastAsia="宋体" w:cs="Times New Roman"/>
                <w:color w:val="auto"/>
                <w:sz w:val="24"/>
                <w:szCs w:val="24"/>
                <w:lang w:eastAsia="zh-CN"/>
              </w:rPr>
              <w:t>皮带密闭运输，堆场、生产等均在厂房内，无组织采取的措施能够满足《环境空气细颗粒物污染综合防治技术政策》（2013年9月25日实施）的可行技术。</w:t>
            </w:r>
          </w:p>
          <w:p w14:paraId="369DBC7D">
            <w:pPr>
              <w:pStyle w:val="30"/>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根据《排污许可申请与核发技术规范 废弃资源加工工业》（HJ1034-2019）附录A 表A.1 废弃资源加工工业排污单位废气污染防治可行技术参考表中其他废弃资源—加工—颗粒物：布袋除尘，本项目设置布袋除尘器处理上料粉尘、搅拌粉尘和出料粉尘属于可行技术。</w:t>
            </w:r>
          </w:p>
          <w:p w14:paraId="7528AAF0">
            <w:pPr>
              <w:pStyle w:val="30"/>
              <w:kinsoku/>
              <w:overflowPunct w:val="0"/>
              <w:autoSpaceDE/>
              <w:autoSpaceDN/>
              <w:adjustRightInd/>
              <w:snapToGrid/>
              <w:spacing w:line="360" w:lineRule="auto"/>
              <w:ind w:firstLine="482" w:firstLineChars="200"/>
              <w:jc w:val="both"/>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2.8排气筒高度合理性分析</w:t>
            </w:r>
          </w:p>
          <w:p w14:paraId="0C63A589">
            <w:pPr>
              <w:pStyle w:val="30"/>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根据《大气污染物综合排放标准》（GB16297-1996），</w:t>
            </w:r>
            <w:r>
              <w:rPr>
                <w:rFonts w:hint="eastAsia" w:ascii="Times New Roman" w:hAnsi="Times New Roman" w:eastAsia="宋体" w:cs="Times New Roman"/>
                <w:bCs/>
                <w:color w:val="auto"/>
                <w:lang w:eastAsia="zh-CN"/>
              </w:rPr>
              <w:t>排气筒高度应高出周围200m半径范围内的建筑5m以上，不能达到该要求的排气筒，其排放速率标准值应严格50%执行</w:t>
            </w:r>
            <w:r>
              <w:rPr>
                <w:rFonts w:hint="eastAsia" w:cs="Times New Roman"/>
                <w:bCs/>
                <w:color w:val="auto"/>
                <w:lang w:eastAsia="zh-CN"/>
              </w:rPr>
              <w:t>。</w:t>
            </w:r>
            <w:r>
              <w:rPr>
                <w:rFonts w:hint="eastAsia" w:cs="Times New Roman"/>
                <w:bCs/>
                <w:color w:val="auto"/>
                <w:lang w:val="en-US" w:eastAsia="zh-CN"/>
              </w:rPr>
              <w:t>本项目排气筒</w:t>
            </w:r>
            <w:r>
              <w:rPr>
                <w:rFonts w:hint="eastAsia" w:ascii="Times New Roman" w:hAnsi="Times New Roman" w:eastAsia="宋体" w:cs="Times New Roman"/>
                <w:bCs/>
                <w:color w:val="auto"/>
                <w:lang w:eastAsia="zh-CN"/>
              </w:rPr>
              <w:t>200m半径范围内</w:t>
            </w:r>
            <w:r>
              <w:rPr>
                <w:rFonts w:hint="eastAsia" w:cs="Times New Roman"/>
                <w:bCs/>
                <w:color w:val="auto"/>
                <w:lang w:val="en-US" w:eastAsia="zh-CN"/>
              </w:rPr>
              <w:t>最高建筑为本项目生产厂房、原料堆场，高度均为13m。本项目DA001排气筒（15m）、DA002排气筒（1m，建设于17m高筒仓上，共18m）均未高出生产厂房、原料堆场5m以上，因此排放速率标准已严格50%执行，因此排气筒高度设置合理。</w:t>
            </w:r>
          </w:p>
          <w:p w14:paraId="5C54C779">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w:t>
            </w:r>
            <w:r>
              <w:rPr>
                <w:rFonts w:hint="eastAsia" w:ascii="Times New Roman" w:hAnsi="Times New Roman" w:eastAsia="宋体" w:cs="Times New Roman"/>
                <w:b/>
                <w:bCs/>
                <w:color w:val="auto"/>
                <w:sz w:val="24"/>
                <w:szCs w:val="24"/>
                <w:lang w:eastAsia="zh-CN"/>
              </w:rPr>
              <w:t>9</w:t>
            </w:r>
            <w:r>
              <w:rPr>
                <w:rFonts w:ascii="Times New Roman" w:hAnsi="Times New Roman" w:eastAsia="宋体" w:cs="Times New Roman"/>
                <w:b/>
                <w:bCs/>
                <w:color w:val="auto"/>
                <w:sz w:val="24"/>
                <w:szCs w:val="24"/>
                <w:lang w:eastAsia="zh-CN"/>
              </w:rPr>
              <w:t>环境监测计划</w:t>
            </w:r>
          </w:p>
          <w:p w14:paraId="3B75526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rPr>
            </w:pPr>
            <w:r>
              <w:rPr>
                <w:rFonts w:ascii="Times New Roman" w:hAnsi="Times New Roman" w:eastAsia="宋体" w:cs="Times New Roman"/>
                <w:color w:val="auto"/>
                <w:sz w:val="24"/>
                <w:szCs w:val="24"/>
                <w:lang w:eastAsia="zh-CN"/>
              </w:rPr>
              <w:t>根据以上分析，项目运营期</w:t>
            </w:r>
            <w:r>
              <w:rPr>
                <w:rFonts w:hint="eastAsia" w:ascii="Times New Roman" w:hAnsi="Times New Roman" w:eastAsia="宋体" w:cs="Times New Roman"/>
                <w:color w:val="auto"/>
                <w:sz w:val="24"/>
                <w:szCs w:val="24"/>
                <w:lang w:eastAsia="zh-CN"/>
              </w:rPr>
              <w:t>废气</w:t>
            </w:r>
            <w:r>
              <w:rPr>
                <w:rFonts w:ascii="Times New Roman" w:hAnsi="Times New Roman" w:eastAsia="宋体" w:cs="Times New Roman"/>
                <w:color w:val="auto"/>
                <w:sz w:val="24"/>
                <w:szCs w:val="24"/>
                <w:lang w:eastAsia="zh-CN"/>
              </w:rPr>
              <w:t>监测计划根据《排污单位自行监测技术指南</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总则》（HJ819-2017）</w:t>
            </w:r>
            <w:r>
              <w:rPr>
                <w:rFonts w:hint="eastAsia" w:ascii="Times New Roman" w:hAnsi="Times New Roman" w:eastAsia="宋体" w:cs="Times New Roman"/>
                <w:color w:val="auto"/>
                <w:sz w:val="24"/>
                <w:szCs w:val="24"/>
                <w:lang w:eastAsia="zh-CN"/>
              </w:rPr>
              <w:t>和《排污许可申请与核发技术规范 废弃资源加工》（HJ1034-2019）</w:t>
            </w:r>
            <w:r>
              <w:rPr>
                <w:rFonts w:ascii="Times New Roman" w:hAnsi="Times New Roman" w:eastAsia="宋体" w:cs="Times New Roman"/>
                <w:color w:val="auto"/>
                <w:sz w:val="24"/>
                <w:szCs w:val="24"/>
                <w:lang w:eastAsia="zh-CN"/>
              </w:rPr>
              <w:t>进行设置。</w:t>
            </w:r>
            <w:r>
              <w:rPr>
                <w:rFonts w:ascii="Times New Roman" w:hAnsi="Times New Roman" w:eastAsia="宋体" w:cs="Times New Roman"/>
                <w:color w:val="auto"/>
                <w:sz w:val="24"/>
                <w:szCs w:val="24"/>
              </w:rPr>
              <w:t>监测计划如下：</w:t>
            </w:r>
          </w:p>
          <w:p w14:paraId="1EE75DBD">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表4-8  运营期环境监测计划一览表</w:t>
            </w:r>
          </w:p>
          <w:tbl>
            <w:tblPr>
              <w:tblStyle w:val="29"/>
              <w:tblW w:w="839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86"/>
              <w:gridCol w:w="2205"/>
              <w:gridCol w:w="987"/>
              <w:gridCol w:w="1111"/>
              <w:gridCol w:w="3101"/>
            </w:tblGrid>
            <w:tr w14:paraId="6FE5A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86" w:type="dxa"/>
                  <w:vAlign w:val="center"/>
                </w:tcPr>
                <w:p w14:paraId="2D03DC1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监测内容</w:t>
                  </w:r>
                </w:p>
              </w:tc>
              <w:tc>
                <w:tcPr>
                  <w:tcW w:w="2205" w:type="dxa"/>
                  <w:vAlign w:val="center"/>
                </w:tcPr>
                <w:p w14:paraId="081F8D0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监测地点</w:t>
                  </w:r>
                </w:p>
              </w:tc>
              <w:tc>
                <w:tcPr>
                  <w:tcW w:w="987" w:type="dxa"/>
                  <w:vAlign w:val="center"/>
                </w:tcPr>
                <w:p w14:paraId="3D7195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监测项目</w:t>
                  </w:r>
                </w:p>
              </w:tc>
              <w:tc>
                <w:tcPr>
                  <w:tcW w:w="1111" w:type="dxa"/>
                  <w:vAlign w:val="center"/>
                </w:tcPr>
                <w:p w14:paraId="497ED25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监测频率</w:t>
                  </w:r>
                </w:p>
              </w:tc>
              <w:tc>
                <w:tcPr>
                  <w:tcW w:w="3101" w:type="dxa"/>
                  <w:vAlign w:val="center"/>
                </w:tcPr>
                <w:p w14:paraId="21590A1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r>
            <w:tr w14:paraId="53C80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86" w:type="dxa"/>
                  <w:vMerge w:val="restart"/>
                  <w:vAlign w:val="center"/>
                </w:tcPr>
                <w:p w14:paraId="57B38D6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废气</w:t>
                  </w:r>
                </w:p>
              </w:tc>
              <w:tc>
                <w:tcPr>
                  <w:tcW w:w="2205" w:type="dxa"/>
                  <w:vAlign w:val="center"/>
                </w:tcPr>
                <w:p w14:paraId="1E43D4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厂界（上风向厂界外1个，下风向厂界外3个）</w:t>
                  </w:r>
                </w:p>
              </w:tc>
              <w:tc>
                <w:tcPr>
                  <w:tcW w:w="987" w:type="dxa"/>
                  <w:vAlign w:val="center"/>
                </w:tcPr>
                <w:p w14:paraId="2B2D9C3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1111" w:type="dxa"/>
                  <w:vAlign w:val="center"/>
                </w:tcPr>
                <w:p w14:paraId="0FCE42C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1次/年</w:t>
                  </w:r>
                </w:p>
              </w:tc>
              <w:tc>
                <w:tcPr>
                  <w:tcW w:w="3101" w:type="dxa"/>
                  <w:vAlign w:val="center"/>
                </w:tcPr>
                <w:p w14:paraId="76E53FA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《大气污染物综合排放标准》（GB16297-1996）表2中无组织排放监控浓度限值</w:t>
                  </w:r>
                </w:p>
              </w:tc>
            </w:tr>
            <w:tr w14:paraId="137DD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986" w:type="dxa"/>
                  <w:vMerge w:val="continue"/>
                  <w:vAlign w:val="center"/>
                </w:tcPr>
                <w:p w14:paraId="7A75F7B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2205" w:type="dxa"/>
                  <w:vAlign w:val="center"/>
                </w:tcPr>
                <w:p w14:paraId="1AACEA52">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bCs/>
                      <w:color w:val="auto"/>
                      <w:spacing w:val="-10"/>
                      <w:sz w:val="21"/>
                      <w:szCs w:val="21"/>
                      <w:lang w:eastAsia="zh-CN"/>
                    </w:rPr>
                    <w:t>DA001排气筒、</w:t>
                  </w:r>
                  <w:r>
                    <w:rPr>
                      <w:rFonts w:hint="eastAsia" w:cs="Times New Roman"/>
                      <w:bCs/>
                      <w:color w:val="auto"/>
                      <w:spacing w:val="-10"/>
                      <w:sz w:val="21"/>
                      <w:szCs w:val="21"/>
                      <w:lang w:val="en-US" w:eastAsia="zh-CN"/>
                    </w:rPr>
                    <w:t>DA002排气筒</w:t>
                  </w:r>
                </w:p>
              </w:tc>
              <w:tc>
                <w:tcPr>
                  <w:tcW w:w="987" w:type="dxa"/>
                  <w:vAlign w:val="center"/>
                </w:tcPr>
                <w:p w14:paraId="76A6002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1111" w:type="dxa"/>
                  <w:vAlign w:val="center"/>
                </w:tcPr>
                <w:p w14:paraId="596123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1次/年</w:t>
                  </w:r>
                </w:p>
              </w:tc>
              <w:tc>
                <w:tcPr>
                  <w:tcW w:w="3101" w:type="dxa"/>
                  <w:vAlign w:val="center"/>
                </w:tcPr>
                <w:p w14:paraId="7EA8241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pacing w:val="-10"/>
                      <w:sz w:val="21"/>
                      <w:szCs w:val="21"/>
                      <w:lang w:eastAsia="zh-CN"/>
                    </w:rPr>
                    <w:t>《大气污染物综合排放标准》（GB16297-1996）表2中有组织最高允许排放浓度限值</w:t>
                  </w:r>
                </w:p>
              </w:tc>
            </w:tr>
          </w:tbl>
          <w:p w14:paraId="5E24FD92">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三、废水</w:t>
            </w:r>
          </w:p>
          <w:p w14:paraId="4C20B9FB">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3.1废水污染物产排情况</w:t>
            </w:r>
          </w:p>
          <w:p w14:paraId="1E8BBA43">
            <w:pPr>
              <w:pStyle w:val="9"/>
              <w:kinsoku/>
              <w:overflowPunct w:val="0"/>
              <w:autoSpaceDE/>
              <w:autoSpaceDN/>
              <w:adjustRightInd/>
              <w:snapToGrid/>
              <w:spacing w:line="360" w:lineRule="auto"/>
              <w:ind w:left="0" w:firstLine="480" w:firstLineChars="200"/>
              <w:jc w:val="both"/>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本项目不产生生产废水，仅有雨水及生活废水。</w:t>
            </w:r>
            <w:r>
              <w:rPr>
                <w:rFonts w:hint="eastAsia" w:cs="Times New Roman"/>
                <w:color w:val="auto"/>
                <w:sz w:val="24"/>
                <w:szCs w:val="24"/>
                <w:lang w:val="en-US" w:eastAsia="zh-CN"/>
              </w:rPr>
              <w:t>本项目利用的改性磷石膏含水率较低，且在封闭厂房内储存，因此不产生淋滤水。</w:t>
            </w:r>
          </w:p>
          <w:p w14:paraId="71755B47">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（1）初期雨水</w:t>
            </w:r>
          </w:p>
          <w:p w14:paraId="3E3BA2D0">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根据水平衡核算，项目初期雨水收集总量</w:t>
            </w:r>
            <w:r>
              <w:rPr>
                <w:rFonts w:ascii="Times New Roman" w:hAnsi="Times New Roman" w:eastAsia="宋体" w:cs="Times New Roman"/>
                <w:color w:val="auto"/>
                <w:sz w:val="24"/>
                <w:szCs w:val="24"/>
                <w:lang w:eastAsia="zh-CN"/>
              </w:rPr>
              <w:t>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。初期雨水经雨水沟收集至初期雨水收集池内</w:t>
            </w:r>
            <w:r>
              <w:rPr>
                <w:rFonts w:hint="eastAsia" w:cs="Times New Roman"/>
                <w:color w:val="auto"/>
                <w:sz w:val="24"/>
                <w:szCs w:val="24"/>
                <w:lang w:eastAsia="zh-CN"/>
              </w:rPr>
              <w:t>，</w:t>
            </w:r>
            <w:r>
              <w:rPr>
                <w:rFonts w:hint="eastAsia" w:cs="Times New Roman"/>
                <w:color w:val="auto"/>
                <w:sz w:val="24"/>
                <w:szCs w:val="24"/>
                <w:lang w:val="en-US" w:eastAsia="zh-CN"/>
              </w:rPr>
              <w:t>加入PAC</w:t>
            </w:r>
            <w:r>
              <w:rPr>
                <w:rFonts w:hint="eastAsia" w:ascii="Times New Roman" w:hAnsi="Times New Roman" w:eastAsia="宋体" w:cs="Times New Roman"/>
                <w:color w:val="auto"/>
                <w:sz w:val="24"/>
                <w:szCs w:val="24"/>
                <w:lang w:eastAsia="zh-CN"/>
              </w:rPr>
              <w:t>絮凝沉淀处理后回用于厂区降尘。</w:t>
            </w:r>
          </w:p>
          <w:p w14:paraId="10E1CE52">
            <w:pPr>
              <w:pStyle w:val="9"/>
              <w:kinsoku/>
              <w:overflowPunct w:val="0"/>
              <w:autoSpaceDE/>
              <w:autoSpaceDN/>
              <w:adjustRightInd/>
              <w:snapToGrid/>
              <w:spacing w:line="360" w:lineRule="auto"/>
              <w:ind w:left="0"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（2）生活废水</w:t>
            </w:r>
          </w:p>
          <w:p w14:paraId="41B4E194">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生活废水包括生活污水和食堂污水。</w:t>
            </w:r>
          </w:p>
          <w:p w14:paraId="533EB0AC">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lang w:eastAsia="zh-CN"/>
              </w:rPr>
            </w:pPr>
            <w:r>
              <w:rPr>
                <w:rFonts w:hint="eastAsia" w:ascii="Times New Roman" w:hAnsi="Times New Roman" w:eastAsia="宋体" w:cs="Times New Roman"/>
                <w:color w:val="auto"/>
                <w:sz w:val="24"/>
                <w:szCs w:val="24"/>
                <w:lang w:eastAsia="zh-CN"/>
              </w:rPr>
              <w:t>根据水平衡核算，本项目生活污水产生量约0.72m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/d，216m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/a，食堂污水产生量约0.24m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/d，72m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/a。合计总污水产生量约0.96m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/d，288m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/a。生活污水污染物成分相对简单，主要为COD、BOD</w:t>
            </w:r>
            <w:r>
              <w:rPr>
                <w:rFonts w:hint="eastAsia" w:ascii="Times New Roman" w:hAnsi="Times New Roman" w:eastAsia="宋体" w:cs="Times New Roman"/>
                <w:color w:val="auto"/>
                <w:sz w:val="24"/>
                <w:szCs w:val="24"/>
                <w:vertAlign w:val="subscript"/>
                <w:lang w:eastAsia="zh-CN"/>
              </w:rPr>
              <w:t>5</w:t>
            </w:r>
            <w:r>
              <w:rPr>
                <w:rFonts w:hint="eastAsia" w:ascii="Times New Roman" w:hAnsi="Times New Roman" w:eastAsia="宋体" w:cs="Times New Roman"/>
                <w:color w:val="auto"/>
                <w:sz w:val="24"/>
                <w:szCs w:val="24"/>
                <w:lang w:eastAsia="zh-CN"/>
              </w:rPr>
              <w:t>、NH</w:t>
            </w:r>
            <w:r>
              <w:rPr>
                <w:rFonts w:hint="eastAsia" w:ascii="Times New Roman" w:hAnsi="Times New Roman" w:eastAsia="宋体" w:cs="Times New Roman"/>
                <w:color w:val="auto"/>
                <w:sz w:val="24"/>
                <w:szCs w:val="24"/>
                <w:vertAlign w:val="subscript"/>
                <w:lang w:eastAsia="zh-CN"/>
              </w:rPr>
              <w:t>3</w:t>
            </w:r>
            <w:r>
              <w:rPr>
                <w:rFonts w:hint="eastAsia" w:ascii="Times New Roman" w:hAnsi="Times New Roman" w:eastAsia="宋体" w:cs="Times New Roman"/>
                <w:color w:val="auto"/>
                <w:sz w:val="24"/>
                <w:szCs w:val="24"/>
                <w:lang w:eastAsia="zh-CN"/>
              </w:rPr>
              <w:t>-N、SS、动植物油等，各污染物浓度产生的浓度根据《城镇生活源产排污系数手册》（2008年3月），COD约514.29mg/L，BOD</w:t>
            </w:r>
            <w:r>
              <w:rPr>
                <w:rFonts w:hint="eastAsia" w:ascii="Times New Roman" w:hAnsi="Times New Roman" w:eastAsia="宋体" w:cs="Times New Roman"/>
                <w:color w:val="auto"/>
                <w:sz w:val="24"/>
                <w:szCs w:val="24"/>
                <w:vertAlign w:val="subscript"/>
                <w:lang w:eastAsia="zh-CN"/>
              </w:rPr>
              <w:t>5</w:t>
            </w:r>
            <w:r>
              <w:rPr>
                <w:rFonts w:hint="eastAsia" w:ascii="Times New Roman" w:hAnsi="Times New Roman" w:eastAsia="宋体" w:cs="Times New Roman"/>
                <w:color w:val="auto"/>
                <w:sz w:val="24"/>
                <w:szCs w:val="24"/>
                <w:lang w:eastAsia="zh-CN"/>
              </w:rPr>
              <w:t>约207.14mg/L，NH</w:t>
            </w:r>
            <w:r>
              <w:rPr>
                <w:rFonts w:hint="eastAsia" w:ascii="Times New Roman" w:hAnsi="Times New Roman" w:eastAsia="宋体" w:cs="Times New Roman"/>
                <w:color w:val="auto"/>
                <w:sz w:val="24"/>
                <w:szCs w:val="24"/>
                <w:vertAlign w:val="subscript"/>
                <w:lang w:eastAsia="zh-CN"/>
              </w:rPr>
              <w:t>3</w:t>
            </w:r>
            <w:r>
              <w:rPr>
                <w:rFonts w:hint="eastAsia" w:ascii="Times New Roman" w:hAnsi="Times New Roman" w:eastAsia="宋体" w:cs="Times New Roman"/>
                <w:color w:val="auto"/>
                <w:sz w:val="24"/>
                <w:szCs w:val="24"/>
                <w:lang w:eastAsia="zh-CN"/>
              </w:rPr>
              <w:t>-N约64.29mg/L，SS类比城市生活污水产生浓度，约为156mg/L，动植物油：76mg/L。本项目废水产排情况见下表。</w:t>
            </w:r>
          </w:p>
          <w:p w14:paraId="270CA262">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4-9 项目废水产排情况一览表</w:t>
            </w:r>
          </w:p>
          <w:tbl>
            <w:tblPr>
              <w:tblStyle w:val="19"/>
              <w:tblW w:w="48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9"/>
              <w:gridCol w:w="669"/>
              <w:gridCol w:w="656"/>
              <w:gridCol w:w="1073"/>
              <w:gridCol w:w="1356"/>
              <w:gridCol w:w="1289"/>
              <w:gridCol w:w="2797"/>
            </w:tblGrid>
            <w:tr w14:paraId="0CC3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27" w:type="pct"/>
                  <w:vMerge w:val="restart"/>
                  <w:vAlign w:val="center"/>
                </w:tcPr>
                <w:p w14:paraId="2ABE52A9">
                  <w:pPr>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790" w:type="pct"/>
                  <w:gridSpan w:val="2"/>
                  <w:vAlign w:val="center"/>
                </w:tcPr>
                <w:p w14:paraId="6275D4B1">
                  <w:pPr>
                    <w:jc w:val="center"/>
                    <w:rPr>
                      <w:rFonts w:ascii="Times New Roman" w:hAnsi="Times New Roman" w:eastAsia="宋体" w:cs="Times New Roman"/>
                      <w:b/>
                      <w:bCs/>
                      <w:color w:val="auto"/>
                    </w:rPr>
                  </w:pPr>
                  <w:r>
                    <w:rPr>
                      <w:rFonts w:ascii="Times New Roman" w:hAnsi="Times New Roman" w:eastAsia="宋体" w:cs="Times New Roman"/>
                      <w:b/>
                      <w:bCs/>
                      <w:color w:val="auto"/>
                    </w:rPr>
                    <w:t>废水产生量</w:t>
                  </w:r>
                </w:p>
              </w:tc>
              <w:tc>
                <w:tcPr>
                  <w:tcW w:w="639" w:type="pct"/>
                  <w:vMerge w:val="restart"/>
                  <w:vAlign w:val="center"/>
                </w:tcPr>
                <w:p w14:paraId="5D6D6616">
                  <w:pPr>
                    <w:jc w:val="center"/>
                    <w:rPr>
                      <w:rFonts w:ascii="Times New Roman" w:hAnsi="Times New Roman" w:eastAsia="宋体" w:cs="Times New Roman"/>
                      <w:b/>
                      <w:bCs/>
                      <w:color w:val="auto"/>
                    </w:rPr>
                  </w:pPr>
                  <w:r>
                    <w:rPr>
                      <w:rFonts w:ascii="Times New Roman" w:hAnsi="Times New Roman" w:eastAsia="宋体" w:cs="Times New Roman"/>
                      <w:b/>
                      <w:bCs/>
                      <w:color w:val="auto"/>
                    </w:rPr>
                    <w:t>主要污染物</w:t>
                  </w:r>
                </w:p>
              </w:tc>
              <w:tc>
                <w:tcPr>
                  <w:tcW w:w="808" w:type="pct"/>
                  <w:vMerge w:val="restart"/>
                  <w:vAlign w:val="center"/>
                </w:tcPr>
                <w:p w14:paraId="48F24763">
                  <w:pPr>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污染物浓度（mg/L）</w:t>
                  </w:r>
                </w:p>
              </w:tc>
              <w:tc>
                <w:tcPr>
                  <w:tcW w:w="768" w:type="pct"/>
                  <w:vMerge w:val="restart"/>
                  <w:vAlign w:val="center"/>
                </w:tcPr>
                <w:p w14:paraId="11A9824D">
                  <w:pPr>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污染物产生量（t/a）</w:t>
                  </w:r>
                </w:p>
              </w:tc>
              <w:tc>
                <w:tcPr>
                  <w:tcW w:w="1666" w:type="pct"/>
                  <w:vMerge w:val="restart"/>
                  <w:vAlign w:val="center"/>
                </w:tcPr>
                <w:p w14:paraId="2EF87594">
                  <w:pPr>
                    <w:jc w:val="center"/>
                    <w:rPr>
                      <w:rFonts w:ascii="Times New Roman" w:hAnsi="Times New Roman" w:eastAsia="宋体" w:cs="Times New Roman"/>
                      <w:b/>
                      <w:bCs/>
                      <w:color w:val="auto"/>
                    </w:rPr>
                  </w:pPr>
                  <w:r>
                    <w:rPr>
                      <w:rFonts w:ascii="Times New Roman" w:hAnsi="Times New Roman" w:eastAsia="宋体" w:cs="Times New Roman"/>
                      <w:b/>
                      <w:bCs/>
                      <w:color w:val="auto"/>
                    </w:rPr>
                    <w:t>处置情况</w:t>
                  </w:r>
                </w:p>
              </w:tc>
            </w:tr>
            <w:tr w14:paraId="7716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327" w:type="pct"/>
                  <w:vMerge w:val="continue"/>
                  <w:vAlign w:val="center"/>
                </w:tcPr>
                <w:p w14:paraId="4006E5E7">
                  <w:pPr>
                    <w:jc w:val="center"/>
                    <w:rPr>
                      <w:rFonts w:ascii="Times New Roman" w:hAnsi="Times New Roman" w:eastAsia="宋体" w:cs="Times New Roman"/>
                      <w:color w:val="auto"/>
                    </w:rPr>
                  </w:pPr>
                </w:p>
              </w:tc>
              <w:tc>
                <w:tcPr>
                  <w:tcW w:w="399" w:type="pct"/>
                  <w:vAlign w:val="center"/>
                </w:tcPr>
                <w:p w14:paraId="63AE93C6">
                  <w:pPr>
                    <w:jc w:val="center"/>
                    <w:rPr>
                      <w:rFonts w:ascii="Times New Roman" w:hAnsi="Times New Roman" w:eastAsia="宋体" w:cs="Times New Roman"/>
                      <w:b/>
                      <w:bCs/>
                      <w:color w:val="auto"/>
                    </w:rPr>
                  </w:pPr>
                  <w:r>
                    <w:rPr>
                      <w:rFonts w:ascii="Times New Roman" w:hAnsi="Times New Roman" w:eastAsia="宋体" w:cs="Times New Roman"/>
                      <w:b/>
                      <w:bCs/>
                      <w:color w:val="auto"/>
                    </w:rPr>
                    <w:t>m</w:t>
                  </w:r>
                  <w:r>
                    <w:rPr>
                      <w:rFonts w:ascii="Times New Roman" w:hAnsi="Times New Roman" w:eastAsia="宋体" w:cs="Times New Roman"/>
                      <w:b/>
                      <w:bCs/>
                      <w:color w:val="auto"/>
                      <w:vertAlign w:val="superscript"/>
                    </w:rPr>
                    <w:t>3</w:t>
                  </w:r>
                  <w:r>
                    <w:rPr>
                      <w:rFonts w:ascii="Times New Roman" w:hAnsi="Times New Roman" w:eastAsia="宋体" w:cs="Times New Roman"/>
                      <w:b/>
                      <w:bCs/>
                      <w:color w:val="auto"/>
                    </w:rPr>
                    <w:t>/d</w:t>
                  </w:r>
                </w:p>
              </w:tc>
              <w:tc>
                <w:tcPr>
                  <w:tcW w:w="390" w:type="pct"/>
                  <w:vAlign w:val="center"/>
                </w:tcPr>
                <w:p w14:paraId="3B68105C">
                  <w:pPr>
                    <w:jc w:val="center"/>
                    <w:rPr>
                      <w:rFonts w:ascii="Times New Roman" w:hAnsi="Times New Roman" w:eastAsia="宋体" w:cs="Times New Roman"/>
                      <w:b/>
                      <w:bCs/>
                      <w:color w:val="auto"/>
                    </w:rPr>
                  </w:pPr>
                  <w:r>
                    <w:rPr>
                      <w:rFonts w:ascii="Times New Roman" w:hAnsi="Times New Roman" w:eastAsia="宋体" w:cs="Times New Roman"/>
                      <w:b/>
                      <w:bCs/>
                      <w:color w:val="auto"/>
                    </w:rPr>
                    <w:t>m</w:t>
                  </w:r>
                  <w:r>
                    <w:rPr>
                      <w:rFonts w:ascii="Times New Roman" w:hAnsi="Times New Roman" w:eastAsia="宋体" w:cs="Times New Roman"/>
                      <w:b/>
                      <w:bCs/>
                      <w:color w:val="auto"/>
                      <w:vertAlign w:val="superscript"/>
                    </w:rPr>
                    <w:t>3</w:t>
                  </w:r>
                  <w:r>
                    <w:rPr>
                      <w:rFonts w:ascii="Times New Roman" w:hAnsi="Times New Roman" w:eastAsia="宋体" w:cs="Times New Roman"/>
                      <w:b/>
                      <w:bCs/>
                      <w:color w:val="auto"/>
                    </w:rPr>
                    <w:t>/a</w:t>
                  </w:r>
                </w:p>
              </w:tc>
              <w:tc>
                <w:tcPr>
                  <w:tcW w:w="639" w:type="pct"/>
                  <w:vMerge w:val="continue"/>
                  <w:vAlign w:val="center"/>
                </w:tcPr>
                <w:p w14:paraId="224875D0">
                  <w:pPr>
                    <w:jc w:val="center"/>
                    <w:rPr>
                      <w:rFonts w:ascii="Times New Roman" w:hAnsi="Times New Roman" w:eastAsia="宋体" w:cs="Times New Roman"/>
                      <w:color w:val="auto"/>
                    </w:rPr>
                  </w:pPr>
                </w:p>
              </w:tc>
              <w:tc>
                <w:tcPr>
                  <w:tcW w:w="808" w:type="pct"/>
                  <w:vMerge w:val="continue"/>
                  <w:vAlign w:val="center"/>
                </w:tcPr>
                <w:p w14:paraId="50DC5E9D">
                  <w:pPr>
                    <w:jc w:val="center"/>
                    <w:rPr>
                      <w:rFonts w:ascii="Times New Roman" w:hAnsi="Times New Roman" w:eastAsia="宋体" w:cs="Times New Roman"/>
                      <w:color w:val="auto"/>
                    </w:rPr>
                  </w:pPr>
                </w:p>
              </w:tc>
              <w:tc>
                <w:tcPr>
                  <w:tcW w:w="768" w:type="pct"/>
                  <w:vMerge w:val="continue"/>
                  <w:vAlign w:val="center"/>
                </w:tcPr>
                <w:p w14:paraId="312693C3">
                  <w:pPr>
                    <w:jc w:val="center"/>
                    <w:rPr>
                      <w:rFonts w:ascii="Times New Roman" w:hAnsi="Times New Roman" w:eastAsia="宋体" w:cs="Times New Roman"/>
                      <w:color w:val="auto"/>
                    </w:rPr>
                  </w:pPr>
                </w:p>
              </w:tc>
              <w:tc>
                <w:tcPr>
                  <w:tcW w:w="1666" w:type="pct"/>
                  <w:vMerge w:val="continue"/>
                  <w:vAlign w:val="center"/>
                </w:tcPr>
                <w:p w14:paraId="2FFF7ACE">
                  <w:pPr>
                    <w:jc w:val="center"/>
                    <w:rPr>
                      <w:rFonts w:ascii="Times New Roman" w:hAnsi="Times New Roman" w:eastAsia="宋体" w:cs="Times New Roman"/>
                      <w:color w:val="auto"/>
                    </w:rPr>
                  </w:pPr>
                </w:p>
              </w:tc>
            </w:tr>
            <w:tr w14:paraId="1B92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27" w:type="pct"/>
                  <w:vMerge w:val="restart"/>
                  <w:vAlign w:val="center"/>
                </w:tcPr>
                <w:p w14:paraId="4732C0DA">
                  <w:pPr>
                    <w:jc w:val="center"/>
                    <w:rPr>
                      <w:rFonts w:ascii="Times New Roman" w:hAnsi="Times New Roman" w:eastAsia="宋体" w:cs="Times New Roman"/>
                      <w:color w:val="auto"/>
                    </w:rPr>
                  </w:pPr>
                  <w:r>
                    <w:rPr>
                      <w:rFonts w:ascii="Times New Roman" w:hAnsi="Times New Roman" w:eastAsia="宋体" w:cs="Times New Roman"/>
                      <w:color w:val="auto"/>
                    </w:rPr>
                    <w:t>生活用水</w:t>
                  </w:r>
                </w:p>
              </w:tc>
              <w:tc>
                <w:tcPr>
                  <w:tcW w:w="399" w:type="pct"/>
                  <w:vMerge w:val="restart"/>
                  <w:vAlign w:val="center"/>
                </w:tcPr>
                <w:p w14:paraId="011D3F0B">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0.72</w:t>
                  </w:r>
                </w:p>
              </w:tc>
              <w:tc>
                <w:tcPr>
                  <w:tcW w:w="390" w:type="pct"/>
                  <w:vMerge w:val="restart"/>
                  <w:vAlign w:val="center"/>
                </w:tcPr>
                <w:p w14:paraId="5A084649">
                  <w:pPr>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2</w:t>
                  </w:r>
                  <w:r>
                    <w:rPr>
                      <w:rFonts w:ascii="Times New Roman" w:hAnsi="Times New Roman" w:eastAsia="宋体" w:cs="Times New Roman"/>
                      <w:color w:val="auto"/>
                    </w:rPr>
                    <w:t>16</w:t>
                  </w:r>
                </w:p>
              </w:tc>
              <w:tc>
                <w:tcPr>
                  <w:tcW w:w="639" w:type="pct"/>
                  <w:vAlign w:val="center"/>
                </w:tcPr>
                <w:p w14:paraId="0A7D4EB1">
                  <w:pPr>
                    <w:jc w:val="center"/>
                    <w:rPr>
                      <w:rFonts w:ascii="Times New Roman" w:hAnsi="Times New Roman" w:eastAsia="宋体" w:cs="Times New Roman"/>
                      <w:color w:val="auto"/>
                    </w:rPr>
                  </w:pPr>
                  <w:r>
                    <w:rPr>
                      <w:rFonts w:ascii="Times New Roman" w:hAnsi="Times New Roman" w:eastAsia="宋体" w:cs="Times New Roman"/>
                      <w:color w:val="auto"/>
                    </w:rPr>
                    <w:t>COD</w:t>
                  </w:r>
                </w:p>
              </w:tc>
              <w:tc>
                <w:tcPr>
                  <w:tcW w:w="808" w:type="pct"/>
                  <w:vAlign w:val="center"/>
                </w:tcPr>
                <w:p w14:paraId="04409806">
                  <w:pPr>
                    <w:jc w:val="center"/>
                    <w:rPr>
                      <w:rFonts w:ascii="Times New Roman" w:hAnsi="Times New Roman" w:eastAsia="宋体" w:cs="Times New Roman"/>
                      <w:color w:val="auto"/>
                    </w:rPr>
                  </w:pPr>
                  <w:r>
                    <w:rPr>
                      <w:rFonts w:ascii="Times New Roman" w:hAnsi="Times New Roman" w:eastAsia="宋体" w:cs="Times New Roman"/>
                      <w:color w:val="auto"/>
                    </w:rPr>
                    <w:t>514.29</w:t>
                  </w:r>
                </w:p>
              </w:tc>
              <w:tc>
                <w:tcPr>
                  <w:tcW w:w="768" w:type="pct"/>
                  <w:vAlign w:val="center"/>
                </w:tcPr>
                <w:p w14:paraId="3D14C8BD">
                  <w:pPr>
                    <w:jc w:val="center"/>
                    <w:rPr>
                      <w:rFonts w:ascii="Times New Roman" w:hAnsi="Times New Roman" w:eastAsia="宋体" w:cs="Times New Roman"/>
                      <w:bCs/>
                      <w:color w:val="auto"/>
                    </w:rPr>
                  </w:pPr>
                  <w:r>
                    <w:rPr>
                      <w:rFonts w:hint="eastAsia" w:ascii="Times New Roman" w:hAnsi="Times New Roman" w:eastAsia="宋体" w:cs="Times New Roman"/>
                      <w:bCs/>
                      <w:color w:val="auto"/>
                    </w:rPr>
                    <w:t>0.148</w:t>
                  </w:r>
                </w:p>
              </w:tc>
              <w:tc>
                <w:tcPr>
                  <w:tcW w:w="1666" w:type="pct"/>
                  <w:vMerge w:val="restart"/>
                  <w:vAlign w:val="center"/>
                </w:tcPr>
                <w:p w14:paraId="6165DB17">
                  <w:pPr>
                    <w:jc w:val="center"/>
                    <w:rPr>
                      <w:rFonts w:ascii="Times New Roman" w:hAnsi="Times New Roman" w:eastAsia="宋体" w:cs="Times New Roman"/>
                      <w:bCs/>
                      <w:color w:val="auto"/>
                      <w:lang w:eastAsia="zh-CN"/>
                    </w:rPr>
                  </w:pPr>
                  <w:r>
                    <w:rPr>
                      <w:rFonts w:hint="eastAsia" w:ascii="Times New Roman" w:hAnsi="Times New Roman" w:eastAsia="宋体" w:cs="Times New Roman"/>
                      <w:bCs/>
                      <w:color w:val="auto"/>
                      <w:lang w:eastAsia="zh-CN"/>
                    </w:rPr>
                    <w:t>经隔油池+化粪池+一体化污水处理设施</w:t>
                  </w:r>
                  <w:r>
                    <w:rPr>
                      <w:rFonts w:ascii="Times New Roman" w:hAnsi="Times New Roman" w:eastAsia="宋体" w:cs="Times New Roman"/>
                      <w:bCs/>
                      <w:color w:val="auto"/>
                      <w:lang w:eastAsia="zh-CN"/>
                    </w:rPr>
                    <w:t>处理</w:t>
                  </w:r>
                  <w:r>
                    <w:rPr>
                      <w:rFonts w:hint="eastAsia" w:ascii="Times New Roman" w:hAnsi="Times New Roman" w:eastAsia="宋体" w:cs="Times New Roman"/>
                      <w:bCs/>
                      <w:color w:val="auto"/>
                      <w:lang w:eastAsia="zh-CN"/>
                    </w:rPr>
                    <w:t>达到</w:t>
                  </w:r>
                  <w:r>
                    <w:rPr>
                      <w:rFonts w:ascii="Times New Roman" w:hAnsi="Times New Roman" w:eastAsia="宋体" w:cs="Times New Roman"/>
                      <w:bCs/>
                      <w:color w:val="auto"/>
                      <w:lang w:eastAsia="zh-CN"/>
                    </w:rPr>
                    <w:t>《城市污水再生利用 城市杂用水水质》（GB/T 18920-2020）表1中绿化标准限值后回用于厂区内绿化，不外排</w:t>
                  </w:r>
                </w:p>
              </w:tc>
            </w:tr>
            <w:tr w14:paraId="08116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327" w:type="pct"/>
                  <w:vMerge w:val="continue"/>
                  <w:vAlign w:val="center"/>
                </w:tcPr>
                <w:p w14:paraId="705F4BC0">
                  <w:pPr>
                    <w:jc w:val="center"/>
                    <w:rPr>
                      <w:rFonts w:ascii="Times New Roman" w:hAnsi="Times New Roman" w:eastAsia="宋体" w:cs="Times New Roman"/>
                      <w:color w:val="auto"/>
                      <w:lang w:eastAsia="zh-CN"/>
                    </w:rPr>
                  </w:pPr>
                </w:p>
              </w:tc>
              <w:tc>
                <w:tcPr>
                  <w:tcW w:w="399" w:type="pct"/>
                  <w:vMerge w:val="continue"/>
                  <w:vAlign w:val="center"/>
                </w:tcPr>
                <w:p w14:paraId="12E9F3F2">
                  <w:pPr>
                    <w:jc w:val="center"/>
                    <w:rPr>
                      <w:rFonts w:ascii="Times New Roman" w:hAnsi="Times New Roman" w:eastAsia="宋体" w:cs="Times New Roman"/>
                      <w:color w:val="auto"/>
                      <w:lang w:eastAsia="zh-CN"/>
                    </w:rPr>
                  </w:pPr>
                </w:p>
              </w:tc>
              <w:tc>
                <w:tcPr>
                  <w:tcW w:w="390" w:type="pct"/>
                  <w:vMerge w:val="continue"/>
                  <w:vAlign w:val="center"/>
                </w:tcPr>
                <w:p w14:paraId="344053AC">
                  <w:pPr>
                    <w:jc w:val="center"/>
                    <w:rPr>
                      <w:rFonts w:ascii="Times New Roman" w:hAnsi="Times New Roman" w:eastAsia="宋体" w:cs="Times New Roman"/>
                      <w:color w:val="auto"/>
                      <w:lang w:eastAsia="zh-CN"/>
                    </w:rPr>
                  </w:pPr>
                </w:p>
              </w:tc>
              <w:tc>
                <w:tcPr>
                  <w:tcW w:w="639" w:type="pct"/>
                  <w:vAlign w:val="center"/>
                </w:tcPr>
                <w:p w14:paraId="22D6AF46">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BOD</w:t>
                  </w:r>
                  <w:r>
                    <w:rPr>
                      <w:rFonts w:ascii="Times New Roman" w:hAnsi="Times New Roman" w:eastAsia="宋体" w:cs="Times New Roman"/>
                      <w:color w:val="auto"/>
                      <w:vertAlign w:val="subscript"/>
                      <w:lang w:eastAsia="zh-CN"/>
                    </w:rPr>
                    <w:t>5</w:t>
                  </w:r>
                </w:p>
              </w:tc>
              <w:tc>
                <w:tcPr>
                  <w:tcW w:w="808" w:type="pct"/>
                  <w:vAlign w:val="center"/>
                </w:tcPr>
                <w:p w14:paraId="210ED657">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207.14</w:t>
                  </w:r>
                </w:p>
              </w:tc>
              <w:tc>
                <w:tcPr>
                  <w:tcW w:w="768" w:type="pct"/>
                  <w:vAlign w:val="center"/>
                </w:tcPr>
                <w:p w14:paraId="51418D23">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0.060</w:t>
                  </w:r>
                </w:p>
              </w:tc>
              <w:tc>
                <w:tcPr>
                  <w:tcW w:w="1666" w:type="pct"/>
                  <w:vMerge w:val="continue"/>
                  <w:vAlign w:val="center"/>
                </w:tcPr>
                <w:p w14:paraId="5AD06722">
                  <w:pPr>
                    <w:jc w:val="center"/>
                    <w:rPr>
                      <w:rFonts w:ascii="Times New Roman" w:hAnsi="Times New Roman" w:eastAsia="宋体" w:cs="Times New Roman"/>
                      <w:color w:val="auto"/>
                      <w:lang w:eastAsia="zh-CN"/>
                    </w:rPr>
                  </w:pPr>
                </w:p>
              </w:tc>
            </w:tr>
            <w:tr w14:paraId="5DC3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27" w:type="pct"/>
                  <w:vMerge w:val="continue"/>
                  <w:vAlign w:val="center"/>
                </w:tcPr>
                <w:p w14:paraId="1DC38BE1">
                  <w:pPr>
                    <w:jc w:val="center"/>
                    <w:rPr>
                      <w:rFonts w:ascii="Times New Roman" w:hAnsi="Times New Roman" w:eastAsia="宋体" w:cs="Times New Roman"/>
                      <w:color w:val="auto"/>
                      <w:lang w:eastAsia="zh-CN"/>
                    </w:rPr>
                  </w:pPr>
                </w:p>
              </w:tc>
              <w:tc>
                <w:tcPr>
                  <w:tcW w:w="399" w:type="pct"/>
                  <w:vMerge w:val="continue"/>
                  <w:vAlign w:val="center"/>
                </w:tcPr>
                <w:p w14:paraId="71D9FDC5">
                  <w:pPr>
                    <w:jc w:val="center"/>
                    <w:rPr>
                      <w:rFonts w:ascii="Times New Roman" w:hAnsi="Times New Roman" w:eastAsia="宋体" w:cs="Times New Roman"/>
                      <w:color w:val="auto"/>
                      <w:lang w:eastAsia="zh-CN"/>
                    </w:rPr>
                  </w:pPr>
                </w:p>
              </w:tc>
              <w:tc>
                <w:tcPr>
                  <w:tcW w:w="390" w:type="pct"/>
                  <w:vMerge w:val="continue"/>
                  <w:vAlign w:val="center"/>
                </w:tcPr>
                <w:p w14:paraId="52E94FE6">
                  <w:pPr>
                    <w:jc w:val="center"/>
                    <w:rPr>
                      <w:rFonts w:ascii="Times New Roman" w:hAnsi="Times New Roman" w:eastAsia="宋体" w:cs="Times New Roman"/>
                      <w:color w:val="auto"/>
                      <w:lang w:eastAsia="zh-CN"/>
                    </w:rPr>
                  </w:pPr>
                </w:p>
              </w:tc>
              <w:tc>
                <w:tcPr>
                  <w:tcW w:w="639" w:type="pct"/>
                  <w:vAlign w:val="center"/>
                </w:tcPr>
                <w:p w14:paraId="5BAB0298">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NH</w:t>
                  </w:r>
                  <w:r>
                    <w:rPr>
                      <w:rFonts w:hint="eastAsia" w:ascii="Times New Roman" w:hAnsi="Times New Roman" w:eastAsia="宋体" w:cs="Times New Roman"/>
                      <w:color w:val="auto"/>
                      <w:vertAlign w:val="subscript"/>
                      <w:lang w:eastAsia="zh-CN"/>
                    </w:rPr>
                    <w:t>3</w:t>
                  </w:r>
                  <w:r>
                    <w:rPr>
                      <w:rFonts w:hint="eastAsia" w:ascii="Times New Roman" w:hAnsi="Times New Roman" w:eastAsia="宋体" w:cs="Times New Roman"/>
                      <w:color w:val="auto"/>
                      <w:lang w:eastAsia="zh-CN"/>
                    </w:rPr>
                    <w:t>-N</w:t>
                  </w:r>
                </w:p>
              </w:tc>
              <w:tc>
                <w:tcPr>
                  <w:tcW w:w="808" w:type="pct"/>
                  <w:vAlign w:val="center"/>
                </w:tcPr>
                <w:p w14:paraId="4A8F6B77">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64.29</w:t>
                  </w:r>
                </w:p>
              </w:tc>
              <w:tc>
                <w:tcPr>
                  <w:tcW w:w="768" w:type="pct"/>
                  <w:vAlign w:val="center"/>
                </w:tcPr>
                <w:p w14:paraId="7B1AA3CC">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0.019</w:t>
                  </w:r>
                </w:p>
              </w:tc>
              <w:tc>
                <w:tcPr>
                  <w:tcW w:w="1666" w:type="pct"/>
                  <w:vMerge w:val="continue"/>
                  <w:vAlign w:val="center"/>
                </w:tcPr>
                <w:p w14:paraId="480AB4B5">
                  <w:pPr>
                    <w:jc w:val="center"/>
                    <w:rPr>
                      <w:rFonts w:ascii="Times New Roman" w:hAnsi="Times New Roman" w:eastAsia="宋体" w:cs="Times New Roman"/>
                      <w:color w:val="auto"/>
                      <w:lang w:eastAsia="zh-CN"/>
                    </w:rPr>
                  </w:pPr>
                </w:p>
              </w:tc>
            </w:tr>
            <w:tr w14:paraId="3389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327" w:type="pct"/>
                  <w:vMerge w:val="continue"/>
                  <w:vAlign w:val="center"/>
                </w:tcPr>
                <w:p w14:paraId="29F8ECC1">
                  <w:pPr>
                    <w:jc w:val="center"/>
                    <w:rPr>
                      <w:rFonts w:ascii="Times New Roman" w:hAnsi="Times New Roman" w:eastAsia="宋体" w:cs="Times New Roman"/>
                      <w:color w:val="auto"/>
                      <w:lang w:eastAsia="zh-CN"/>
                    </w:rPr>
                  </w:pPr>
                </w:p>
              </w:tc>
              <w:tc>
                <w:tcPr>
                  <w:tcW w:w="399" w:type="pct"/>
                  <w:vMerge w:val="continue"/>
                  <w:vAlign w:val="center"/>
                </w:tcPr>
                <w:p w14:paraId="4D9F8267">
                  <w:pPr>
                    <w:jc w:val="center"/>
                    <w:rPr>
                      <w:rFonts w:ascii="Times New Roman" w:hAnsi="Times New Roman" w:eastAsia="宋体" w:cs="Times New Roman"/>
                      <w:color w:val="auto"/>
                      <w:lang w:eastAsia="zh-CN"/>
                    </w:rPr>
                  </w:pPr>
                </w:p>
              </w:tc>
              <w:tc>
                <w:tcPr>
                  <w:tcW w:w="390" w:type="pct"/>
                  <w:vMerge w:val="continue"/>
                  <w:vAlign w:val="center"/>
                </w:tcPr>
                <w:p w14:paraId="7B5A7E89">
                  <w:pPr>
                    <w:jc w:val="center"/>
                    <w:rPr>
                      <w:rFonts w:ascii="Times New Roman" w:hAnsi="Times New Roman" w:eastAsia="宋体" w:cs="Times New Roman"/>
                      <w:color w:val="auto"/>
                      <w:lang w:eastAsia="zh-CN"/>
                    </w:rPr>
                  </w:pPr>
                </w:p>
              </w:tc>
              <w:tc>
                <w:tcPr>
                  <w:tcW w:w="639" w:type="pct"/>
                  <w:vAlign w:val="center"/>
                </w:tcPr>
                <w:p w14:paraId="59B534CB">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SS</w:t>
                  </w:r>
                </w:p>
              </w:tc>
              <w:tc>
                <w:tcPr>
                  <w:tcW w:w="808" w:type="pct"/>
                  <w:vAlign w:val="center"/>
                </w:tcPr>
                <w:p w14:paraId="17B746A9">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w:t>
                  </w:r>
                </w:p>
              </w:tc>
              <w:tc>
                <w:tcPr>
                  <w:tcW w:w="768" w:type="pct"/>
                  <w:vAlign w:val="center"/>
                </w:tcPr>
                <w:p w14:paraId="6D1E7EFC">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0.045</w:t>
                  </w:r>
                </w:p>
              </w:tc>
              <w:tc>
                <w:tcPr>
                  <w:tcW w:w="1666" w:type="pct"/>
                  <w:vMerge w:val="continue"/>
                  <w:vAlign w:val="center"/>
                </w:tcPr>
                <w:p w14:paraId="45FA6F39">
                  <w:pPr>
                    <w:jc w:val="center"/>
                    <w:rPr>
                      <w:rFonts w:ascii="Times New Roman" w:hAnsi="Times New Roman" w:eastAsia="宋体" w:cs="Times New Roman"/>
                      <w:color w:val="auto"/>
                      <w:lang w:eastAsia="zh-CN"/>
                    </w:rPr>
                  </w:pPr>
                </w:p>
              </w:tc>
            </w:tr>
            <w:tr w14:paraId="4DB9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27" w:type="pct"/>
                  <w:vMerge w:val="continue"/>
                  <w:vAlign w:val="center"/>
                </w:tcPr>
                <w:p w14:paraId="4821E733">
                  <w:pPr>
                    <w:jc w:val="center"/>
                    <w:rPr>
                      <w:rFonts w:ascii="Times New Roman" w:hAnsi="Times New Roman" w:eastAsia="宋体" w:cs="Times New Roman"/>
                      <w:color w:val="auto"/>
                      <w:lang w:eastAsia="zh-CN"/>
                    </w:rPr>
                  </w:pPr>
                </w:p>
              </w:tc>
              <w:tc>
                <w:tcPr>
                  <w:tcW w:w="399" w:type="pct"/>
                  <w:vMerge w:val="continue"/>
                  <w:vAlign w:val="center"/>
                </w:tcPr>
                <w:p w14:paraId="57AF6E76">
                  <w:pPr>
                    <w:jc w:val="center"/>
                    <w:rPr>
                      <w:rFonts w:ascii="Times New Roman" w:hAnsi="Times New Roman" w:eastAsia="宋体" w:cs="Times New Roman"/>
                      <w:color w:val="auto"/>
                      <w:lang w:eastAsia="zh-CN"/>
                    </w:rPr>
                  </w:pPr>
                </w:p>
              </w:tc>
              <w:tc>
                <w:tcPr>
                  <w:tcW w:w="390" w:type="pct"/>
                  <w:vMerge w:val="continue"/>
                  <w:vAlign w:val="center"/>
                </w:tcPr>
                <w:p w14:paraId="002D8408">
                  <w:pPr>
                    <w:jc w:val="center"/>
                    <w:rPr>
                      <w:rFonts w:ascii="Times New Roman" w:hAnsi="Times New Roman" w:eastAsia="宋体" w:cs="Times New Roman"/>
                      <w:color w:val="auto"/>
                      <w:lang w:eastAsia="zh-CN"/>
                    </w:rPr>
                  </w:pPr>
                </w:p>
              </w:tc>
              <w:tc>
                <w:tcPr>
                  <w:tcW w:w="639" w:type="pct"/>
                  <w:vAlign w:val="center"/>
                </w:tcPr>
                <w:p w14:paraId="6D2ECE3E">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动植物油</w:t>
                  </w:r>
                </w:p>
              </w:tc>
              <w:tc>
                <w:tcPr>
                  <w:tcW w:w="808" w:type="pct"/>
                  <w:vAlign w:val="center"/>
                </w:tcPr>
                <w:p w14:paraId="37AB083A">
                  <w:pPr>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76</w:t>
                  </w:r>
                </w:p>
              </w:tc>
              <w:tc>
                <w:tcPr>
                  <w:tcW w:w="768" w:type="pct"/>
                  <w:vAlign w:val="center"/>
                </w:tcPr>
                <w:p w14:paraId="376769EB">
                  <w:pPr>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0.022</w:t>
                  </w:r>
                </w:p>
              </w:tc>
              <w:tc>
                <w:tcPr>
                  <w:tcW w:w="1666" w:type="pct"/>
                  <w:vMerge w:val="continue"/>
                  <w:vAlign w:val="center"/>
                </w:tcPr>
                <w:p w14:paraId="155735D7">
                  <w:pPr>
                    <w:jc w:val="center"/>
                    <w:rPr>
                      <w:rFonts w:ascii="Times New Roman" w:hAnsi="Times New Roman" w:eastAsia="宋体" w:cs="Times New Roman"/>
                      <w:color w:val="auto"/>
                      <w:lang w:eastAsia="zh-CN"/>
                    </w:rPr>
                  </w:pPr>
                </w:p>
              </w:tc>
            </w:tr>
          </w:tbl>
          <w:p w14:paraId="533DE9D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3.3污水处理</w:t>
            </w:r>
            <w:r>
              <w:rPr>
                <w:rFonts w:hint="eastAsia" w:ascii="Times New Roman" w:hAnsi="Times New Roman" w:eastAsia="宋体" w:cs="Times New Roman"/>
                <w:b/>
                <w:bCs/>
                <w:color w:val="auto"/>
                <w:sz w:val="24"/>
                <w:szCs w:val="24"/>
                <w:lang w:eastAsia="zh-CN"/>
              </w:rPr>
              <w:t>设施</w:t>
            </w:r>
            <w:r>
              <w:rPr>
                <w:rFonts w:ascii="Times New Roman" w:hAnsi="Times New Roman" w:eastAsia="宋体" w:cs="Times New Roman"/>
                <w:b/>
                <w:bCs/>
                <w:color w:val="auto"/>
                <w:sz w:val="24"/>
                <w:szCs w:val="24"/>
                <w:lang w:eastAsia="zh-CN"/>
              </w:rPr>
              <w:t>可行性分析</w:t>
            </w:r>
          </w:p>
          <w:p w14:paraId="093FE9A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初期雨水收集池</w:t>
            </w:r>
          </w:p>
          <w:p w14:paraId="73F315F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根据前文核算，暴雨时最大初期</w:t>
            </w:r>
            <w:r>
              <w:rPr>
                <w:rFonts w:ascii="Times New Roman" w:hAnsi="Times New Roman" w:eastAsia="宋体" w:cs="Times New Roman"/>
                <w:color w:val="auto"/>
                <w:sz w:val="24"/>
                <w:szCs w:val="24"/>
                <w:lang w:eastAsia="zh-CN"/>
              </w:rPr>
              <w:t>雨水</w:t>
            </w:r>
            <w:r>
              <w:rPr>
                <w:rFonts w:hint="eastAsia" w:ascii="Times New Roman" w:hAnsi="Times New Roman" w:eastAsia="宋体" w:cs="Times New Roman"/>
                <w:color w:val="auto"/>
                <w:sz w:val="24"/>
                <w:szCs w:val="24"/>
                <w:lang w:eastAsia="zh-CN"/>
              </w:rPr>
              <w:t>产生</w:t>
            </w:r>
            <w:r>
              <w:rPr>
                <w:rFonts w:ascii="Times New Roman" w:hAnsi="Times New Roman" w:eastAsia="宋体" w:cs="Times New Roman"/>
                <w:color w:val="auto"/>
                <w:sz w:val="24"/>
                <w:szCs w:val="24"/>
                <w:lang w:eastAsia="zh-CN"/>
              </w:rPr>
              <w:t>量为</w:t>
            </w:r>
            <w:r>
              <w:rPr>
                <w:rFonts w:hint="eastAsia" w:ascii="Times New Roman" w:hAnsi="Times New Roman" w:eastAsia="宋体" w:cs="Times New Roman"/>
                <w:color w:val="auto"/>
                <w:sz w:val="24"/>
                <w:szCs w:val="24"/>
                <w:lang w:eastAsia="zh-CN"/>
              </w:rPr>
              <w:t>138.02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hint="eastAsia" w:ascii="Times New Roman" w:hAnsi="Times New Roman" w:eastAsia="宋体" w:cs="Times New Roman"/>
                <w:color w:val="auto"/>
                <w:sz w:val="24"/>
                <w:szCs w:val="24"/>
                <w:lang w:eastAsia="zh-CN"/>
              </w:rPr>
              <w:t>/次，考虑1.2的安全系数，</w:t>
            </w:r>
            <w:r>
              <w:rPr>
                <w:rFonts w:ascii="Times New Roman" w:hAnsi="Times New Roman" w:eastAsia="宋体" w:cs="Times New Roman"/>
                <w:color w:val="auto"/>
                <w:sz w:val="24"/>
                <w:szCs w:val="24"/>
                <w:lang w:eastAsia="zh-CN"/>
              </w:rPr>
              <w:t>建设</w:t>
            </w:r>
            <w:r>
              <w:rPr>
                <w:rFonts w:hint="eastAsia" w:ascii="Times New Roman" w:hAnsi="Times New Roman" w:eastAsia="宋体" w:cs="Times New Roman"/>
                <w:color w:val="auto"/>
                <w:sz w:val="24"/>
                <w:szCs w:val="24"/>
                <w:lang w:eastAsia="zh-CN"/>
              </w:rPr>
              <w:t>单位</w:t>
            </w:r>
            <w:r>
              <w:rPr>
                <w:rFonts w:ascii="Times New Roman" w:hAnsi="Times New Roman" w:eastAsia="宋体" w:cs="Times New Roman"/>
                <w:color w:val="auto"/>
                <w:sz w:val="24"/>
                <w:szCs w:val="24"/>
                <w:lang w:eastAsia="zh-CN"/>
              </w:rPr>
              <w:t>拟建设容积</w:t>
            </w:r>
            <w:r>
              <w:rPr>
                <w:rFonts w:hint="eastAsia" w:ascii="Times New Roman" w:hAnsi="Times New Roman" w:eastAsia="宋体" w:cs="Times New Roman"/>
                <w:color w:val="auto"/>
                <w:sz w:val="24"/>
                <w:szCs w:val="24"/>
                <w:lang w:eastAsia="zh-CN"/>
              </w:rPr>
              <w:t>200</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初期雨水收集池设置</w:t>
            </w:r>
            <w:r>
              <w:rPr>
                <w:rFonts w:hint="eastAsia"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4F9D7E7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②隔油池</w:t>
            </w:r>
          </w:p>
          <w:p w14:paraId="680972D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项目在食堂排水口处设置1座隔油池预处理废水。根据工程分析，项目</w:t>
            </w:r>
            <w:r>
              <w:rPr>
                <w:rFonts w:hint="eastAsia" w:ascii="Times New Roman" w:hAnsi="Times New Roman" w:eastAsia="宋体" w:cs="Times New Roman"/>
                <w:color w:val="auto"/>
                <w:sz w:val="24"/>
                <w:szCs w:val="24"/>
                <w:lang w:eastAsia="zh-CN"/>
              </w:rPr>
              <w:t>食堂污水</w:t>
            </w:r>
            <w:r>
              <w:rPr>
                <w:rFonts w:ascii="Times New Roman" w:hAnsi="Times New Roman" w:eastAsia="宋体" w:cs="Times New Roman"/>
                <w:color w:val="auto"/>
                <w:sz w:val="24"/>
                <w:szCs w:val="24"/>
                <w:lang w:eastAsia="zh-CN"/>
              </w:rPr>
              <w:t>产生量为0.24m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/d，根据《饮食业环境保护技术规范》</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HJ554--2010</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，隔油池设计应符合下列规定：</w:t>
            </w:r>
          </w:p>
          <w:p w14:paraId="4D86C91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a.含油污水的水力停留时间不宜小于0.5h；</w:t>
            </w:r>
          </w:p>
          <w:p w14:paraId="46DD594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b.池内水流流速不宜大于0.005m/s；</w:t>
            </w:r>
          </w:p>
          <w:p w14:paraId="34B72ED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c.池内分格宜取两档三格；</w:t>
            </w:r>
          </w:p>
          <w:p w14:paraId="728DE352">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d.人工除油的隔油池内存油部分的容积不得小于该池有效容积的25％，隔油池出水管管底至池底的深度，不得小于0.6m。</w:t>
            </w:r>
          </w:p>
          <w:p w14:paraId="4856B77A">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2"/>
                <w:sz w:val="24"/>
                <w:szCs w:val="24"/>
                <w:lang w:eastAsia="zh-CN"/>
              </w:rPr>
              <w:t>隔油池有效容积计算：V=Q×60×t</w:t>
            </w:r>
          </w:p>
          <w:p w14:paraId="41C9925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2"/>
                <w:sz w:val="24"/>
                <w:szCs w:val="24"/>
                <w:lang w:eastAsia="zh-CN"/>
              </w:rPr>
              <w:t>Q=污水设计最大秒流量</w:t>
            </w:r>
            <w:r>
              <w:rPr>
                <w:rFonts w:hint="eastAsia" w:ascii="Times New Roman" w:hAnsi="Times New Roman" w:eastAsia="宋体" w:cs="Times New Roman"/>
                <w:color w:val="auto"/>
                <w:position w:val="2"/>
                <w:sz w:val="24"/>
                <w:szCs w:val="24"/>
                <w:lang w:eastAsia="zh-CN"/>
              </w:rPr>
              <w:t>（</w:t>
            </w:r>
            <w:r>
              <w:rPr>
                <w:rFonts w:ascii="Times New Roman" w:hAnsi="Times New Roman" w:eastAsia="宋体" w:cs="Times New Roman"/>
                <w:color w:val="auto"/>
                <w:position w:val="2"/>
                <w:sz w:val="24"/>
                <w:szCs w:val="24"/>
                <w:lang w:eastAsia="zh-CN"/>
              </w:rPr>
              <w:t>m³/s</w:t>
            </w:r>
            <w:r>
              <w:rPr>
                <w:rFonts w:hint="eastAsia" w:ascii="Times New Roman" w:hAnsi="Times New Roman" w:eastAsia="宋体" w:cs="Times New Roman"/>
                <w:color w:val="auto"/>
                <w:position w:val="2"/>
                <w:sz w:val="24"/>
                <w:szCs w:val="24"/>
                <w:lang w:eastAsia="zh-CN"/>
              </w:rPr>
              <w:t>）</w:t>
            </w:r>
            <w:r>
              <w:rPr>
                <w:rFonts w:ascii="Times New Roman" w:hAnsi="Times New Roman" w:eastAsia="宋体" w:cs="Times New Roman"/>
                <w:color w:val="auto"/>
                <w:position w:val="2"/>
                <w:sz w:val="24"/>
                <w:szCs w:val="24"/>
                <w:lang w:eastAsia="zh-CN"/>
              </w:rPr>
              <w:t>；</w:t>
            </w:r>
          </w:p>
          <w:p w14:paraId="6D011230">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1"/>
                <w:sz w:val="24"/>
                <w:szCs w:val="24"/>
                <w:lang w:eastAsia="zh-CN"/>
              </w:rPr>
              <w:t>V=隔油池的有效容积，单位m³</w:t>
            </w:r>
            <w:r>
              <w:rPr>
                <w:rFonts w:hint="eastAsia" w:ascii="Times New Roman" w:hAnsi="Times New Roman" w:eastAsia="宋体" w:cs="Times New Roman"/>
                <w:color w:val="auto"/>
                <w:position w:val="1"/>
                <w:sz w:val="24"/>
                <w:szCs w:val="24"/>
                <w:lang w:eastAsia="zh-CN"/>
              </w:rPr>
              <w:t>；</w:t>
            </w:r>
          </w:p>
          <w:p w14:paraId="5D23A6CF">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position w:val="1"/>
                <w:sz w:val="24"/>
                <w:szCs w:val="24"/>
                <w:lang w:eastAsia="zh-CN"/>
              </w:rPr>
              <w:t>t=含油水在池内的停留时间，单位min，本项目取60min。</w:t>
            </w:r>
          </w:p>
          <w:p w14:paraId="3BC3384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按照含油废水6小时全部经过隔油池计，则根据中华人民共和国国家环境保护标准HJ554-2010《饮食业环境保护技术规范》中规定可计算出：本项目所需隔油池的容积应不小于0.1m³。项目隔油池设计容积为1m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，能满足项目含油废水处理要求，</w:t>
            </w:r>
            <w:r>
              <w:rPr>
                <w:rFonts w:hint="eastAsia" w:ascii="Times New Roman" w:hAnsi="Times New Roman" w:eastAsia="宋体" w:cs="Times New Roman"/>
                <w:color w:val="auto"/>
                <w:sz w:val="24"/>
                <w:szCs w:val="24"/>
                <w:lang w:eastAsia="zh-CN"/>
              </w:rPr>
              <w:t>隔油池</w:t>
            </w:r>
            <w:r>
              <w:rPr>
                <w:rFonts w:ascii="Times New Roman" w:hAnsi="Times New Roman" w:eastAsia="宋体" w:cs="Times New Roman"/>
                <w:color w:val="auto"/>
                <w:sz w:val="24"/>
                <w:szCs w:val="24"/>
                <w:lang w:eastAsia="zh-CN"/>
              </w:rPr>
              <w:t>设置</w:t>
            </w:r>
            <w:r>
              <w:rPr>
                <w:rFonts w:hint="eastAsia" w:ascii="Times New Roman" w:hAnsi="Times New Roman" w:eastAsia="宋体"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4B52D6E8">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③化粪池</w:t>
            </w:r>
          </w:p>
          <w:p w14:paraId="440B5753">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项目设置1个</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，处理能力参照《建筑给水排水设计规范》（GB50015-2009）要求：有效停留时间取12～24h，本次有效停留时间取24h，污水处理规模以项目运营期的污水产生量为基数并取1.2的安全变化系数。项目</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收集</w:t>
            </w:r>
            <w:r>
              <w:rPr>
                <w:rFonts w:hint="eastAsia" w:ascii="Times New Roman" w:hAnsi="Times New Roman" w:eastAsia="宋体" w:cs="Times New Roman"/>
                <w:color w:val="auto"/>
                <w:sz w:val="24"/>
                <w:szCs w:val="24"/>
                <w:lang w:eastAsia="zh-CN"/>
              </w:rPr>
              <w:t>生活废水</w:t>
            </w:r>
            <w:r>
              <w:rPr>
                <w:rFonts w:ascii="Times New Roman" w:hAnsi="Times New Roman" w:eastAsia="宋体" w:cs="Times New Roman"/>
                <w:color w:val="auto"/>
                <w:sz w:val="24"/>
                <w:szCs w:val="24"/>
                <w:lang w:eastAsia="zh-CN"/>
              </w:rPr>
              <w:t>量为0.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/d。则</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的容积不能小于</w:t>
            </w:r>
            <w:r>
              <w:rPr>
                <w:rFonts w:hint="eastAsia" w:ascii="Times New Roman" w:hAnsi="Times New Roman" w:eastAsia="宋体" w:cs="Times New Roman"/>
                <w:color w:val="auto"/>
                <w:sz w:val="24"/>
                <w:szCs w:val="24"/>
                <w:lang w:eastAsia="zh-CN"/>
              </w:rPr>
              <w:t>1.152</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化粪池</w:t>
            </w:r>
            <w:r>
              <w:rPr>
                <w:rFonts w:ascii="Times New Roman" w:hAnsi="Times New Roman" w:eastAsia="宋体" w:cs="Times New Roman"/>
                <w:color w:val="auto"/>
                <w:sz w:val="24"/>
                <w:szCs w:val="24"/>
                <w:lang w:eastAsia="zh-CN"/>
              </w:rPr>
              <w:t>容积为5m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，能够容纳至少</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天的粪便和污水</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设置</w:t>
            </w:r>
            <w:r>
              <w:rPr>
                <w:rFonts w:hint="eastAsia" w:ascii="Times New Roman" w:hAnsi="Times New Roman" w:eastAsia="宋体" w:cs="Times New Roman"/>
                <w:color w:val="auto"/>
                <w:sz w:val="24"/>
                <w:szCs w:val="24"/>
                <w:lang w:eastAsia="zh-CN"/>
              </w:rPr>
              <w:t>可行</w:t>
            </w:r>
            <w:r>
              <w:rPr>
                <w:rFonts w:ascii="Times New Roman" w:hAnsi="Times New Roman" w:eastAsia="宋体" w:cs="Times New Roman"/>
                <w:color w:val="auto"/>
                <w:sz w:val="24"/>
                <w:szCs w:val="24"/>
                <w:lang w:eastAsia="zh-CN"/>
              </w:rPr>
              <w:t>。</w:t>
            </w:r>
          </w:p>
          <w:p w14:paraId="0221EB3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④一体化污水处理设施</w:t>
            </w:r>
          </w:p>
          <w:p w14:paraId="6A494B3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隔油池能去除大部分的食堂废水中的油污，再经过化粪池、</w:t>
            </w:r>
            <w:r>
              <w:rPr>
                <w:rFonts w:hint="eastAsia" w:ascii="Times New Roman" w:hAnsi="Times New Roman" w:eastAsia="宋体" w:cs="Times New Roman"/>
                <w:color w:val="auto"/>
                <w:sz w:val="24"/>
                <w:lang w:eastAsia="zh-CN"/>
              </w:rPr>
              <w:t>一体化污水处理设施</w:t>
            </w:r>
            <w:r>
              <w:rPr>
                <w:rFonts w:ascii="Times New Roman" w:hAnsi="Times New Roman" w:eastAsia="宋体" w:cs="Times New Roman"/>
                <w:color w:val="auto"/>
                <w:sz w:val="24"/>
                <w:lang w:eastAsia="zh-CN"/>
              </w:rPr>
              <w:t>处理后，生活废水中的各污染物浓度将得到很大程度去除。本次评价建议采用：A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w:t>
            </w:r>
          </w:p>
          <w:p w14:paraId="18D7333C">
            <w:pPr>
              <w:pStyle w:val="8"/>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根据《排污许可证申请与核发技术规范 水处理通用工序》（HJ1120-2020）附录A中废水污染防治措施可行技术参考表，生活废水处理可行技术有：预处理——调整、隔油、格栅、沉淀、气浮、混凝；生化处理-水解酸化、厌氧、好氧、缺氧好氧（A/O）、厌氧缺氧好氧（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序批式活性污泥（SBR）、氧化沟、曝气生物滤池（BAF）、移动生物床反应器（MBBR）、膜生物反应器（MBR）、二沉池；深度处理及回用——沉淀、过滤、高级氧化、曝气生物滤池、超滤、反渗透、电渗析、离子交换、消毒（次氯酸钠、臭氧、紫外、二氧化氯）。</w:t>
            </w:r>
          </w:p>
          <w:p w14:paraId="12D53C6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根据以上可知，A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为《排污许可证申请与核发技术规范 水处理通用工序》（HJ1120-2020）附录A中可行技术。</w:t>
            </w:r>
          </w:p>
          <w:p w14:paraId="197ABFF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根据类比2023年7月28日、29日《云南众鑫新材料有限公司年产2000吨粉末涂料项目（一期）竣工环保验收监测报告》中的</w:t>
            </w:r>
            <w:r>
              <w:rPr>
                <w:rFonts w:hint="eastAsia" w:ascii="Times New Roman" w:hAnsi="Times New Roman" w:eastAsia="宋体" w:cs="Times New Roman"/>
                <w:color w:val="auto"/>
                <w:sz w:val="24"/>
                <w:lang w:eastAsia="zh-CN"/>
              </w:rPr>
              <w:t>一体化污水处理设施</w:t>
            </w:r>
            <w:r>
              <w:rPr>
                <w:rFonts w:ascii="Times New Roman" w:hAnsi="Times New Roman" w:eastAsia="宋体" w:cs="Times New Roman"/>
                <w:color w:val="auto"/>
                <w:sz w:val="24"/>
                <w:lang w:eastAsia="zh-CN"/>
              </w:rPr>
              <w:t>出水口监测结果，监测结果见下表：</w:t>
            </w:r>
          </w:p>
          <w:p w14:paraId="152429D3">
            <w:pPr>
              <w:pStyle w:val="30"/>
              <w:kinsoku/>
              <w:overflowPunct w:val="0"/>
              <w:autoSpaceDE/>
              <w:autoSpaceDN/>
              <w:adjustRightInd/>
              <w:snapToGrid/>
              <w:jc w:val="center"/>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表4-10 类比污水处理设备出水水质情况表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171"/>
              <w:gridCol w:w="1282"/>
              <w:gridCol w:w="1311"/>
              <w:gridCol w:w="1311"/>
              <w:gridCol w:w="1227"/>
            </w:tblGrid>
            <w:tr w14:paraId="54F20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Align w:val="center"/>
                </w:tcPr>
                <w:p w14:paraId="2765401F">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采样日期</w:t>
                  </w:r>
                </w:p>
              </w:tc>
              <w:tc>
                <w:tcPr>
                  <w:tcW w:w="1292" w:type="pct"/>
                  <w:vAlign w:val="center"/>
                </w:tcPr>
                <w:p w14:paraId="7259AF23">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监测项目</w:t>
                  </w:r>
                </w:p>
              </w:tc>
              <w:tc>
                <w:tcPr>
                  <w:tcW w:w="764" w:type="pct"/>
                  <w:vAlign w:val="center"/>
                </w:tcPr>
                <w:p w14:paraId="75A0D5A9">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检测结果</w:t>
                  </w:r>
                </w:p>
              </w:tc>
              <w:tc>
                <w:tcPr>
                  <w:tcW w:w="781" w:type="pct"/>
                  <w:vAlign w:val="center"/>
                </w:tcPr>
                <w:p w14:paraId="3631AFA7">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标准值</w:t>
                  </w:r>
                </w:p>
              </w:tc>
              <w:tc>
                <w:tcPr>
                  <w:tcW w:w="781" w:type="pct"/>
                  <w:vAlign w:val="center"/>
                </w:tcPr>
                <w:p w14:paraId="2B2C6BDE">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单位</w:t>
                  </w:r>
                </w:p>
              </w:tc>
              <w:tc>
                <w:tcPr>
                  <w:tcW w:w="731" w:type="pct"/>
                  <w:vAlign w:val="center"/>
                </w:tcPr>
                <w:p w14:paraId="6232E116">
                  <w:pPr>
                    <w:jc w:val="center"/>
                    <w:rPr>
                      <w:rFonts w:ascii="Times New Roman" w:hAnsi="Times New Roman" w:eastAsia="宋体" w:cs="Times New Roman"/>
                      <w:b/>
                      <w:color w:val="auto"/>
                      <w:sz w:val="21"/>
                      <w:szCs w:val="21"/>
                      <w:lang w:eastAsia="zh-CN"/>
                    </w:rPr>
                  </w:pPr>
                  <w:r>
                    <w:rPr>
                      <w:rFonts w:ascii="Times New Roman" w:hAnsi="Times New Roman" w:eastAsia="宋体" w:cs="Times New Roman"/>
                      <w:b/>
                      <w:color w:val="auto"/>
                      <w:sz w:val="21"/>
                      <w:szCs w:val="21"/>
                      <w:lang w:eastAsia="zh-CN"/>
                    </w:rPr>
                    <w:t>达标情况</w:t>
                  </w:r>
                </w:p>
              </w:tc>
            </w:tr>
            <w:tr w14:paraId="67EA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restart"/>
                  <w:vAlign w:val="center"/>
                </w:tcPr>
                <w:p w14:paraId="64071875">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2023.07.28~07.29</w:t>
                  </w:r>
                </w:p>
              </w:tc>
              <w:tc>
                <w:tcPr>
                  <w:tcW w:w="1292" w:type="pct"/>
                  <w:vAlign w:val="center"/>
                </w:tcPr>
                <w:p w14:paraId="7F421A31">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pH</w:t>
                  </w:r>
                </w:p>
              </w:tc>
              <w:tc>
                <w:tcPr>
                  <w:tcW w:w="764" w:type="pct"/>
                  <w:vAlign w:val="center"/>
                </w:tcPr>
                <w:p w14:paraId="25F3B3E7">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7.0~7.4</w:t>
                  </w:r>
                </w:p>
              </w:tc>
              <w:tc>
                <w:tcPr>
                  <w:tcW w:w="781" w:type="pct"/>
                  <w:vAlign w:val="center"/>
                </w:tcPr>
                <w:p w14:paraId="11496030">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6.0~9.0</w:t>
                  </w:r>
                </w:p>
              </w:tc>
              <w:tc>
                <w:tcPr>
                  <w:tcW w:w="781" w:type="pct"/>
                  <w:vAlign w:val="center"/>
                </w:tcPr>
                <w:p w14:paraId="46FBDEEA">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无量纲</w:t>
                  </w:r>
                </w:p>
              </w:tc>
              <w:tc>
                <w:tcPr>
                  <w:tcW w:w="731" w:type="pct"/>
                  <w:vAlign w:val="center"/>
                </w:tcPr>
                <w:p w14:paraId="47A389CE">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2E749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283D9A88">
                  <w:pPr>
                    <w:jc w:val="center"/>
                    <w:rPr>
                      <w:rFonts w:ascii="Times New Roman" w:hAnsi="Times New Roman" w:eastAsia="宋体" w:cs="Times New Roman"/>
                      <w:bCs/>
                      <w:color w:val="auto"/>
                      <w:sz w:val="21"/>
                      <w:szCs w:val="21"/>
                      <w:lang w:eastAsia="zh-CN"/>
                    </w:rPr>
                  </w:pPr>
                </w:p>
              </w:tc>
              <w:tc>
                <w:tcPr>
                  <w:tcW w:w="1292" w:type="pct"/>
                  <w:vAlign w:val="center"/>
                </w:tcPr>
                <w:p w14:paraId="5E5E24C7">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色度</w:t>
                  </w:r>
                </w:p>
              </w:tc>
              <w:tc>
                <w:tcPr>
                  <w:tcW w:w="764" w:type="pct"/>
                  <w:vAlign w:val="center"/>
                </w:tcPr>
                <w:p w14:paraId="5CB5CA2C">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4</w:t>
                  </w:r>
                </w:p>
              </w:tc>
              <w:tc>
                <w:tcPr>
                  <w:tcW w:w="781" w:type="pct"/>
                  <w:vAlign w:val="center"/>
                </w:tcPr>
                <w:p w14:paraId="4519D8B2">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≤30</w:t>
                  </w:r>
                </w:p>
              </w:tc>
              <w:tc>
                <w:tcPr>
                  <w:tcW w:w="781" w:type="pct"/>
                  <w:vAlign w:val="center"/>
                </w:tcPr>
                <w:p w14:paraId="0B9AEEEC">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倍</w:t>
                  </w:r>
                </w:p>
              </w:tc>
              <w:tc>
                <w:tcPr>
                  <w:tcW w:w="731" w:type="pct"/>
                  <w:vAlign w:val="center"/>
                </w:tcPr>
                <w:p w14:paraId="51CC876F">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469E0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495AD1F2">
                  <w:pPr>
                    <w:jc w:val="center"/>
                    <w:rPr>
                      <w:rFonts w:ascii="Times New Roman" w:hAnsi="Times New Roman" w:eastAsia="宋体" w:cs="Times New Roman"/>
                      <w:bCs/>
                      <w:color w:val="auto"/>
                      <w:sz w:val="21"/>
                      <w:szCs w:val="21"/>
                      <w:lang w:eastAsia="zh-CN"/>
                    </w:rPr>
                  </w:pPr>
                </w:p>
              </w:tc>
              <w:tc>
                <w:tcPr>
                  <w:tcW w:w="1292" w:type="pct"/>
                  <w:vAlign w:val="center"/>
                </w:tcPr>
                <w:p w14:paraId="3C350044">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嗅和味</w:t>
                  </w:r>
                </w:p>
              </w:tc>
              <w:tc>
                <w:tcPr>
                  <w:tcW w:w="764" w:type="pct"/>
                  <w:vAlign w:val="center"/>
                </w:tcPr>
                <w:p w14:paraId="5857F1E4">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0</w:t>
                  </w:r>
                </w:p>
              </w:tc>
              <w:tc>
                <w:tcPr>
                  <w:tcW w:w="781" w:type="pct"/>
                  <w:vAlign w:val="center"/>
                </w:tcPr>
                <w:p w14:paraId="40E792B7">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无不快感</w:t>
                  </w:r>
                </w:p>
              </w:tc>
              <w:tc>
                <w:tcPr>
                  <w:tcW w:w="781" w:type="pct"/>
                  <w:vAlign w:val="center"/>
                </w:tcPr>
                <w:p w14:paraId="0EF45CFC">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级</w:t>
                  </w:r>
                </w:p>
              </w:tc>
              <w:tc>
                <w:tcPr>
                  <w:tcW w:w="731" w:type="pct"/>
                  <w:vAlign w:val="center"/>
                </w:tcPr>
                <w:p w14:paraId="4F9FF59B">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2A3D1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38A9CF78">
                  <w:pPr>
                    <w:jc w:val="center"/>
                    <w:rPr>
                      <w:rFonts w:ascii="Times New Roman" w:hAnsi="Times New Roman" w:eastAsia="宋体" w:cs="Times New Roman"/>
                      <w:bCs/>
                      <w:color w:val="auto"/>
                      <w:sz w:val="21"/>
                      <w:szCs w:val="21"/>
                      <w:lang w:eastAsia="zh-CN"/>
                    </w:rPr>
                  </w:pPr>
                </w:p>
              </w:tc>
              <w:tc>
                <w:tcPr>
                  <w:tcW w:w="1292" w:type="pct"/>
                  <w:vAlign w:val="center"/>
                </w:tcPr>
                <w:p w14:paraId="65890D00">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浊度</w:t>
                  </w:r>
                </w:p>
              </w:tc>
              <w:tc>
                <w:tcPr>
                  <w:tcW w:w="764" w:type="pct"/>
                  <w:vAlign w:val="center"/>
                </w:tcPr>
                <w:p w14:paraId="55C4B41B">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1</w:t>
                  </w:r>
                </w:p>
              </w:tc>
              <w:tc>
                <w:tcPr>
                  <w:tcW w:w="781" w:type="pct"/>
                  <w:vAlign w:val="center"/>
                </w:tcPr>
                <w:p w14:paraId="763E5A5B">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≤10</w:t>
                  </w:r>
                </w:p>
              </w:tc>
              <w:tc>
                <w:tcPr>
                  <w:tcW w:w="781" w:type="pct"/>
                  <w:vAlign w:val="center"/>
                </w:tcPr>
                <w:p w14:paraId="511D3A23">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NTU</w:t>
                  </w:r>
                </w:p>
              </w:tc>
              <w:tc>
                <w:tcPr>
                  <w:tcW w:w="731" w:type="pct"/>
                  <w:vAlign w:val="center"/>
                </w:tcPr>
                <w:p w14:paraId="694C2BE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1EBF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04F23E67">
                  <w:pPr>
                    <w:jc w:val="center"/>
                    <w:rPr>
                      <w:rFonts w:ascii="Times New Roman" w:hAnsi="Times New Roman" w:eastAsia="宋体" w:cs="Times New Roman"/>
                      <w:bCs/>
                      <w:color w:val="auto"/>
                      <w:sz w:val="21"/>
                      <w:szCs w:val="21"/>
                      <w:lang w:eastAsia="zh-CN"/>
                    </w:rPr>
                  </w:pPr>
                </w:p>
              </w:tc>
              <w:tc>
                <w:tcPr>
                  <w:tcW w:w="1292" w:type="pct"/>
                  <w:vAlign w:val="center"/>
                </w:tcPr>
                <w:p w14:paraId="5C50A40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五日生化需氧量</w:t>
                  </w:r>
                </w:p>
              </w:tc>
              <w:tc>
                <w:tcPr>
                  <w:tcW w:w="764" w:type="pct"/>
                  <w:vAlign w:val="center"/>
                </w:tcPr>
                <w:p w14:paraId="1CB1534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6.8~8.3</w:t>
                  </w:r>
                </w:p>
              </w:tc>
              <w:tc>
                <w:tcPr>
                  <w:tcW w:w="781" w:type="pct"/>
                  <w:vAlign w:val="center"/>
                </w:tcPr>
                <w:p w14:paraId="59D456C8">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≤10</w:t>
                  </w:r>
                </w:p>
              </w:tc>
              <w:tc>
                <w:tcPr>
                  <w:tcW w:w="781" w:type="pct"/>
                  <w:vAlign w:val="center"/>
                </w:tcPr>
                <w:p w14:paraId="421212E5">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4A6BA5AB">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01EA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33A1CC92">
                  <w:pPr>
                    <w:jc w:val="center"/>
                    <w:rPr>
                      <w:rFonts w:ascii="Times New Roman" w:hAnsi="Times New Roman" w:eastAsia="宋体" w:cs="Times New Roman"/>
                      <w:bCs/>
                      <w:color w:val="auto"/>
                      <w:sz w:val="21"/>
                      <w:szCs w:val="21"/>
                      <w:lang w:eastAsia="zh-CN"/>
                    </w:rPr>
                  </w:pPr>
                </w:p>
              </w:tc>
              <w:tc>
                <w:tcPr>
                  <w:tcW w:w="1292" w:type="pct"/>
                  <w:vAlign w:val="center"/>
                </w:tcPr>
                <w:p w14:paraId="6131CB30">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氨氮</w:t>
                  </w:r>
                </w:p>
              </w:tc>
              <w:tc>
                <w:tcPr>
                  <w:tcW w:w="764" w:type="pct"/>
                  <w:vAlign w:val="center"/>
                </w:tcPr>
                <w:p w14:paraId="4E4CDB9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5.52~7.26</w:t>
                  </w:r>
                </w:p>
              </w:tc>
              <w:tc>
                <w:tcPr>
                  <w:tcW w:w="781" w:type="pct"/>
                  <w:vAlign w:val="center"/>
                </w:tcPr>
                <w:p w14:paraId="7590D99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≤8</w:t>
                  </w:r>
                </w:p>
              </w:tc>
              <w:tc>
                <w:tcPr>
                  <w:tcW w:w="781" w:type="pct"/>
                  <w:vAlign w:val="center"/>
                </w:tcPr>
                <w:p w14:paraId="50F8565D">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621605D3">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6BB9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1687BC20">
                  <w:pPr>
                    <w:jc w:val="center"/>
                    <w:rPr>
                      <w:rFonts w:ascii="Times New Roman" w:hAnsi="Times New Roman" w:eastAsia="宋体" w:cs="Times New Roman"/>
                      <w:bCs/>
                      <w:color w:val="auto"/>
                      <w:sz w:val="21"/>
                      <w:szCs w:val="21"/>
                      <w:lang w:eastAsia="zh-CN"/>
                    </w:rPr>
                  </w:pPr>
                </w:p>
              </w:tc>
              <w:tc>
                <w:tcPr>
                  <w:tcW w:w="1292" w:type="pct"/>
                  <w:vAlign w:val="center"/>
                </w:tcPr>
                <w:p w14:paraId="7048DCDC">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阴离子表面活性剂</w:t>
                  </w:r>
                </w:p>
              </w:tc>
              <w:tc>
                <w:tcPr>
                  <w:tcW w:w="764" w:type="pct"/>
                  <w:vAlign w:val="center"/>
                </w:tcPr>
                <w:p w14:paraId="364DCE79">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0.05L</w:t>
                  </w:r>
                </w:p>
              </w:tc>
              <w:tc>
                <w:tcPr>
                  <w:tcW w:w="781" w:type="pct"/>
                  <w:vAlign w:val="center"/>
                </w:tcPr>
                <w:p w14:paraId="61F6B6D2">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≤0.5</w:t>
                  </w:r>
                </w:p>
              </w:tc>
              <w:tc>
                <w:tcPr>
                  <w:tcW w:w="781" w:type="pct"/>
                  <w:vAlign w:val="center"/>
                </w:tcPr>
                <w:p w14:paraId="50D07F56">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69B1F968">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6155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568FCD68">
                  <w:pPr>
                    <w:jc w:val="center"/>
                    <w:rPr>
                      <w:rFonts w:ascii="Times New Roman" w:hAnsi="Times New Roman" w:eastAsia="宋体" w:cs="Times New Roman"/>
                      <w:bCs/>
                      <w:color w:val="auto"/>
                      <w:sz w:val="21"/>
                      <w:szCs w:val="21"/>
                      <w:lang w:eastAsia="zh-CN"/>
                    </w:rPr>
                  </w:pPr>
                </w:p>
              </w:tc>
              <w:tc>
                <w:tcPr>
                  <w:tcW w:w="1292" w:type="pct"/>
                  <w:vAlign w:val="center"/>
                </w:tcPr>
                <w:p w14:paraId="65C7E89E">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溶解性总固体</w:t>
                  </w:r>
                </w:p>
              </w:tc>
              <w:tc>
                <w:tcPr>
                  <w:tcW w:w="764" w:type="pct"/>
                  <w:vAlign w:val="center"/>
                </w:tcPr>
                <w:p w14:paraId="4133ED6F">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726~748</w:t>
                  </w:r>
                </w:p>
              </w:tc>
              <w:tc>
                <w:tcPr>
                  <w:tcW w:w="781" w:type="pct"/>
                  <w:vAlign w:val="center"/>
                </w:tcPr>
                <w:p w14:paraId="002894B8">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≤1000</w:t>
                  </w:r>
                </w:p>
              </w:tc>
              <w:tc>
                <w:tcPr>
                  <w:tcW w:w="781" w:type="pct"/>
                  <w:vAlign w:val="center"/>
                </w:tcPr>
                <w:p w14:paraId="2FDDFEB5">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72813181">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6089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1A1CD718">
                  <w:pPr>
                    <w:jc w:val="center"/>
                    <w:rPr>
                      <w:rFonts w:ascii="Times New Roman" w:hAnsi="Times New Roman" w:eastAsia="宋体" w:cs="Times New Roman"/>
                      <w:bCs/>
                      <w:color w:val="auto"/>
                      <w:sz w:val="21"/>
                      <w:szCs w:val="21"/>
                      <w:lang w:eastAsia="zh-CN"/>
                    </w:rPr>
                  </w:pPr>
                </w:p>
              </w:tc>
              <w:tc>
                <w:tcPr>
                  <w:tcW w:w="1292" w:type="pct"/>
                  <w:vAlign w:val="center"/>
                </w:tcPr>
                <w:p w14:paraId="5F747E32">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总氯</w:t>
                  </w:r>
                </w:p>
              </w:tc>
              <w:tc>
                <w:tcPr>
                  <w:tcW w:w="764" w:type="pct"/>
                  <w:vAlign w:val="center"/>
                </w:tcPr>
                <w:p w14:paraId="131A3323">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0.36~0.54</w:t>
                  </w:r>
                </w:p>
              </w:tc>
              <w:tc>
                <w:tcPr>
                  <w:tcW w:w="781" w:type="pct"/>
                  <w:vAlign w:val="center"/>
                </w:tcPr>
                <w:p w14:paraId="6F287990">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≤1.0</w:t>
                  </w:r>
                </w:p>
              </w:tc>
              <w:tc>
                <w:tcPr>
                  <w:tcW w:w="781" w:type="pct"/>
                  <w:vAlign w:val="center"/>
                </w:tcPr>
                <w:p w14:paraId="7ECC7DD3">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0603F2E1">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02CB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0F2F7550">
                  <w:pPr>
                    <w:jc w:val="center"/>
                    <w:rPr>
                      <w:rFonts w:ascii="Times New Roman" w:hAnsi="Times New Roman" w:eastAsia="宋体" w:cs="Times New Roman"/>
                      <w:bCs/>
                      <w:color w:val="auto"/>
                      <w:sz w:val="21"/>
                      <w:szCs w:val="21"/>
                      <w:lang w:eastAsia="zh-CN"/>
                    </w:rPr>
                  </w:pPr>
                </w:p>
              </w:tc>
              <w:tc>
                <w:tcPr>
                  <w:tcW w:w="1292" w:type="pct"/>
                  <w:vAlign w:val="center"/>
                </w:tcPr>
                <w:p w14:paraId="2AB42BFF">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大肠埃希氏菌</w:t>
                  </w:r>
                </w:p>
              </w:tc>
              <w:tc>
                <w:tcPr>
                  <w:tcW w:w="764" w:type="pct"/>
                  <w:vAlign w:val="center"/>
                </w:tcPr>
                <w:p w14:paraId="5D089660">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未检出</w:t>
                  </w:r>
                </w:p>
              </w:tc>
              <w:tc>
                <w:tcPr>
                  <w:tcW w:w="781" w:type="pct"/>
                  <w:vAlign w:val="center"/>
                </w:tcPr>
                <w:p w14:paraId="2D7DB851">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无</w:t>
                  </w:r>
                </w:p>
              </w:tc>
              <w:tc>
                <w:tcPr>
                  <w:tcW w:w="781" w:type="pct"/>
                  <w:vAlign w:val="center"/>
                </w:tcPr>
                <w:p w14:paraId="4B14D44A">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MPN/L</w:t>
                  </w:r>
                </w:p>
              </w:tc>
              <w:tc>
                <w:tcPr>
                  <w:tcW w:w="731" w:type="pct"/>
                  <w:vAlign w:val="center"/>
                </w:tcPr>
                <w:p w14:paraId="7921050E">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r w14:paraId="178FB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pct"/>
                  <w:vMerge w:val="continue"/>
                  <w:vAlign w:val="center"/>
                </w:tcPr>
                <w:p w14:paraId="605E734A">
                  <w:pPr>
                    <w:jc w:val="center"/>
                    <w:rPr>
                      <w:rFonts w:ascii="Times New Roman" w:hAnsi="Times New Roman" w:eastAsia="宋体" w:cs="Times New Roman"/>
                      <w:bCs/>
                      <w:color w:val="auto"/>
                      <w:sz w:val="21"/>
                      <w:szCs w:val="21"/>
                      <w:lang w:eastAsia="zh-CN"/>
                    </w:rPr>
                  </w:pPr>
                </w:p>
              </w:tc>
              <w:tc>
                <w:tcPr>
                  <w:tcW w:w="1292" w:type="pct"/>
                  <w:vAlign w:val="center"/>
                </w:tcPr>
                <w:p w14:paraId="2279D76C">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溶解氧</w:t>
                  </w:r>
                </w:p>
              </w:tc>
              <w:tc>
                <w:tcPr>
                  <w:tcW w:w="764" w:type="pct"/>
                  <w:vAlign w:val="center"/>
                </w:tcPr>
                <w:p w14:paraId="374A062E">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3.8~4.2</w:t>
                  </w:r>
                </w:p>
              </w:tc>
              <w:tc>
                <w:tcPr>
                  <w:tcW w:w="781" w:type="pct"/>
                  <w:vAlign w:val="center"/>
                </w:tcPr>
                <w:p w14:paraId="2DDBD22D">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≥2.0</w:t>
                  </w:r>
                </w:p>
              </w:tc>
              <w:tc>
                <w:tcPr>
                  <w:tcW w:w="781" w:type="pct"/>
                  <w:vAlign w:val="center"/>
                </w:tcPr>
                <w:p w14:paraId="651ADC6A">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mg/L</w:t>
                  </w:r>
                </w:p>
              </w:tc>
              <w:tc>
                <w:tcPr>
                  <w:tcW w:w="731" w:type="pct"/>
                  <w:vAlign w:val="center"/>
                </w:tcPr>
                <w:p w14:paraId="5286C711">
                  <w:pPr>
                    <w:jc w:val="center"/>
                    <w:rPr>
                      <w:rFonts w:ascii="Times New Roman" w:hAnsi="Times New Roman" w:eastAsia="宋体" w:cs="Times New Roman"/>
                      <w:bCs/>
                      <w:color w:val="auto"/>
                      <w:sz w:val="21"/>
                      <w:szCs w:val="21"/>
                      <w:lang w:eastAsia="zh-CN"/>
                    </w:rPr>
                  </w:pPr>
                  <w:r>
                    <w:rPr>
                      <w:rFonts w:ascii="Times New Roman" w:hAnsi="Times New Roman" w:eastAsia="宋体" w:cs="Times New Roman"/>
                      <w:bCs/>
                      <w:color w:val="auto"/>
                      <w:sz w:val="21"/>
                      <w:szCs w:val="21"/>
                      <w:lang w:eastAsia="zh-CN"/>
                    </w:rPr>
                    <w:t>达标</w:t>
                  </w:r>
                </w:p>
              </w:tc>
            </w:tr>
          </w:tbl>
          <w:p w14:paraId="000506E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根据上表，</w:t>
            </w:r>
            <w:r>
              <w:rPr>
                <w:rFonts w:ascii="Times New Roman" w:hAnsi="Times New Roman" w:eastAsia="宋体" w:cs="Times New Roman"/>
                <w:color w:val="auto"/>
                <w:sz w:val="24"/>
                <w:lang w:eastAsia="zh-CN"/>
              </w:rPr>
              <w:t>在采用一体化污水处理</w:t>
            </w:r>
            <w:r>
              <w:rPr>
                <w:rFonts w:hint="eastAsia" w:ascii="Times New Roman" w:hAnsi="Times New Roman" w:eastAsia="宋体" w:cs="Times New Roman"/>
                <w:color w:val="auto"/>
                <w:sz w:val="24"/>
                <w:lang w:eastAsia="zh-CN"/>
              </w:rPr>
              <w:t>设施</w:t>
            </w:r>
            <w:r>
              <w:rPr>
                <w:rFonts w:ascii="Times New Roman" w:hAnsi="Times New Roman" w:eastAsia="宋体" w:cs="Times New Roman"/>
                <w:color w:val="auto"/>
                <w:sz w:val="24"/>
                <w:lang w:eastAsia="zh-CN"/>
              </w:rPr>
              <w:t>（采用A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O工艺</w:t>
            </w:r>
            <w:r>
              <w:rPr>
                <w:rFonts w:hint="eastAsia" w:ascii="Times New Roman" w:hAnsi="Times New Roman" w:eastAsia="宋体" w:cs="Times New Roman"/>
                <w:color w:val="auto"/>
                <w:sz w:val="24"/>
                <w:lang w:val="en-US" w:eastAsia="zh-CN"/>
              </w:rPr>
              <w:t>+次氯酸钠消毒</w:t>
            </w:r>
            <w:r>
              <w:rPr>
                <w:rFonts w:ascii="Times New Roman" w:hAnsi="Times New Roman" w:eastAsia="宋体" w:cs="Times New Roman"/>
                <w:color w:val="auto"/>
                <w:sz w:val="24"/>
                <w:lang w:eastAsia="zh-CN"/>
              </w:rPr>
              <w:t>）处理后，生活污水能够满足《城市污水再生利用 城市杂用水水质》（GB/T18920-2020）中城市绿化、道路清扫、消防、建筑施工的标准要求</w:t>
            </w:r>
            <w:r>
              <w:rPr>
                <w:rFonts w:hint="eastAsia" w:ascii="Times New Roman" w:hAnsi="Times New Roman" w:eastAsia="宋体" w:cs="Times New Roman"/>
                <w:color w:val="auto"/>
                <w:sz w:val="24"/>
                <w:lang w:eastAsia="zh-CN"/>
              </w:rPr>
              <w:t>。因此项目设置</w:t>
            </w:r>
            <w:r>
              <w:rPr>
                <w:rFonts w:ascii="Times New Roman" w:hAnsi="Times New Roman" w:eastAsia="宋体" w:cs="Times New Roman"/>
                <w:color w:val="auto"/>
                <w:sz w:val="24"/>
                <w:lang w:eastAsia="zh-CN"/>
              </w:rPr>
              <w:t>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w:t>
            </w:r>
            <w:r>
              <w:rPr>
                <w:rFonts w:hint="eastAsia" w:ascii="Times New Roman" w:hAnsi="Times New Roman" w:eastAsia="宋体" w:cs="Times New Roman"/>
                <w:color w:val="auto"/>
                <w:sz w:val="24"/>
                <w:lang w:eastAsia="zh-CN"/>
              </w:rPr>
              <w:t>处理</w:t>
            </w:r>
            <w:r>
              <w:rPr>
                <w:rFonts w:ascii="Times New Roman" w:hAnsi="Times New Roman" w:eastAsia="宋体" w:cs="Times New Roman"/>
                <w:color w:val="auto"/>
                <w:sz w:val="24"/>
                <w:lang w:eastAsia="zh-CN"/>
              </w:rPr>
              <w:t>工艺</w:t>
            </w:r>
            <w:r>
              <w:rPr>
                <w:rFonts w:hint="eastAsia" w:ascii="Times New Roman" w:hAnsi="Times New Roman" w:eastAsia="宋体" w:cs="Times New Roman"/>
                <w:color w:val="auto"/>
                <w:sz w:val="24"/>
                <w:lang w:eastAsia="zh-CN"/>
              </w:rPr>
              <w:t>，处理规模2m</w:t>
            </w:r>
            <w:r>
              <w:rPr>
                <w:rFonts w:hint="eastAsia" w:ascii="Times New Roman" w:hAnsi="Times New Roman" w:eastAsia="宋体" w:cs="Times New Roman"/>
                <w:color w:val="auto"/>
                <w:sz w:val="24"/>
                <w:vertAlign w:val="superscript"/>
                <w:lang w:eastAsia="zh-CN"/>
              </w:rPr>
              <w:t>3</w:t>
            </w:r>
            <w:r>
              <w:rPr>
                <w:rFonts w:hint="eastAsia" w:ascii="Times New Roman" w:hAnsi="Times New Roman" w:eastAsia="宋体" w:cs="Times New Roman"/>
                <w:color w:val="auto"/>
                <w:sz w:val="24"/>
                <w:lang w:eastAsia="zh-CN"/>
              </w:rPr>
              <w:t>/d的</w:t>
            </w:r>
            <w:r>
              <w:rPr>
                <w:rFonts w:ascii="Times New Roman" w:hAnsi="Times New Roman" w:eastAsia="宋体" w:cs="Times New Roman"/>
                <w:color w:val="auto"/>
                <w:sz w:val="24"/>
                <w:lang w:eastAsia="zh-CN"/>
              </w:rPr>
              <w:t>一体化污水处理</w:t>
            </w:r>
            <w:r>
              <w:rPr>
                <w:rFonts w:hint="eastAsia" w:ascii="Times New Roman" w:hAnsi="Times New Roman" w:eastAsia="宋体" w:cs="Times New Roman"/>
                <w:color w:val="auto"/>
                <w:sz w:val="24"/>
                <w:lang w:eastAsia="zh-CN"/>
              </w:rPr>
              <w:t>设施可行。</w:t>
            </w:r>
          </w:p>
          <w:p w14:paraId="5BE78079">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⑤中水池</w:t>
            </w:r>
          </w:p>
          <w:p w14:paraId="5B387BA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szCs w:val="24"/>
                <w:lang w:eastAsia="zh-CN"/>
              </w:rPr>
              <w:t>项目在</w:t>
            </w:r>
            <w:r>
              <w:rPr>
                <w:rFonts w:ascii="Times New Roman" w:hAnsi="Times New Roman" w:eastAsia="宋体" w:cs="Times New Roman"/>
                <w:color w:val="auto"/>
                <w:sz w:val="24"/>
                <w:lang w:eastAsia="zh-CN"/>
              </w:rPr>
              <w:t>一体化污水处理</w:t>
            </w:r>
            <w:r>
              <w:rPr>
                <w:rFonts w:hint="eastAsia" w:ascii="Times New Roman" w:hAnsi="Times New Roman" w:eastAsia="宋体" w:cs="Times New Roman"/>
                <w:color w:val="auto"/>
                <w:sz w:val="24"/>
                <w:lang w:eastAsia="zh-CN"/>
              </w:rPr>
              <w:t>设施出</w:t>
            </w:r>
            <w:r>
              <w:rPr>
                <w:rFonts w:ascii="Times New Roman" w:hAnsi="Times New Roman" w:eastAsia="宋体" w:cs="Times New Roman"/>
                <w:color w:val="auto"/>
                <w:sz w:val="24"/>
                <w:szCs w:val="24"/>
                <w:lang w:eastAsia="zh-CN"/>
              </w:rPr>
              <w:t>水口处设置1座</w:t>
            </w:r>
            <w:r>
              <w:rPr>
                <w:rFonts w:hint="eastAsia" w:ascii="Times New Roman" w:hAnsi="Times New Roman" w:eastAsia="宋体" w:cs="Times New Roman"/>
                <w:color w:val="auto"/>
                <w:sz w:val="24"/>
                <w:szCs w:val="24"/>
                <w:lang w:eastAsia="zh-CN"/>
              </w:rPr>
              <w:t>10m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的中水</w:t>
            </w:r>
            <w:r>
              <w:rPr>
                <w:rFonts w:ascii="Times New Roman" w:hAnsi="Times New Roman" w:eastAsia="宋体" w:cs="Times New Roman"/>
                <w:color w:val="auto"/>
                <w:sz w:val="24"/>
                <w:szCs w:val="24"/>
                <w:lang w:eastAsia="zh-CN"/>
              </w:rPr>
              <w:t>池</w:t>
            </w:r>
            <w:r>
              <w:rPr>
                <w:rFonts w:hint="eastAsia" w:ascii="Times New Roman" w:hAnsi="Times New Roman" w:eastAsia="宋体" w:cs="Times New Roman"/>
                <w:color w:val="auto"/>
                <w:sz w:val="24"/>
                <w:szCs w:val="24"/>
                <w:lang w:eastAsia="zh-CN"/>
              </w:rPr>
              <w:t>用于暂存处理后的回用水</w:t>
            </w:r>
            <w:r>
              <w:rPr>
                <w:rFonts w:ascii="Times New Roman" w:hAnsi="Times New Roman" w:eastAsia="宋体" w:cs="Times New Roman"/>
                <w:color w:val="auto"/>
                <w:sz w:val="24"/>
                <w:szCs w:val="24"/>
                <w:lang w:eastAsia="zh-CN"/>
              </w:rPr>
              <w:t>。根据</w:t>
            </w:r>
            <w:r>
              <w:rPr>
                <w:rFonts w:hint="eastAsia" w:ascii="Times New Roman" w:hAnsi="Times New Roman" w:eastAsia="宋体" w:cs="Times New Roman"/>
                <w:color w:val="auto"/>
                <w:sz w:val="24"/>
                <w:szCs w:val="24"/>
                <w:lang w:eastAsia="zh-CN"/>
              </w:rPr>
              <w:t>水平衡</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生活污水</w:t>
            </w:r>
            <w:r>
              <w:rPr>
                <w:rFonts w:ascii="Times New Roman" w:hAnsi="Times New Roman" w:eastAsia="宋体" w:cs="Times New Roman"/>
                <w:color w:val="auto"/>
                <w:sz w:val="24"/>
                <w:szCs w:val="24"/>
                <w:lang w:eastAsia="zh-CN"/>
              </w:rPr>
              <w:t>产生量为0.</w:t>
            </w:r>
            <w:r>
              <w:rPr>
                <w:rFonts w:hint="eastAsia" w:ascii="Times New Roman" w:hAnsi="Times New Roman" w:eastAsia="宋体" w:cs="Times New Roman"/>
                <w:color w:val="auto"/>
                <w:sz w:val="24"/>
                <w:szCs w:val="24"/>
                <w:lang w:eastAsia="zh-CN"/>
              </w:rPr>
              <w:t>96</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7"/>
                <w:sz w:val="15"/>
                <w:szCs w:val="15"/>
                <w:lang w:eastAsia="zh-CN"/>
              </w:rPr>
              <w:t>3</w:t>
            </w:r>
            <w:r>
              <w:rPr>
                <w:rFonts w:ascii="Times New Roman" w:hAnsi="Times New Roman" w:eastAsia="宋体" w:cs="Times New Roman"/>
                <w:color w:val="auto"/>
                <w:sz w:val="24"/>
                <w:szCs w:val="24"/>
                <w:lang w:eastAsia="zh-CN"/>
              </w:rPr>
              <w:t>/d，</w:t>
            </w:r>
            <w:r>
              <w:rPr>
                <w:rFonts w:hint="eastAsia" w:ascii="Times New Roman" w:hAnsi="Times New Roman" w:eastAsia="宋体" w:cs="Times New Roman"/>
                <w:color w:val="auto"/>
                <w:sz w:val="24"/>
                <w:szCs w:val="24"/>
                <w:lang w:eastAsia="zh-CN"/>
              </w:rPr>
              <w:t>中水</w:t>
            </w:r>
            <w:r>
              <w:rPr>
                <w:rFonts w:ascii="Times New Roman" w:hAnsi="Times New Roman" w:eastAsia="宋体" w:cs="Times New Roman"/>
                <w:color w:val="auto"/>
                <w:sz w:val="24"/>
                <w:szCs w:val="24"/>
                <w:lang w:eastAsia="zh-CN"/>
              </w:rPr>
              <w:t>池</w:t>
            </w:r>
            <w:r>
              <w:rPr>
                <w:rFonts w:hint="eastAsia" w:ascii="Times New Roman" w:hAnsi="Times New Roman" w:eastAsia="宋体" w:cs="Times New Roman"/>
                <w:color w:val="auto"/>
                <w:sz w:val="24"/>
                <w:szCs w:val="24"/>
                <w:lang w:eastAsia="zh-CN"/>
              </w:rPr>
              <w:t>可暂存至少10天量处理达标的回用水，中水池设置可行。</w:t>
            </w:r>
          </w:p>
          <w:p w14:paraId="20EC60E7">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eastAsia="zh-CN"/>
              </w:rPr>
            </w:pPr>
            <w:r>
              <w:rPr>
                <w:rFonts w:ascii="Times New Roman" w:hAnsi="Times New Roman" w:eastAsia="宋体" w:cs="Times New Roman"/>
                <w:b/>
                <w:bCs/>
                <w:color w:val="auto"/>
                <w:sz w:val="24"/>
                <w:szCs w:val="24"/>
                <w:lang w:eastAsia="zh-CN"/>
              </w:rPr>
              <w:t>3.</w:t>
            </w:r>
            <w:r>
              <w:rPr>
                <w:rFonts w:hint="eastAsia" w:ascii="Times New Roman" w:hAnsi="Times New Roman" w:eastAsia="宋体" w:cs="Times New Roman"/>
                <w:b/>
                <w:bCs/>
                <w:color w:val="auto"/>
                <w:sz w:val="24"/>
                <w:szCs w:val="24"/>
                <w:lang w:eastAsia="zh-CN"/>
              </w:rPr>
              <w:t>4</w:t>
            </w:r>
            <w:r>
              <w:rPr>
                <w:rFonts w:ascii="Times New Roman" w:hAnsi="Times New Roman" w:eastAsia="宋体" w:cs="Times New Roman"/>
                <w:b/>
                <w:bCs/>
                <w:color w:val="auto"/>
                <w:sz w:val="24"/>
                <w:szCs w:val="24"/>
                <w:lang w:eastAsia="zh-CN"/>
              </w:rPr>
              <w:t>污水</w:t>
            </w:r>
            <w:r>
              <w:rPr>
                <w:rFonts w:hint="eastAsia" w:ascii="Times New Roman" w:hAnsi="Times New Roman" w:eastAsia="宋体" w:cs="Times New Roman"/>
                <w:b/>
                <w:bCs/>
                <w:color w:val="auto"/>
                <w:sz w:val="24"/>
                <w:szCs w:val="24"/>
                <w:lang w:eastAsia="zh-CN"/>
              </w:rPr>
              <w:t>不外排</w:t>
            </w:r>
            <w:r>
              <w:rPr>
                <w:rFonts w:ascii="Times New Roman" w:hAnsi="Times New Roman" w:eastAsia="宋体" w:cs="Times New Roman"/>
                <w:b/>
                <w:bCs/>
                <w:color w:val="auto"/>
                <w:sz w:val="24"/>
                <w:szCs w:val="24"/>
                <w:lang w:eastAsia="zh-CN"/>
              </w:rPr>
              <w:t>可行性分析</w:t>
            </w:r>
          </w:p>
          <w:p w14:paraId="274E5057">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rPr>
              <w:t>本项目初期雨水及处理后的生活废水回用于厂区降尘及绿化用水。根据前文水平衡核算，初期雨水总量为</w:t>
            </w:r>
            <w:r>
              <w:rPr>
                <w:rFonts w:hint="eastAsia" w:ascii="Times New Roman" w:hAnsi="Times New Roman" w:eastAsia="宋体" w:cs="Times New Roman"/>
                <w:color w:val="auto"/>
                <w:sz w:val="24"/>
                <w:szCs w:val="24"/>
                <w:lang w:eastAsia="zh-CN"/>
              </w:rPr>
              <w:t>4479.71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，生活废水总量为288m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/a，两项合计4767.71</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lang w:eastAsia="zh-CN"/>
              </w:rPr>
              <w:t>根据前文水平衡核算，厂区降尘用水量为4786.08</w:t>
            </w:r>
            <w:r>
              <w:rPr>
                <w:rFonts w:ascii="Times New Roman" w:hAnsi="Times New Roman" w:eastAsia="宋体" w:cs="Times New Roman"/>
                <w:color w:val="auto"/>
                <w:sz w:val="24"/>
                <w:szCs w:val="24"/>
                <w:lang w:eastAsia="zh-CN"/>
              </w:rPr>
              <w:t>m</w:t>
            </w:r>
            <w:r>
              <w:rPr>
                <w:rFonts w:ascii="Times New Roman" w:hAnsi="Times New Roman" w:eastAsia="宋体" w:cs="Times New Roman"/>
                <w:color w:val="auto"/>
                <w:position w:val="8"/>
                <w:sz w:val="15"/>
                <w:szCs w:val="15"/>
                <w:lang w:eastAsia="zh-CN"/>
              </w:rPr>
              <w:t>3</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a，绿化用水量为106.2m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/a，两项合计</w:t>
            </w:r>
            <w:r>
              <w:rPr>
                <w:rFonts w:hint="eastAsia" w:cs="Times New Roman"/>
                <w:color w:val="auto"/>
                <w:sz w:val="24"/>
                <w:szCs w:val="24"/>
                <w:lang w:val="en-US" w:eastAsia="zh-CN"/>
              </w:rPr>
              <w:t>4892.28</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w:t>
            </w:r>
            <w:r>
              <w:rPr>
                <w:rFonts w:ascii="Times New Roman" w:hAnsi="Times New Roman" w:eastAsia="宋体" w:cs="Times New Roman"/>
                <w:color w:val="auto"/>
                <w:sz w:val="24"/>
                <w:szCs w:val="24"/>
                <w:lang w:eastAsia="zh-CN"/>
              </w:rPr>
              <w:t>从水量角度看</w:t>
            </w:r>
            <w:r>
              <w:rPr>
                <w:rFonts w:hint="eastAsia" w:ascii="Times New Roman" w:hAnsi="Times New Roman" w:eastAsia="宋体" w:cs="Times New Roman"/>
                <w:color w:val="auto"/>
                <w:sz w:val="24"/>
                <w:szCs w:val="24"/>
                <w:lang w:eastAsia="zh-CN"/>
              </w:rPr>
              <w:t>厂区降尘和绿化用水</w:t>
            </w:r>
            <w:r>
              <w:rPr>
                <w:rFonts w:ascii="Times New Roman" w:hAnsi="Times New Roman" w:eastAsia="宋体" w:cs="Times New Roman"/>
                <w:color w:val="auto"/>
                <w:sz w:val="24"/>
                <w:szCs w:val="24"/>
                <w:lang w:eastAsia="zh-CN"/>
              </w:rPr>
              <w:t>能够完全消纳项目</w:t>
            </w:r>
            <w:r>
              <w:rPr>
                <w:rFonts w:hint="eastAsia" w:ascii="Times New Roman" w:hAnsi="Times New Roman" w:eastAsia="宋体" w:cs="Times New Roman"/>
                <w:color w:val="auto"/>
                <w:sz w:val="24"/>
                <w:szCs w:val="24"/>
                <w:lang w:eastAsia="zh-CN"/>
              </w:rPr>
              <w:t>初期雨水和生活废水。</w:t>
            </w:r>
          </w:p>
          <w:p w14:paraId="026CEBF5">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初期雨水主要污染物为SS，经</w:t>
            </w:r>
            <w:r>
              <w:rPr>
                <w:rFonts w:hint="eastAsia" w:cs="Times New Roman"/>
                <w:color w:val="auto"/>
                <w:sz w:val="24"/>
                <w:szCs w:val="24"/>
                <w:lang w:val="en-US" w:eastAsia="zh-CN"/>
              </w:rPr>
              <w:t>絮凝</w:t>
            </w:r>
            <w:r>
              <w:rPr>
                <w:rFonts w:hint="eastAsia" w:ascii="Times New Roman" w:hAnsi="Times New Roman" w:eastAsia="宋体" w:cs="Times New Roman"/>
                <w:color w:val="auto"/>
                <w:sz w:val="24"/>
                <w:szCs w:val="24"/>
                <w:lang w:eastAsia="zh-CN"/>
              </w:rPr>
              <w:t>沉淀处理后可去除大部分SS，同时</w:t>
            </w:r>
            <w:r>
              <w:rPr>
                <w:rFonts w:ascii="Times New Roman" w:hAnsi="Times New Roman" w:eastAsia="宋体" w:cs="Times New Roman"/>
                <w:color w:val="auto"/>
                <w:sz w:val="24"/>
                <w:lang w:eastAsia="zh-CN"/>
              </w:rPr>
              <w:t>《城市污水再生利用 城市杂用水水质》（GB/T</w:t>
            </w:r>
            <w:r>
              <w:rPr>
                <w:rFonts w:hint="eastAsia" w:cs="Times New Roman"/>
                <w:color w:val="auto"/>
                <w:sz w:val="24"/>
                <w:lang w:val="en-US" w:eastAsia="zh-CN"/>
              </w:rPr>
              <w:t xml:space="preserve"> </w:t>
            </w:r>
            <w:r>
              <w:rPr>
                <w:rFonts w:ascii="Times New Roman" w:hAnsi="Times New Roman" w:eastAsia="宋体" w:cs="Times New Roman"/>
                <w:color w:val="auto"/>
                <w:sz w:val="24"/>
                <w:lang w:eastAsia="zh-CN"/>
              </w:rPr>
              <w:t>18920-2020）中城市绿化、道路清扫、消防、建筑施工的标准</w:t>
            </w:r>
            <w:r>
              <w:rPr>
                <w:rFonts w:hint="eastAsia" w:ascii="Times New Roman" w:hAnsi="Times New Roman" w:eastAsia="宋体" w:cs="Times New Roman"/>
                <w:color w:val="auto"/>
                <w:sz w:val="24"/>
                <w:lang w:eastAsia="zh-CN"/>
              </w:rPr>
              <w:t>无对SS的相关要求，因此初期雨水回用于厂区降尘及绿化用水可行。根据前文类比分析，采用</w:t>
            </w:r>
            <w:r>
              <w:rPr>
                <w:rFonts w:ascii="Times New Roman" w:hAnsi="Times New Roman" w:eastAsia="宋体" w:cs="Times New Roman"/>
                <w:color w:val="auto"/>
                <w:sz w:val="24"/>
                <w:lang w:eastAsia="zh-CN"/>
              </w:rPr>
              <w:t>A</w:t>
            </w:r>
            <w:r>
              <w:rPr>
                <w:rFonts w:hint="eastAsia" w:ascii="Times New Roman" w:hAnsi="Times New Roman" w:eastAsia="宋体" w:cs="Times New Roman"/>
                <w:color w:val="auto"/>
                <w:sz w:val="24"/>
                <w:vertAlign w:val="superscript"/>
                <w:lang w:eastAsia="zh-CN"/>
              </w:rPr>
              <w:t>2</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lang w:eastAsia="zh-CN"/>
              </w:rPr>
              <w:t>O</w:t>
            </w:r>
            <w:r>
              <w:rPr>
                <w:rFonts w:hint="eastAsia" w:ascii="Times New Roman" w:hAnsi="Times New Roman" w:eastAsia="宋体" w:cs="Times New Roman"/>
                <w:color w:val="auto"/>
                <w:sz w:val="24"/>
                <w:lang w:eastAsia="zh-CN"/>
              </w:rPr>
              <w:t>工业处理后的生活废水可以达到</w:t>
            </w:r>
            <w:r>
              <w:rPr>
                <w:rFonts w:ascii="Times New Roman" w:hAnsi="Times New Roman" w:eastAsia="宋体" w:cs="Times New Roman"/>
                <w:color w:val="auto"/>
                <w:sz w:val="24"/>
                <w:lang w:eastAsia="zh-CN"/>
              </w:rPr>
              <w:t>《城市污水再生利用 城市杂用水水质》（GB/T</w:t>
            </w:r>
            <w:r>
              <w:rPr>
                <w:rFonts w:hint="eastAsia" w:cs="Times New Roman"/>
                <w:color w:val="auto"/>
                <w:sz w:val="24"/>
                <w:lang w:val="en-US" w:eastAsia="zh-CN"/>
              </w:rPr>
              <w:t xml:space="preserve"> </w:t>
            </w:r>
            <w:r>
              <w:rPr>
                <w:rFonts w:ascii="Times New Roman" w:hAnsi="Times New Roman" w:eastAsia="宋体" w:cs="Times New Roman"/>
                <w:color w:val="auto"/>
                <w:sz w:val="24"/>
                <w:lang w:eastAsia="zh-CN"/>
              </w:rPr>
              <w:t>18920-2020）中城市绿化、道路清扫、消防、建筑施工的标准</w:t>
            </w:r>
            <w:r>
              <w:rPr>
                <w:rFonts w:hint="eastAsia" w:ascii="Times New Roman" w:hAnsi="Times New Roman" w:eastAsia="宋体" w:cs="Times New Roman"/>
                <w:color w:val="auto"/>
                <w:sz w:val="24"/>
                <w:lang w:eastAsia="zh-CN"/>
              </w:rPr>
              <w:t>，因此生活废水回用于厂区降尘及绿化用水可行。</w:t>
            </w:r>
          </w:p>
          <w:p w14:paraId="27A4BB05">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四、噪声</w:t>
            </w:r>
          </w:p>
          <w:p w14:paraId="75A77E51">
            <w:pPr>
              <w:pStyle w:val="30"/>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4.1噪声源强</w:t>
            </w:r>
          </w:p>
          <w:p w14:paraId="35A5CF8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项目噪声源主要为装载机、</w:t>
            </w:r>
            <w:r>
              <w:rPr>
                <w:rFonts w:hint="eastAsia" w:ascii="Times New Roman" w:hAnsi="Times New Roman" w:eastAsia="宋体" w:cs="Times New Roman"/>
                <w:color w:val="auto"/>
                <w:sz w:val="24"/>
                <w:szCs w:val="24"/>
                <w:lang w:eastAsia="zh-CN"/>
              </w:rPr>
              <w:t>密闭皮带</w:t>
            </w:r>
            <w:r>
              <w:rPr>
                <w:rFonts w:ascii="Times New Roman" w:hAnsi="Times New Roman" w:eastAsia="宋体" w:cs="Times New Roman"/>
                <w:color w:val="auto"/>
                <w:sz w:val="24"/>
                <w:szCs w:val="24"/>
                <w:lang w:eastAsia="zh-CN"/>
              </w:rPr>
              <w:t>、双轴混料搅拌机</w:t>
            </w:r>
            <w:r>
              <w:rPr>
                <w:rFonts w:hint="eastAsia" w:ascii="Times New Roman" w:hAnsi="Times New Roman" w:eastAsia="宋体" w:cs="Times New Roman"/>
                <w:color w:val="auto"/>
                <w:sz w:val="24"/>
                <w:szCs w:val="24"/>
                <w:lang w:eastAsia="zh-CN"/>
              </w:rPr>
              <w:t>、布袋除尘器的</w:t>
            </w:r>
            <w:r>
              <w:rPr>
                <w:rFonts w:ascii="Times New Roman" w:hAnsi="Times New Roman" w:eastAsia="宋体" w:cs="Times New Roman"/>
                <w:color w:val="auto"/>
                <w:sz w:val="24"/>
                <w:szCs w:val="24"/>
                <w:lang w:eastAsia="zh-CN"/>
              </w:rPr>
              <w:t>设备噪声</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设备均安装</w:t>
            </w:r>
            <w:r>
              <w:rPr>
                <w:rFonts w:hint="eastAsia" w:ascii="Times New Roman" w:hAnsi="Times New Roman" w:eastAsia="宋体" w:cs="Times New Roman"/>
                <w:color w:val="auto"/>
                <w:sz w:val="24"/>
                <w:szCs w:val="24"/>
                <w:lang w:eastAsia="zh-CN"/>
              </w:rPr>
              <w:t>于</w:t>
            </w:r>
            <w:r>
              <w:rPr>
                <w:rFonts w:ascii="Times New Roman" w:hAnsi="Times New Roman" w:eastAsia="宋体" w:cs="Times New Roman"/>
                <w:color w:val="auto"/>
                <w:sz w:val="24"/>
                <w:szCs w:val="24"/>
                <w:lang w:eastAsia="zh-CN"/>
              </w:rPr>
              <w:t>厂房内。</w:t>
            </w:r>
            <w:r>
              <w:rPr>
                <w:rFonts w:hint="eastAsia" w:ascii="Times New Roman" w:hAnsi="Times New Roman" w:eastAsia="宋体" w:cs="Times New Roman"/>
                <w:color w:val="auto"/>
                <w:sz w:val="24"/>
                <w:szCs w:val="24"/>
                <w:lang w:eastAsia="zh-CN"/>
              </w:rPr>
              <w:t>本项目夜间不运行。</w:t>
            </w:r>
          </w:p>
          <w:p w14:paraId="3518443E">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bidi="ar"/>
              </w:rPr>
              <w:t>项目设备噪声源强在75</w:t>
            </w:r>
            <w:r>
              <w:rPr>
                <w:rFonts w:ascii="Times New Roman" w:hAnsi="Times New Roman" w:eastAsia="宋体" w:cs="Times New Roman"/>
                <w:color w:val="auto"/>
                <w:sz w:val="24"/>
                <w:szCs w:val="24"/>
                <w:lang w:eastAsia="zh-CN" w:bidi="ar"/>
              </w:rPr>
              <w:t>~</w:t>
            </w:r>
            <w:r>
              <w:rPr>
                <w:rFonts w:hint="eastAsia" w:ascii="Times New Roman" w:hAnsi="Times New Roman" w:eastAsia="宋体" w:cs="Times New Roman"/>
                <w:color w:val="auto"/>
                <w:sz w:val="24"/>
                <w:szCs w:val="24"/>
                <w:lang w:eastAsia="zh-CN" w:bidi="ar"/>
              </w:rPr>
              <w:t>85</w:t>
            </w:r>
            <w:r>
              <w:rPr>
                <w:rFonts w:ascii="Times New Roman" w:hAnsi="Times New Roman" w:eastAsia="宋体" w:cs="Times New Roman"/>
                <w:color w:val="auto"/>
                <w:sz w:val="24"/>
                <w:szCs w:val="24"/>
                <w:lang w:eastAsia="zh-CN" w:bidi="ar"/>
              </w:rPr>
              <w:t>dB</w:t>
            </w:r>
            <w:r>
              <w:rPr>
                <w:rFonts w:hint="eastAsia" w:ascii="Times New Roman" w:hAnsi="Times New Roman" w:eastAsia="宋体" w:cs="Times New Roman"/>
                <w:color w:val="auto"/>
                <w:sz w:val="24"/>
                <w:szCs w:val="24"/>
                <w:lang w:eastAsia="zh-CN" w:bidi="ar"/>
              </w:rPr>
              <w:t>（</w:t>
            </w:r>
            <w:r>
              <w:rPr>
                <w:rFonts w:ascii="Times New Roman" w:hAnsi="Times New Roman" w:eastAsia="宋体" w:cs="Times New Roman"/>
                <w:color w:val="auto"/>
                <w:sz w:val="24"/>
                <w:szCs w:val="24"/>
                <w:lang w:eastAsia="zh-CN" w:bidi="ar"/>
              </w:rPr>
              <w:t>A</w:t>
            </w:r>
            <w:r>
              <w:rPr>
                <w:rFonts w:hint="eastAsia" w:ascii="Times New Roman" w:hAnsi="Times New Roman" w:eastAsia="宋体" w:cs="Times New Roman"/>
                <w:color w:val="auto"/>
                <w:sz w:val="24"/>
                <w:szCs w:val="24"/>
                <w:lang w:eastAsia="zh-CN" w:bidi="ar"/>
              </w:rPr>
              <w:t>）之间。</w:t>
            </w:r>
            <w:r>
              <w:rPr>
                <w:rFonts w:hint="eastAsia" w:cs="Times New Roman"/>
                <w:color w:val="auto"/>
                <w:sz w:val="24"/>
                <w:szCs w:val="24"/>
                <w:lang w:val="en-US" w:eastAsia="zh-CN" w:bidi="ar"/>
              </w:rPr>
              <w:t>由于密闭皮带均在路基材料生产线上，相互距离较近，因此预测时叠加等效为一个声源，单个密闭皮带噪声源强取70</w:t>
            </w:r>
            <w:r>
              <w:rPr>
                <w:rFonts w:ascii="Times New Roman" w:hAnsi="Times New Roman" w:eastAsia="宋体" w:cs="Times New Roman"/>
                <w:color w:val="auto"/>
                <w:sz w:val="24"/>
                <w:szCs w:val="24"/>
                <w:lang w:eastAsia="zh-CN" w:bidi="ar"/>
              </w:rPr>
              <w:t>dB</w:t>
            </w:r>
            <w:r>
              <w:rPr>
                <w:rFonts w:hint="eastAsia" w:ascii="Times New Roman" w:hAnsi="Times New Roman" w:eastAsia="宋体" w:cs="Times New Roman"/>
                <w:color w:val="auto"/>
                <w:sz w:val="24"/>
                <w:szCs w:val="24"/>
                <w:lang w:eastAsia="zh-CN" w:bidi="ar"/>
              </w:rPr>
              <w:t>（</w:t>
            </w:r>
            <w:r>
              <w:rPr>
                <w:rFonts w:ascii="Times New Roman" w:hAnsi="Times New Roman" w:eastAsia="宋体" w:cs="Times New Roman"/>
                <w:color w:val="auto"/>
                <w:sz w:val="24"/>
                <w:szCs w:val="24"/>
                <w:lang w:eastAsia="zh-CN" w:bidi="ar"/>
              </w:rPr>
              <w:t>A</w:t>
            </w:r>
            <w:r>
              <w:rPr>
                <w:rFonts w:hint="eastAsia" w:ascii="Times New Roman" w:hAnsi="Times New Roman" w:eastAsia="宋体" w:cs="Times New Roman"/>
                <w:color w:val="auto"/>
                <w:sz w:val="24"/>
                <w:szCs w:val="24"/>
                <w:lang w:eastAsia="zh-CN" w:bidi="ar"/>
              </w:rPr>
              <w:t>），</w:t>
            </w:r>
            <w:r>
              <w:rPr>
                <w:rFonts w:hint="eastAsia" w:ascii="Times New Roman" w:hAnsi="Times New Roman" w:eastAsia="宋体" w:cs="Times New Roman"/>
                <w:color w:val="auto"/>
                <w:sz w:val="24"/>
                <w:szCs w:val="24"/>
                <w:lang w:val="en-US" w:eastAsia="zh-CN" w:bidi="ar"/>
              </w:rPr>
              <w:t>叠加后取</w:t>
            </w:r>
            <w:r>
              <w:rPr>
                <w:rFonts w:hint="eastAsia" w:cs="Times New Roman"/>
                <w:color w:val="auto"/>
                <w:sz w:val="24"/>
                <w:szCs w:val="24"/>
                <w:lang w:val="en-US" w:eastAsia="zh-CN" w:bidi="ar"/>
              </w:rPr>
              <w:t>75</w:t>
            </w:r>
            <w:r>
              <w:rPr>
                <w:rFonts w:ascii="Times New Roman" w:hAnsi="Times New Roman" w:eastAsia="宋体" w:cs="Times New Roman"/>
                <w:color w:val="auto"/>
                <w:sz w:val="24"/>
                <w:szCs w:val="24"/>
                <w:lang w:eastAsia="zh-CN" w:bidi="ar"/>
              </w:rPr>
              <w:t>dB</w:t>
            </w:r>
            <w:r>
              <w:rPr>
                <w:rFonts w:hint="eastAsia" w:ascii="Times New Roman" w:hAnsi="Times New Roman" w:eastAsia="宋体" w:cs="Times New Roman"/>
                <w:color w:val="auto"/>
                <w:sz w:val="24"/>
                <w:szCs w:val="24"/>
                <w:lang w:eastAsia="zh-CN" w:bidi="ar"/>
              </w:rPr>
              <w:t>（</w:t>
            </w:r>
            <w:r>
              <w:rPr>
                <w:rFonts w:ascii="Times New Roman" w:hAnsi="Times New Roman" w:eastAsia="宋体" w:cs="Times New Roman"/>
                <w:color w:val="auto"/>
                <w:sz w:val="24"/>
                <w:szCs w:val="24"/>
                <w:lang w:eastAsia="zh-CN" w:bidi="ar"/>
              </w:rPr>
              <w:t>A</w:t>
            </w:r>
            <w:r>
              <w:rPr>
                <w:rFonts w:hint="eastAsia" w:ascii="Times New Roman" w:hAnsi="Times New Roman" w:eastAsia="宋体" w:cs="Times New Roman"/>
                <w:color w:val="auto"/>
                <w:sz w:val="24"/>
                <w:szCs w:val="24"/>
                <w:lang w:eastAsia="zh-CN" w:bidi="ar"/>
              </w:rPr>
              <w:t>）。</w:t>
            </w:r>
            <w:r>
              <w:rPr>
                <w:rFonts w:hint="eastAsia" w:ascii="Times New Roman" w:hAnsi="Times New Roman" w:eastAsia="宋体" w:cs="Times New Roman"/>
                <w:color w:val="auto"/>
                <w:sz w:val="24"/>
              </w:rPr>
              <w:t>主要噪声源见</w:t>
            </w:r>
            <w:r>
              <w:rPr>
                <w:rFonts w:hint="eastAsia" w:ascii="Times New Roman" w:hAnsi="Times New Roman" w:eastAsia="宋体" w:cs="Times New Roman"/>
                <w:color w:val="auto"/>
                <w:sz w:val="24"/>
                <w:lang w:eastAsia="zh-CN"/>
              </w:rPr>
              <w:t>下</w:t>
            </w:r>
            <w:r>
              <w:rPr>
                <w:rFonts w:hint="eastAsia" w:ascii="Times New Roman" w:hAnsi="Times New Roman" w:eastAsia="宋体" w:cs="Times New Roman"/>
                <w:color w:val="auto"/>
                <w:sz w:val="24"/>
              </w:rPr>
              <w:t>表</w:t>
            </w:r>
            <w:r>
              <w:rPr>
                <w:rFonts w:hint="eastAsia" w:ascii="Times New Roman" w:hAnsi="Times New Roman" w:eastAsia="宋体" w:cs="Times New Roman"/>
                <w:color w:val="auto"/>
                <w:sz w:val="24"/>
                <w:szCs w:val="24"/>
                <w:lang w:eastAsia="zh-CN"/>
              </w:rPr>
              <w:t>。</w:t>
            </w:r>
          </w:p>
          <w:p w14:paraId="7EFEC733">
            <w:pPr>
              <w:kinsoku/>
              <w:overflowPunct w:val="0"/>
              <w:autoSpaceDE/>
              <w:autoSpaceDN/>
              <w:adjustRightInd/>
              <w:snapToGrid/>
              <w:spacing w:line="46" w:lineRule="auto"/>
              <w:rPr>
                <w:rFonts w:ascii="Times New Roman" w:hAnsi="Times New Roman" w:eastAsia="宋体" w:cs="Times New Roman"/>
                <w:color w:val="auto"/>
                <w:sz w:val="2"/>
              </w:rPr>
            </w:pPr>
          </w:p>
        </w:tc>
      </w:tr>
    </w:tbl>
    <w:p w14:paraId="4B0F5E02">
      <w:pPr>
        <w:rPr>
          <w:rFonts w:ascii="Times New Roman" w:hAnsi="Times New Roman" w:eastAsia="宋体" w:cs="Times New Roman"/>
          <w:color w:val="auto"/>
        </w:rPr>
      </w:pPr>
    </w:p>
    <w:p w14:paraId="132647B4">
      <w:pPr>
        <w:rPr>
          <w:rFonts w:ascii="Times New Roman" w:hAnsi="Times New Roman" w:eastAsia="宋体" w:cs="Times New Roman"/>
          <w:color w:val="auto"/>
        </w:rPr>
        <w:sectPr>
          <w:footerReference r:id="rId8" w:type="default"/>
          <w:pgSz w:w="11907" w:h="16840"/>
          <w:pgMar w:top="1440" w:right="1800" w:bottom="1440" w:left="1800" w:header="0" w:footer="852" w:gutter="0"/>
          <w:cols w:space="720" w:num="1"/>
        </w:sect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4"/>
        <w:gridCol w:w="14123"/>
      </w:tblGrid>
      <w:tr w14:paraId="3A0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4" w:type="dxa"/>
            <w:vAlign w:val="center"/>
          </w:tcPr>
          <w:p w14:paraId="49F62004">
            <w:pPr>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auto"/>
                <w:lang w:eastAsia="zh-CN"/>
              </w:rPr>
            </w:pPr>
            <w:r>
              <w:rPr>
                <w:rFonts w:ascii="Times New Roman" w:hAnsi="Times New Roman" w:eastAsia="宋体" w:cs="Times New Roman"/>
                <w:bCs/>
                <w:color w:val="auto"/>
                <w:sz w:val="24"/>
                <w:szCs w:val="24"/>
                <w:lang w:eastAsia="zh-CN"/>
              </w:rPr>
              <w:t>运营期环境影响和保护措施</w:t>
            </w:r>
          </w:p>
        </w:tc>
        <w:tc>
          <w:tcPr>
            <w:tcW w:w="14123" w:type="dxa"/>
          </w:tcPr>
          <w:p w14:paraId="023705BC">
            <w:pPr>
              <w:widowControl w:val="0"/>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w:t>
            </w:r>
            <w:r>
              <w:rPr>
                <w:rFonts w:hint="eastAsia" w:ascii="Times New Roman" w:hAnsi="Times New Roman" w:eastAsia="宋体" w:cs="Times New Roman"/>
                <w:b/>
                <w:bCs/>
                <w:color w:val="auto"/>
                <w:sz w:val="24"/>
                <w:lang w:eastAsia="zh-CN"/>
              </w:rPr>
              <w:t>4-11</w:t>
            </w:r>
            <w:r>
              <w:rPr>
                <w:rFonts w:ascii="Times New Roman" w:hAnsi="Times New Roman" w:eastAsia="宋体" w:cs="Times New Roman"/>
                <w:b/>
                <w:bCs/>
                <w:color w:val="auto"/>
                <w:sz w:val="24"/>
                <w:lang w:eastAsia="zh-CN"/>
              </w:rPr>
              <w:t xml:space="preserve"> </w:t>
            </w:r>
            <w:r>
              <w:rPr>
                <w:rFonts w:hint="eastAsia" w:ascii="Times New Roman" w:hAnsi="Times New Roman" w:eastAsia="宋体" w:cs="Times New Roman"/>
                <w:b/>
                <w:bCs/>
                <w:color w:val="auto"/>
                <w:sz w:val="24"/>
                <w:lang w:eastAsia="zh-CN"/>
              </w:rPr>
              <w:t xml:space="preserve"> </w:t>
            </w:r>
            <w:r>
              <w:rPr>
                <w:rFonts w:ascii="Times New Roman" w:hAnsi="Times New Roman" w:eastAsia="宋体" w:cs="Times New Roman"/>
                <w:b/>
                <w:bCs/>
                <w:color w:val="auto"/>
                <w:sz w:val="24"/>
                <w:lang w:eastAsia="zh-CN"/>
              </w:rPr>
              <w:t>项目主要噪声源强调查清单</w:t>
            </w:r>
            <w:r>
              <w:rPr>
                <w:rFonts w:hint="eastAsia" w:ascii="Times New Roman" w:hAnsi="Times New Roman" w:eastAsia="宋体" w:cs="Times New Roman"/>
                <w:b/>
                <w:bCs/>
                <w:color w:val="auto"/>
                <w:sz w:val="24"/>
                <w:lang w:eastAsia="zh-CN"/>
              </w:rPr>
              <w:t>（室内声源）</w:t>
            </w:r>
            <w:r>
              <w:rPr>
                <w:rFonts w:ascii="Times New Roman" w:hAnsi="Times New Roman" w:eastAsia="宋体" w:cs="Times New Roman"/>
                <w:b/>
                <w:bCs/>
                <w:color w:val="auto"/>
                <w:sz w:val="24"/>
                <w:lang w:eastAsia="zh-CN"/>
              </w:rPr>
              <w:t xml:space="preserve">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397"/>
              <w:gridCol w:w="1234"/>
              <w:gridCol w:w="664"/>
              <w:gridCol w:w="831"/>
              <w:gridCol w:w="484"/>
              <w:gridCol w:w="484"/>
              <w:gridCol w:w="514"/>
              <w:gridCol w:w="420"/>
              <w:gridCol w:w="420"/>
              <w:gridCol w:w="420"/>
              <w:gridCol w:w="461"/>
              <w:gridCol w:w="420"/>
              <w:gridCol w:w="420"/>
              <w:gridCol w:w="420"/>
              <w:gridCol w:w="614"/>
              <w:gridCol w:w="559"/>
              <w:gridCol w:w="459"/>
              <w:gridCol w:w="459"/>
              <w:gridCol w:w="459"/>
              <w:gridCol w:w="536"/>
              <w:gridCol w:w="420"/>
              <w:gridCol w:w="425"/>
              <w:gridCol w:w="425"/>
              <w:gridCol w:w="425"/>
              <w:gridCol w:w="1095"/>
            </w:tblGrid>
            <w:tr w14:paraId="49E6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exact"/>
                <w:jc w:val="center"/>
              </w:trPr>
              <w:tc>
                <w:tcPr>
                  <w:tcW w:w="155" w:type="pct"/>
                  <w:vMerge w:val="restart"/>
                  <w:tcBorders>
                    <w:top w:val="single" w:color="auto" w:sz="4" w:space="0"/>
                    <w:left w:val="single" w:color="auto" w:sz="4" w:space="0"/>
                    <w:bottom w:val="single" w:color="auto" w:sz="4" w:space="0"/>
                    <w:right w:val="single" w:color="auto" w:sz="4" w:space="0"/>
                  </w:tcBorders>
                  <w:vAlign w:val="center"/>
                </w:tcPr>
                <w:p w14:paraId="13E3AD54">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序号</w:t>
                  </w:r>
                </w:p>
              </w:tc>
              <w:tc>
                <w:tcPr>
                  <w:tcW w:w="142" w:type="pct"/>
                  <w:vMerge w:val="restart"/>
                  <w:tcBorders>
                    <w:top w:val="single" w:color="auto" w:sz="4" w:space="0"/>
                    <w:left w:val="single" w:color="auto" w:sz="4" w:space="0"/>
                    <w:bottom w:val="single" w:color="auto" w:sz="4" w:space="0"/>
                    <w:right w:val="single" w:color="auto" w:sz="4" w:space="0"/>
                  </w:tcBorders>
                  <w:vAlign w:val="center"/>
                </w:tcPr>
                <w:p w14:paraId="207D338E">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建筑物名称</w:t>
                  </w:r>
                </w:p>
              </w:tc>
              <w:tc>
                <w:tcPr>
                  <w:tcW w:w="443" w:type="pct"/>
                  <w:vMerge w:val="restart"/>
                  <w:tcBorders>
                    <w:top w:val="single" w:color="auto" w:sz="4" w:space="0"/>
                    <w:left w:val="single" w:color="auto" w:sz="4" w:space="0"/>
                    <w:bottom w:val="single" w:color="auto" w:sz="4" w:space="0"/>
                    <w:right w:val="single" w:color="auto" w:sz="4" w:space="0"/>
                  </w:tcBorders>
                  <w:vAlign w:val="center"/>
                </w:tcPr>
                <w:p w14:paraId="7E2F965D">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声源名称</w:t>
                  </w:r>
                </w:p>
              </w:tc>
              <w:tc>
                <w:tcPr>
                  <w:tcW w:w="238" w:type="pct"/>
                  <w:tcBorders>
                    <w:top w:val="single" w:color="auto" w:sz="4" w:space="0"/>
                    <w:left w:val="single" w:color="auto" w:sz="4" w:space="0"/>
                    <w:bottom w:val="single" w:color="auto" w:sz="4" w:space="0"/>
                    <w:right w:val="single" w:color="auto" w:sz="4" w:space="0"/>
                  </w:tcBorders>
                  <w:vAlign w:val="center"/>
                </w:tcPr>
                <w:p w14:paraId="02A86E71">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lang w:bidi="ar"/>
                    </w:rPr>
                    <w:t>声源</w:t>
                  </w:r>
                  <w:r>
                    <w:rPr>
                      <w:rFonts w:hint="eastAsia" w:ascii="Times New Roman" w:hAnsi="Times New Roman" w:eastAsia="宋体" w:cs="Times New Roman"/>
                      <w:b/>
                      <w:color w:val="auto"/>
                      <w:sz w:val="18"/>
                      <w:szCs w:val="18"/>
                    </w:rPr>
                    <w:t>源强</w:t>
                  </w:r>
                </w:p>
              </w:tc>
              <w:tc>
                <w:tcPr>
                  <w:tcW w:w="298" w:type="pct"/>
                  <w:vMerge w:val="restart"/>
                  <w:tcBorders>
                    <w:top w:val="single" w:color="auto" w:sz="4" w:space="0"/>
                    <w:left w:val="single" w:color="auto" w:sz="4" w:space="0"/>
                    <w:bottom w:val="single" w:color="auto" w:sz="4" w:space="0"/>
                    <w:right w:val="single" w:color="auto" w:sz="4" w:space="0"/>
                  </w:tcBorders>
                  <w:vAlign w:val="center"/>
                </w:tcPr>
                <w:p w14:paraId="12A193E2">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声源控制措施</w:t>
                  </w:r>
                </w:p>
              </w:tc>
              <w:tc>
                <w:tcPr>
                  <w:tcW w:w="533" w:type="pct"/>
                  <w:gridSpan w:val="3"/>
                  <w:tcBorders>
                    <w:top w:val="single" w:color="auto" w:sz="4" w:space="0"/>
                    <w:left w:val="single" w:color="auto" w:sz="4" w:space="0"/>
                    <w:bottom w:val="single" w:color="auto" w:sz="4" w:space="0"/>
                    <w:right w:val="single" w:color="auto" w:sz="4" w:space="0"/>
                  </w:tcBorders>
                  <w:vAlign w:val="center"/>
                </w:tcPr>
                <w:p w14:paraId="5BB30CBC">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空间相对位置</w:t>
                  </w:r>
                  <w:r>
                    <w:rPr>
                      <w:rFonts w:ascii="Times New Roman" w:hAnsi="Times New Roman" w:eastAsia="宋体" w:cs="Times New Roman"/>
                      <w:b/>
                      <w:color w:val="auto"/>
                      <w:sz w:val="18"/>
                      <w:szCs w:val="18"/>
                    </w:rPr>
                    <w:t>/m</w:t>
                  </w:r>
                </w:p>
              </w:tc>
              <w:tc>
                <w:tcPr>
                  <w:tcW w:w="619" w:type="pct"/>
                  <w:gridSpan w:val="4"/>
                  <w:tcBorders>
                    <w:top w:val="single" w:color="auto" w:sz="4" w:space="0"/>
                    <w:left w:val="single" w:color="auto" w:sz="4" w:space="0"/>
                    <w:bottom w:val="single" w:color="auto" w:sz="4" w:space="0"/>
                    <w:right w:val="single" w:color="auto" w:sz="4" w:space="0"/>
                  </w:tcBorders>
                  <w:vAlign w:val="center"/>
                </w:tcPr>
                <w:p w14:paraId="7EFC6BA6">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距室内边界距离</w:t>
                  </w:r>
                  <w:r>
                    <w:rPr>
                      <w:rFonts w:ascii="Times New Roman" w:hAnsi="Times New Roman" w:eastAsia="宋体" w:cs="Times New Roman"/>
                      <w:b/>
                      <w:color w:val="auto"/>
                      <w:sz w:val="18"/>
                      <w:szCs w:val="18"/>
                    </w:rPr>
                    <w:t>/m</w:t>
                  </w:r>
                </w:p>
              </w:tc>
              <w:tc>
                <w:tcPr>
                  <w:tcW w:w="674" w:type="pct"/>
                  <w:gridSpan w:val="4"/>
                  <w:tcBorders>
                    <w:top w:val="single" w:color="auto" w:sz="4" w:space="0"/>
                    <w:left w:val="single" w:color="auto" w:sz="4" w:space="0"/>
                    <w:bottom w:val="single" w:color="auto" w:sz="4" w:space="0"/>
                    <w:right w:val="single" w:color="auto" w:sz="4" w:space="0"/>
                  </w:tcBorders>
                  <w:vAlign w:val="center"/>
                </w:tcPr>
                <w:p w14:paraId="34BAB9F7">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室内边界声级</w:t>
                  </w:r>
                  <w:r>
                    <w:rPr>
                      <w:rFonts w:ascii="Times New Roman" w:hAnsi="Times New Roman" w:eastAsia="宋体" w:cs="Times New Roman"/>
                      <w:b/>
                      <w:color w:val="auto"/>
                      <w:sz w:val="18"/>
                      <w:szCs w:val="18"/>
                    </w:rPr>
                    <w:t>/dB(A)</w:t>
                  </w:r>
                </w:p>
              </w:tc>
              <w:tc>
                <w:tcPr>
                  <w:tcW w:w="201" w:type="pct"/>
                  <w:vMerge w:val="restart"/>
                  <w:tcBorders>
                    <w:top w:val="single" w:color="auto" w:sz="4" w:space="0"/>
                    <w:left w:val="single" w:color="auto" w:sz="4" w:space="0"/>
                    <w:bottom w:val="single" w:color="auto" w:sz="4" w:space="0"/>
                    <w:right w:val="single" w:color="auto" w:sz="4" w:space="0"/>
                  </w:tcBorders>
                  <w:vAlign w:val="center"/>
                </w:tcPr>
                <w:p w14:paraId="7A7CF98A">
                  <w:pPr>
                    <w:jc w:val="center"/>
                    <w:rPr>
                      <w:rFonts w:ascii="Times New Roman" w:hAnsi="Times New Roman" w:eastAsia="宋体" w:cs="Times New Roman"/>
                      <w:color w:val="auto"/>
                      <w:sz w:val="18"/>
                      <w:szCs w:val="18"/>
                    </w:rPr>
                  </w:pPr>
                  <w:r>
                    <w:rPr>
                      <w:rFonts w:hint="eastAsia" w:ascii="Times New Roman" w:hAnsi="Times New Roman" w:eastAsia="宋体" w:cs="Times New Roman"/>
                      <w:b/>
                      <w:color w:val="auto"/>
                      <w:sz w:val="18"/>
                      <w:szCs w:val="18"/>
                    </w:rPr>
                    <w:t>运行时段</w:t>
                  </w:r>
                </w:p>
              </w:tc>
              <w:tc>
                <w:tcPr>
                  <w:tcW w:w="688" w:type="pct"/>
                  <w:gridSpan w:val="4"/>
                  <w:tcBorders>
                    <w:top w:val="single" w:color="auto" w:sz="4" w:space="0"/>
                    <w:left w:val="single" w:color="auto" w:sz="4" w:space="0"/>
                    <w:bottom w:val="single" w:color="auto" w:sz="4" w:space="0"/>
                    <w:right w:val="single" w:color="auto" w:sz="4" w:space="0"/>
                  </w:tcBorders>
                  <w:vAlign w:val="center"/>
                </w:tcPr>
                <w:p w14:paraId="277E27E8">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建筑物插入损失</w:t>
                  </w:r>
                  <w:r>
                    <w:rPr>
                      <w:rFonts w:ascii="Times New Roman" w:hAnsi="Times New Roman" w:eastAsia="宋体" w:cs="Times New Roman"/>
                      <w:b/>
                      <w:color w:val="auto"/>
                      <w:sz w:val="18"/>
                      <w:szCs w:val="18"/>
                    </w:rPr>
                    <w:t xml:space="preserve"> / dB(A)</w:t>
                  </w:r>
                </w:p>
              </w:tc>
              <w:tc>
                <w:tcPr>
                  <w:tcW w:w="1003" w:type="pct"/>
                  <w:gridSpan w:val="5"/>
                  <w:tcBorders>
                    <w:top w:val="single" w:color="auto" w:sz="4" w:space="0"/>
                    <w:left w:val="single" w:color="auto" w:sz="4" w:space="0"/>
                    <w:bottom w:val="single" w:color="auto" w:sz="4" w:space="0"/>
                    <w:right w:val="single" w:color="auto" w:sz="4" w:space="0"/>
                  </w:tcBorders>
                  <w:vAlign w:val="center"/>
                </w:tcPr>
                <w:p w14:paraId="2DCDC407">
                  <w:pPr>
                    <w:jc w:val="center"/>
                    <w:rPr>
                      <w:rFonts w:ascii="Times New Roman" w:hAnsi="Times New Roman" w:eastAsia="宋体" w:cs="Times New Roman"/>
                      <w:b/>
                      <w:color w:val="auto"/>
                      <w:sz w:val="18"/>
                      <w:szCs w:val="18"/>
                    </w:rPr>
                  </w:pPr>
                  <w:r>
                    <w:rPr>
                      <w:rFonts w:hint="eastAsia" w:ascii="Times New Roman" w:hAnsi="Times New Roman" w:eastAsia="宋体" w:cs="Times New Roman"/>
                      <w:b/>
                      <w:color w:val="auto"/>
                      <w:sz w:val="18"/>
                      <w:szCs w:val="18"/>
                    </w:rPr>
                    <w:t>建筑物外噪声声压级</w:t>
                  </w:r>
                  <w:r>
                    <w:rPr>
                      <w:rFonts w:ascii="Times New Roman" w:hAnsi="Times New Roman" w:eastAsia="宋体" w:cs="Times New Roman"/>
                      <w:b/>
                      <w:color w:val="auto"/>
                      <w:sz w:val="18"/>
                      <w:szCs w:val="18"/>
                    </w:rPr>
                    <w:t>/dB(A)</w:t>
                  </w:r>
                </w:p>
              </w:tc>
            </w:tr>
            <w:tr w14:paraId="6B66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vMerge w:val="continue"/>
                  <w:tcBorders>
                    <w:top w:val="single" w:color="auto" w:sz="4" w:space="0"/>
                    <w:left w:val="single" w:color="auto" w:sz="4" w:space="0"/>
                    <w:bottom w:val="single" w:color="auto" w:sz="4" w:space="0"/>
                    <w:right w:val="single" w:color="auto" w:sz="4" w:space="0"/>
                  </w:tcBorders>
                  <w:vAlign w:val="center"/>
                </w:tcPr>
                <w:p w14:paraId="185038A7">
                  <w:pPr>
                    <w:jc w:val="center"/>
                    <w:rPr>
                      <w:rFonts w:ascii="Times New Roman" w:hAnsi="Times New Roman" w:eastAsia="宋体" w:cs="Times New Roman"/>
                      <w:color w:val="auto"/>
                      <w:sz w:val="18"/>
                      <w:szCs w:val="18"/>
                    </w:rPr>
                  </w:pPr>
                </w:p>
              </w:tc>
              <w:tc>
                <w:tcPr>
                  <w:tcW w:w="142" w:type="pct"/>
                  <w:vMerge w:val="continue"/>
                  <w:tcBorders>
                    <w:top w:val="single" w:color="auto" w:sz="4" w:space="0"/>
                    <w:left w:val="single" w:color="auto" w:sz="4" w:space="0"/>
                    <w:bottom w:val="single" w:color="auto" w:sz="4" w:space="0"/>
                    <w:right w:val="single" w:color="auto" w:sz="4" w:space="0"/>
                  </w:tcBorders>
                  <w:vAlign w:val="center"/>
                </w:tcPr>
                <w:p w14:paraId="589A136B">
                  <w:pPr>
                    <w:jc w:val="center"/>
                    <w:rPr>
                      <w:rFonts w:ascii="Times New Roman" w:hAnsi="Times New Roman" w:eastAsia="宋体" w:cs="Times New Roman"/>
                      <w:color w:val="auto"/>
                      <w:sz w:val="18"/>
                      <w:szCs w:val="18"/>
                    </w:rPr>
                  </w:pPr>
                </w:p>
              </w:tc>
              <w:tc>
                <w:tcPr>
                  <w:tcW w:w="443" w:type="pct"/>
                  <w:vMerge w:val="continue"/>
                  <w:tcBorders>
                    <w:top w:val="single" w:color="auto" w:sz="4" w:space="0"/>
                    <w:left w:val="single" w:color="auto" w:sz="4" w:space="0"/>
                    <w:bottom w:val="single" w:color="auto" w:sz="4" w:space="0"/>
                    <w:right w:val="single" w:color="auto" w:sz="4" w:space="0"/>
                  </w:tcBorders>
                  <w:vAlign w:val="center"/>
                </w:tcPr>
                <w:p w14:paraId="29E7C4EB">
                  <w:pPr>
                    <w:jc w:val="center"/>
                    <w:rPr>
                      <w:rFonts w:ascii="Times New Roman" w:hAnsi="Times New Roman" w:eastAsia="宋体" w:cs="Times New Roman"/>
                      <w:color w:val="auto"/>
                      <w:sz w:val="18"/>
                      <w:szCs w:val="18"/>
                    </w:rPr>
                  </w:pPr>
                </w:p>
              </w:tc>
              <w:tc>
                <w:tcPr>
                  <w:tcW w:w="238"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7A2511">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声功率级</w:t>
                  </w:r>
                  <w:r>
                    <w:rPr>
                      <w:rFonts w:ascii="Times New Roman" w:hAnsi="Times New Roman" w:eastAsia="宋体" w:cs="Times New Roman"/>
                      <w:b/>
                      <w:bCs/>
                      <w:color w:val="auto"/>
                      <w:sz w:val="18"/>
                      <w:szCs w:val="18"/>
                    </w:rPr>
                    <w:t>/dB(A)</w:t>
                  </w:r>
                </w:p>
              </w:tc>
              <w:tc>
                <w:tcPr>
                  <w:tcW w:w="298" w:type="pct"/>
                  <w:vMerge w:val="continue"/>
                  <w:tcBorders>
                    <w:top w:val="single" w:color="auto" w:sz="4" w:space="0"/>
                    <w:left w:val="single" w:color="auto" w:sz="4" w:space="0"/>
                    <w:bottom w:val="single" w:color="auto" w:sz="4" w:space="0"/>
                    <w:right w:val="single" w:color="auto" w:sz="4" w:space="0"/>
                  </w:tcBorders>
                  <w:vAlign w:val="center"/>
                </w:tcPr>
                <w:p w14:paraId="57ECD1C5">
                  <w:pPr>
                    <w:jc w:val="center"/>
                    <w:rPr>
                      <w:rFonts w:ascii="Times New Roman" w:hAnsi="Times New Roman" w:eastAsia="宋体" w:cs="Times New Roman"/>
                      <w:color w:val="auto"/>
                      <w:sz w:val="18"/>
                      <w:szCs w:val="18"/>
                    </w:rPr>
                  </w:pP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384F2E">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X</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2425EAC">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Y</w:t>
                  </w:r>
                </w:p>
              </w:tc>
              <w:tc>
                <w:tcPr>
                  <w:tcW w:w="18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736A07D">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Z</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5B79123">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E47A843">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0EBCD2">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66EC41E">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266883E">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2858817">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7C2C4D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220"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605D72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201" w:type="pct"/>
                  <w:vMerge w:val="continue"/>
                  <w:tcBorders>
                    <w:top w:val="single" w:color="auto" w:sz="4" w:space="0"/>
                    <w:left w:val="single" w:color="auto" w:sz="4" w:space="0"/>
                    <w:bottom w:val="single" w:color="auto" w:sz="4" w:space="0"/>
                    <w:right w:val="single" w:color="auto" w:sz="4" w:space="0"/>
                  </w:tcBorders>
                  <w:vAlign w:val="center"/>
                </w:tcPr>
                <w:p w14:paraId="191AC5DD">
                  <w:pPr>
                    <w:jc w:val="center"/>
                    <w:rPr>
                      <w:rFonts w:ascii="Times New Roman" w:hAnsi="Times New Roman" w:eastAsia="宋体" w:cs="Times New Roman"/>
                      <w:color w:val="auto"/>
                      <w:sz w:val="18"/>
                      <w:szCs w:val="18"/>
                    </w:rPr>
                  </w:pP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255D98">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844D7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D9B8486">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9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237E36B">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51C5870">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东</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B798EFD">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南</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16F52A2">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西</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6C1D8B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北</w:t>
                  </w:r>
                </w:p>
              </w:tc>
              <w:tc>
                <w:tcPr>
                  <w:tcW w:w="3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5A37904">
                  <w:pPr>
                    <w:jc w:val="center"/>
                    <w:rPr>
                      <w:rFonts w:ascii="Times New Roman" w:hAnsi="Times New Roman" w:eastAsia="宋体" w:cs="Times New Roman"/>
                      <w:b/>
                      <w:bCs/>
                      <w:color w:val="auto"/>
                      <w:sz w:val="18"/>
                      <w:szCs w:val="18"/>
                    </w:rPr>
                  </w:pPr>
                  <w:r>
                    <w:rPr>
                      <w:rFonts w:hint="eastAsia" w:ascii="Times New Roman" w:hAnsi="Times New Roman" w:eastAsia="宋体" w:cs="Times New Roman"/>
                      <w:b/>
                      <w:bCs/>
                      <w:color w:val="auto"/>
                      <w:sz w:val="18"/>
                      <w:szCs w:val="18"/>
                    </w:rPr>
                    <w:t>建筑物外距离</w:t>
                  </w:r>
                </w:p>
              </w:tc>
            </w:tr>
            <w:tr w14:paraId="1A7F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BAEA82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42" w:type="pct"/>
                  <w:vMerge w:val="restart"/>
                  <w:tcBorders>
                    <w:top w:val="single" w:color="auto" w:sz="4" w:space="0"/>
                    <w:left w:val="single" w:color="auto" w:sz="4" w:space="0"/>
                    <w:right w:val="single" w:color="auto" w:sz="4" w:space="0"/>
                  </w:tcBorders>
                  <w:tcMar>
                    <w:left w:w="0" w:type="dxa"/>
                    <w:right w:w="0" w:type="dxa"/>
                  </w:tcMar>
                  <w:vAlign w:val="center"/>
                </w:tcPr>
                <w:p w14:paraId="06750B94">
                  <w:pPr>
                    <w:pStyle w:val="27"/>
                    <w:adjustRightInd/>
                    <w:spacing w:before="31" w:after="31" w:line="276" w:lineRule="auto"/>
                    <w:jc w:val="center"/>
                    <w:rPr>
                      <w:rFonts w:ascii="Times New Roman" w:hAnsi="Times New Roman" w:eastAsia="宋体" w:cs="Times New Roman"/>
                      <w:color w:val="auto"/>
                      <w:kern w:val="2"/>
                      <w:sz w:val="18"/>
                      <w:szCs w:val="18"/>
                    </w:rPr>
                  </w:pPr>
                  <w:r>
                    <w:rPr>
                      <w:rFonts w:hint="eastAsia" w:ascii="Times New Roman" w:hAnsi="Times New Roman" w:eastAsia="宋体" w:cs="Times New Roman"/>
                      <w:color w:val="auto"/>
                      <w:kern w:val="2"/>
                      <w:sz w:val="18"/>
                      <w:szCs w:val="18"/>
                    </w:rPr>
                    <w:t>生产厂房</w:t>
                  </w:r>
                </w:p>
              </w:tc>
              <w:tc>
                <w:tcPr>
                  <w:tcW w:w="44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49DD78">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1#装载机</w:t>
                  </w:r>
                </w:p>
              </w:tc>
              <w:tc>
                <w:tcPr>
                  <w:tcW w:w="238"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C220FB">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color w:val="auto"/>
                      <w:sz w:val="20"/>
                      <w:lang w:eastAsia="zh-CN"/>
                    </w:rPr>
                    <w:t>85</w:t>
                  </w:r>
                </w:p>
              </w:tc>
              <w:tc>
                <w:tcPr>
                  <w:tcW w:w="298" w:type="pct"/>
                  <w:vMerge w:val="restart"/>
                  <w:tcBorders>
                    <w:top w:val="single" w:color="auto" w:sz="4" w:space="0"/>
                    <w:left w:val="single" w:color="auto" w:sz="4" w:space="0"/>
                    <w:right w:val="single" w:color="auto" w:sz="4" w:space="0"/>
                  </w:tcBorders>
                  <w:tcMar>
                    <w:left w:w="0" w:type="dxa"/>
                    <w:right w:w="0" w:type="dxa"/>
                  </w:tcMar>
                  <w:vAlign w:val="center"/>
                </w:tcPr>
                <w:p w14:paraId="59781599">
                  <w:pPr>
                    <w:jc w:val="center"/>
                    <w:rPr>
                      <w:rFonts w:ascii="Times New Roman" w:hAnsi="Times New Roman" w:eastAsia="宋体" w:cs="Times New Roman"/>
                      <w:color w:val="auto"/>
                      <w:sz w:val="18"/>
                      <w:szCs w:val="18"/>
                      <w:lang w:eastAsia="zh-CN"/>
                    </w:rPr>
                  </w:pPr>
                  <w:r>
                    <w:rPr>
                      <w:rFonts w:ascii="Times New Roman" w:hAnsi="Times New Roman" w:eastAsia="宋体" w:cs="Times New Roman"/>
                      <w:bCs/>
                      <w:color w:val="auto"/>
                      <w:sz w:val="18"/>
                      <w:szCs w:val="18"/>
                      <w:lang w:eastAsia="zh-CN"/>
                    </w:rPr>
                    <w:t>合理布置、设置减振基础、建筑物隔挡</w:t>
                  </w:r>
                  <w:r>
                    <w:rPr>
                      <w:rFonts w:hint="eastAsia" w:ascii="Times New Roman" w:hAnsi="Times New Roman" w:eastAsia="宋体" w:cs="Times New Roman"/>
                      <w:bCs/>
                      <w:color w:val="auto"/>
                      <w:sz w:val="18"/>
                      <w:szCs w:val="18"/>
                      <w:lang w:eastAsia="zh-CN"/>
                    </w:rPr>
                    <w:t>、绿化吸收</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E1754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9.1</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A5E32A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32.7</w:t>
                  </w:r>
                </w:p>
              </w:tc>
              <w:tc>
                <w:tcPr>
                  <w:tcW w:w="18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ACA6B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278485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47.8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B7B8A4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42.0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D74451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64.0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08C77C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14.8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7DAD1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09674D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70C8A3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66.7</w:t>
                  </w:r>
                </w:p>
              </w:tc>
              <w:tc>
                <w:tcPr>
                  <w:tcW w:w="220"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71EFF0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20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B29847C">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2CC489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097D8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121987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9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E38AD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4532B8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B8F14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30DA6C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50.7</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DC42D0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3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9FF8436">
                  <w:pPr>
                    <w:jc w:val="center"/>
                    <w:rPr>
                      <w:rFonts w:ascii="Times New Roman" w:hAnsi="Times New Roman" w:eastAsia="宋体" w:cs="Times New Roman"/>
                      <w:bCs/>
                      <w:color w:val="auto"/>
                    </w:rPr>
                  </w:pPr>
                  <w:r>
                    <w:rPr>
                      <w:rFonts w:ascii="Times New Roman" w:hAnsi="Times New Roman" w:eastAsia="宋体" w:cs="Times New Roman"/>
                      <w:color w:val="auto"/>
                    </w:rPr>
                    <w:t>1</w:t>
                  </w:r>
                </w:p>
              </w:tc>
            </w:tr>
            <w:tr w14:paraId="4C76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DDE9770">
                  <w:pPr>
                    <w:jc w:val="center"/>
                    <w:rPr>
                      <w:rFonts w:ascii="Times New Roman" w:hAnsi="Times New Roman" w:eastAsia="宋体" w:cs="Times New Roman"/>
                      <w:color w:val="auto"/>
                      <w:sz w:val="18"/>
                      <w:szCs w:val="18"/>
                    </w:rPr>
                  </w:pPr>
                  <w:r>
                    <w:rPr>
                      <w:rFonts w:hint="eastAsia" w:cs="Times New Roman"/>
                      <w:color w:val="auto"/>
                      <w:sz w:val="18"/>
                      <w:szCs w:val="18"/>
                      <w:lang w:val="en-US" w:eastAsia="zh-CN"/>
                    </w:rPr>
                    <w:t>2</w:t>
                  </w:r>
                </w:p>
              </w:tc>
              <w:tc>
                <w:tcPr>
                  <w:tcW w:w="142" w:type="pct"/>
                  <w:vMerge w:val="continue"/>
                  <w:tcBorders>
                    <w:left w:val="single" w:color="auto" w:sz="4" w:space="0"/>
                    <w:right w:val="single" w:color="auto" w:sz="4" w:space="0"/>
                  </w:tcBorders>
                  <w:tcMar>
                    <w:left w:w="0" w:type="dxa"/>
                    <w:right w:w="0" w:type="dxa"/>
                  </w:tcMar>
                  <w:vAlign w:val="center"/>
                </w:tcPr>
                <w:p w14:paraId="6F646FF6">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F57E8BC">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密闭皮带</w:t>
                  </w:r>
                  <w:r>
                    <w:rPr>
                      <w:rFonts w:hint="eastAsia" w:cs="Times New Roman"/>
                      <w:bCs/>
                      <w:color w:val="auto"/>
                      <w:sz w:val="18"/>
                      <w:szCs w:val="18"/>
                      <w:lang w:eastAsia="zh-CN"/>
                    </w:rPr>
                    <w:t>（</w:t>
                  </w:r>
                  <w:r>
                    <w:rPr>
                      <w:rFonts w:hint="eastAsia" w:cs="Times New Roman"/>
                      <w:bCs/>
                      <w:color w:val="auto"/>
                      <w:sz w:val="18"/>
                      <w:szCs w:val="18"/>
                      <w:lang w:val="en-US" w:eastAsia="zh-CN"/>
                    </w:rPr>
                    <w:t>等效叠加</w:t>
                  </w:r>
                  <w:r>
                    <w:rPr>
                      <w:rFonts w:hint="eastAsia" w:cs="Times New Roman"/>
                      <w:bCs/>
                      <w:color w:val="auto"/>
                      <w:sz w:val="18"/>
                      <w:szCs w:val="18"/>
                      <w:lang w:eastAsia="zh-CN"/>
                    </w:rPr>
                    <w:t>）</w:t>
                  </w:r>
                </w:p>
              </w:tc>
              <w:tc>
                <w:tcPr>
                  <w:tcW w:w="238"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A88527A">
                  <w:pPr>
                    <w:jc w:val="center"/>
                    <w:rPr>
                      <w:rFonts w:ascii="Times New Roman" w:hAnsi="Times New Roman" w:eastAsia="宋体" w:cs="Times New Roman"/>
                      <w:bCs/>
                      <w:color w:val="auto"/>
                      <w:sz w:val="18"/>
                      <w:szCs w:val="18"/>
                      <w:lang w:eastAsia="zh-CN"/>
                    </w:rPr>
                  </w:pPr>
                  <w:r>
                    <w:rPr>
                      <w:rFonts w:hint="eastAsia" w:cs="Times New Roman"/>
                      <w:color w:val="auto"/>
                      <w:sz w:val="20"/>
                      <w:lang w:val="en-US" w:eastAsia="zh-CN"/>
                    </w:rPr>
                    <w:t>7</w:t>
                  </w:r>
                  <w:r>
                    <w:rPr>
                      <w:rFonts w:hint="eastAsia" w:ascii="Times New Roman" w:hAnsi="Times New Roman" w:eastAsia="宋体" w:cs="Times New Roman"/>
                      <w:color w:val="auto"/>
                      <w:sz w:val="20"/>
                      <w:lang w:eastAsia="zh-CN"/>
                    </w:rPr>
                    <w:t>5</w:t>
                  </w:r>
                </w:p>
              </w:tc>
              <w:tc>
                <w:tcPr>
                  <w:tcW w:w="298" w:type="pct"/>
                  <w:vMerge w:val="continue"/>
                  <w:tcBorders>
                    <w:left w:val="single" w:color="auto" w:sz="4" w:space="0"/>
                    <w:right w:val="single" w:color="auto" w:sz="4" w:space="0"/>
                  </w:tcBorders>
                  <w:tcMar>
                    <w:left w:w="0" w:type="dxa"/>
                    <w:right w:w="0" w:type="dxa"/>
                  </w:tcMar>
                  <w:vAlign w:val="center"/>
                </w:tcPr>
                <w:p w14:paraId="5AD11EE2">
                  <w:pPr>
                    <w:jc w:val="center"/>
                    <w:rPr>
                      <w:rFonts w:ascii="Times New Roman" w:hAnsi="Times New Roman" w:eastAsia="宋体" w:cs="Times New Roman"/>
                      <w:bCs/>
                      <w:color w:val="auto"/>
                      <w:sz w:val="18"/>
                      <w:szCs w:val="18"/>
                    </w:rPr>
                  </w:pP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39ABB0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-27.8</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205460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0.2</w:t>
                  </w:r>
                </w:p>
              </w:tc>
              <w:tc>
                <w:tcPr>
                  <w:tcW w:w="18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F5CF9A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E327FB">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94.8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181B9A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33.7</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8BB091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16.8</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597D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29.7</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622C59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56.7</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F0300D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143B01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220"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C72B7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56.8</w:t>
                  </w:r>
                </w:p>
              </w:tc>
              <w:tc>
                <w:tcPr>
                  <w:tcW w:w="20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FDC18AE">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9AB7C8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2D49B5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158F63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9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CEB1F2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31726A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40.7</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A33F51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64F6F5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06E541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40.8</w:t>
                  </w:r>
                </w:p>
              </w:tc>
              <w:tc>
                <w:tcPr>
                  <w:tcW w:w="3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39CABC8">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71058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749F2C6">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142" w:type="pct"/>
                  <w:vMerge w:val="continue"/>
                  <w:tcBorders>
                    <w:left w:val="single" w:color="auto" w:sz="4" w:space="0"/>
                    <w:right w:val="single" w:color="auto" w:sz="4" w:space="0"/>
                  </w:tcBorders>
                  <w:tcMar>
                    <w:left w:w="0" w:type="dxa"/>
                    <w:right w:w="0" w:type="dxa"/>
                  </w:tcMar>
                  <w:vAlign w:val="center"/>
                </w:tcPr>
                <w:p w14:paraId="3AF35638">
                  <w:pPr>
                    <w:pStyle w:val="27"/>
                    <w:adjustRightInd/>
                    <w:spacing w:before="31" w:after="31" w:line="276" w:lineRule="auto"/>
                    <w:jc w:val="center"/>
                    <w:rPr>
                      <w:rFonts w:ascii="Times New Roman" w:hAnsi="Times New Roman" w:eastAsia="宋体" w:cs="Times New Roman"/>
                      <w:color w:val="auto"/>
                      <w:kern w:val="2"/>
                      <w:sz w:val="18"/>
                      <w:szCs w:val="18"/>
                    </w:rPr>
                  </w:pPr>
                </w:p>
              </w:tc>
              <w:tc>
                <w:tcPr>
                  <w:tcW w:w="44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1ABB2D6">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混料搅拌机</w:t>
                  </w:r>
                </w:p>
              </w:tc>
              <w:tc>
                <w:tcPr>
                  <w:tcW w:w="238"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2F87D4E">
                  <w:pPr>
                    <w:jc w:val="center"/>
                    <w:rPr>
                      <w:rFonts w:ascii="Times New Roman" w:hAnsi="Times New Roman" w:eastAsia="宋体" w:cs="Times New Roman"/>
                      <w:color w:val="auto"/>
                      <w:sz w:val="20"/>
                      <w:lang w:eastAsia="zh-CN"/>
                    </w:rPr>
                  </w:pPr>
                  <w:r>
                    <w:rPr>
                      <w:rFonts w:hint="eastAsia" w:ascii="Times New Roman" w:hAnsi="Times New Roman" w:eastAsia="宋体" w:cs="Times New Roman"/>
                      <w:color w:val="auto"/>
                      <w:sz w:val="20"/>
                      <w:lang w:eastAsia="zh-CN"/>
                    </w:rPr>
                    <w:t>85</w:t>
                  </w:r>
                </w:p>
              </w:tc>
              <w:tc>
                <w:tcPr>
                  <w:tcW w:w="298" w:type="pct"/>
                  <w:vMerge w:val="continue"/>
                  <w:tcBorders>
                    <w:left w:val="single" w:color="auto" w:sz="4" w:space="0"/>
                    <w:right w:val="single" w:color="auto" w:sz="4" w:space="0"/>
                  </w:tcBorders>
                  <w:tcMar>
                    <w:left w:w="0" w:type="dxa"/>
                    <w:right w:w="0" w:type="dxa"/>
                  </w:tcMar>
                  <w:vAlign w:val="center"/>
                </w:tcPr>
                <w:p w14:paraId="31EBF0B4">
                  <w:pPr>
                    <w:jc w:val="center"/>
                    <w:rPr>
                      <w:rFonts w:ascii="Times New Roman" w:hAnsi="Times New Roman" w:eastAsia="宋体" w:cs="Times New Roman"/>
                      <w:bCs/>
                      <w:color w:val="auto"/>
                      <w:sz w:val="18"/>
                      <w:szCs w:val="18"/>
                    </w:rPr>
                  </w:pP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7DFB4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-16.9</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1E0DD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-8.4</w:t>
                  </w:r>
                </w:p>
              </w:tc>
              <w:tc>
                <w:tcPr>
                  <w:tcW w:w="18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04CCC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312E4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88.5</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C881C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20.7</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626928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22.9</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0D0B8A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42.0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2480C6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66.7</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1106DF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E57461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220"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528C46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66.8</w:t>
                  </w:r>
                </w:p>
              </w:tc>
              <w:tc>
                <w:tcPr>
                  <w:tcW w:w="20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0802D040">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EFBE94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1308A27">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E30D9B3">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9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31C9892">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B15EC2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50.7</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310BF0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47E226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F98FBF">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50.8</w:t>
                  </w:r>
                </w:p>
              </w:tc>
              <w:tc>
                <w:tcPr>
                  <w:tcW w:w="3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20C682E">
                  <w:pPr>
                    <w:jc w:val="center"/>
                    <w:rPr>
                      <w:rFonts w:ascii="Times New Roman" w:hAnsi="Times New Roman" w:eastAsia="宋体" w:cs="Times New Roman"/>
                      <w:bCs/>
                      <w:color w:val="auto"/>
                    </w:rPr>
                  </w:pPr>
                  <w:r>
                    <w:rPr>
                      <w:rFonts w:ascii="Times New Roman" w:hAnsi="Times New Roman" w:eastAsia="宋体" w:cs="Times New Roman"/>
                      <w:bCs/>
                      <w:color w:val="auto"/>
                    </w:rPr>
                    <w:t>1</w:t>
                  </w:r>
                </w:p>
              </w:tc>
            </w:tr>
            <w:tr w14:paraId="1104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BE80250">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4</w:t>
                  </w:r>
                </w:p>
              </w:tc>
              <w:tc>
                <w:tcPr>
                  <w:tcW w:w="142" w:type="pct"/>
                  <w:tcBorders>
                    <w:left w:val="single" w:color="auto" w:sz="4" w:space="0"/>
                    <w:right w:val="single" w:color="auto" w:sz="4" w:space="0"/>
                  </w:tcBorders>
                  <w:tcMar>
                    <w:left w:w="0" w:type="dxa"/>
                    <w:right w:w="0" w:type="dxa"/>
                  </w:tcMar>
                  <w:vAlign w:val="center"/>
                </w:tcPr>
                <w:p w14:paraId="0EADBDDD">
                  <w:pPr>
                    <w:spacing w:line="276" w:lineRule="auto"/>
                    <w:jc w:val="center"/>
                    <w:textAlignment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2#原料堆棚</w:t>
                  </w:r>
                </w:p>
              </w:tc>
              <w:tc>
                <w:tcPr>
                  <w:tcW w:w="44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A597212">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bCs/>
                      <w:color w:val="auto"/>
                      <w:sz w:val="18"/>
                      <w:szCs w:val="18"/>
                      <w:lang w:eastAsia="zh-CN"/>
                    </w:rPr>
                    <w:t>2#装载机</w:t>
                  </w:r>
                </w:p>
              </w:tc>
              <w:tc>
                <w:tcPr>
                  <w:tcW w:w="238"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1479EB84">
                  <w:pPr>
                    <w:jc w:val="center"/>
                    <w:rPr>
                      <w:rFonts w:ascii="Times New Roman" w:hAnsi="Times New Roman" w:eastAsia="宋体" w:cs="Times New Roman"/>
                      <w:color w:val="auto"/>
                      <w:sz w:val="20"/>
                      <w:lang w:eastAsia="zh-CN"/>
                    </w:rPr>
                  </w:pPr>
                  <w:r>
                    <w:rPr>
                      <w:rFonts w:hint="eastAsia" w:ascii="Times New Roman" w:hAnsi="Times New Roman" w:eastAsia="宋体" w:cs="Times New Roman"/>
                      <w:color w:val="auto"/>
                      <w:sz w:val="20"/>
                      <w:lang w:eastAsia="zh-CN"/>
                    </w:rPr>
                    <w:t>85</w:t>
                  </w:r>
                </w:p>
              </w:tc>
              <w:tc>
                <w:tcPr>
                  <w:tcW w:w="298" w:type="pct"/>
                  <w:vMerge w:val="continue"/>
                  <w:tcBorders>
                    <w:left w:val="single" w:color="auto" w:sz="4" w:space="0"/>
                    <w:right w:val="single" w:color="auto" w:sz="4" w:space="0"/>
                  </w:tcBorders>
                  <w:tcMar>
                    <w:left w:w="0" w:type="dxa"/>
                    <w:right w:w="0" w:type="dxa"/>
                  </w:tcMar>
                  <w:vAlign w:val="center"/>
                </w:tcPr>
                <w:p w14:paraId="244CEBAA">
                  <w:pPr>
                    <w:jc w:val="center"/>
                    <w:rPr>
                      <w:rFonts w:ascii="Times New Roman" w:hAnsi="Times New Roman" w:eastAsia="宋体" w:cs="Times New Roman"/>
                      <w:color w:val="auto"/>
                      <w:sz w:val="18"/>
                      <w:szCs w:val="18"/>
                    </w:rPr>
                  </w:pP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5F9A1E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-0.6</w:t>
                  </w:r>
                </w:p>
              </w:tc>
              <w:tc>
                <w:tcPr>
                  <w:tcW w:w="17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4C46618">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-45.3</w:t>
                  </w:r>
                </w:p>
              </w:tc>
              <w:tc>
                <w:tcPr>
                  <w:tcW w:w="184"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D8D7E6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836635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20.5</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98F1152">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15.4</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0986083">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21.4</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0BB66B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12.3</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61691B">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70.8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40A01B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EF1435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220"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8B23E4C">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70.8</w:t>
                  </w:r>
                </w:p>
              </w:tc>
              <w:tc>
                <w:tcPr>
                  <w:tcW w:w="20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90CB895">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8</w:t>
                  </w:r>
                  <w:r>
                    <w:rPr>
                      <w:rFonts w:ascii="Times New Roman" w:hAnsi="Times New Roman" w:eastAsia="宋体" w:cs="Times New Roman"/>
                      <w:color w:val="auto"/>
                      <w:sz w:val="18"/>
                      <w:szCs w:val="18"/>
                    </w:rPr>
                    <w:t>.0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8121733">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910EF18">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65"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9B15764">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9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337271D8">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16.0</w:t>
                  </w:r>
                </w:p>
              </w:tc>
              <w:tc>
                <w:tcPr>
                  <w:tcW w:w="151"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8862F2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5ECADFA6">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7F2DB4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152"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2AD29220">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54.8</w:t>
                  </w:r>
                </w:p>
              </w:tc>
              <w:tc>
                <w:tcPr>
                  <w:tcW w:w="393" w:type="pct"/>
                  <w:tcBorders>
                    <w:top w:val="single" w:color="auto" w:sz="4" w:space="0"/>
                    <w:left w:val="single" w:color="auto" w:sz="4" w:space="0"/>
                    <w:bottom w:val="single" w:color="auto" w:sz="4" w:space="0"/>
                    <w:right w:val="single" w:color="auto" w:sz="4" w:space="0"/>
                  </w:tcBorders>
                  <w:tcMar>
                    <w:left w:w="0" w:type="dxa"/>
                    <w:right w:w="0" w:type="dxa"/>
                  </w:tcMar>
                  <w:vAlign w:val="center"/>
                </w:tcPr>
                <w:p w14:paraId="6B3CA7F8">
                  <w:pPr>
                    <w:jc w:val="center"/>
                    <w:rPr>
                      <w:rFonts w:ascii="Times New Roman" w:hAnsi="Times New Roman" w:eastAsia="宋体" w:cs="Times New Roman"/>
                      <w:color w:val="auto"/>
                    </w:rPr>
                  </w:pPr>
                  <w:r>
                    <w:rPr>
                      <w:rFonts w:ascii="Times New Roman" w:hAnsi="Times New Roman" w:eastAsia="宋体" w:cs="Times New Roman"/>
                      <w:color w:val="auto"/>
                    </w:rPr>
                    <w:t>1</w:t>
                  </w:r>
                </w:p>
              </w:tc>
            </w:tr>
            <w:tr w14:paraId="2F91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 w:type="pct"/>
                  <w:gridSpan w:val="2"/>
                  <w:tcBorders>
                    <w:top w:val="single" w:color="auto" w:sz="4" w:space="0"/>
                    <w:left w:val="single" w:color="auto" w:sz="4" w:space="0"/>
                    <w:bottom w:val="single" w:color="auto" w:sz="4" w:space="0"/>
                    <w:right w:val="single" w:color="auto" w:sz="4" w:space="0"/>
                  </w:tcBorders>
                  <w:tcMar>
                    <w:left w:w="0" w:type="dxa"/>
                    <w:right w:w="0" w:type="dxa"/>
                  </w:tcMar>
                  <w:vAlign w:val="center"/>
                </w:tcPr>
                <w:p w14:paraId="7F4CCF63">
                  <w:pPr>
                    <w:spacing w:line="276" w:lineRule="auto"/>
                    <w:jc w:val="center"/>
                    <w:textAlignment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rPr>
                    <w:t>备注</w:t>
                  </w:r>
                </w:p>
              </w:tc>
              <w:tc>
                <w:tcPr>
                  <w:tcW w:w="4701" w:type="pct"/>
                  <w:gridSpan w:val="24"/>
                  <w:tcBorders>
                    <w:top w:val="single" w:color="auto" w:sz="4" w:space="0"/>
                    <w:left w:val="single" w:color="auto" w:sz="4" w:space="0"/>
                    <w:bottom w:val="single" w:color="auto" w:sz="4" w:space="0"/>
                    <w:right w:val="single" w:color="auto" w:sz="4" w:space="0"/>
                  </w:tcBorders>
                  <w:tcMar>
                    <w:left w:w="0" w:type="dxa"/>
                    <w:right w:w="0" w:type="dxa"/>
                  </w:tcMar>
                  <w:vAlign w:val="center"/>
                </w:tcPr>
                <w:p w14:paraId="40BD0C64">
                  <w:pPr>
                    <w:jc w:val="center"/>
                    <w:rPr>
                      <w:rFonts w:ascii="Times New Roman" w:hAnsi="Times New Roman" w:eastAsia="宋体" w:cs="Times New Roman"/>
                      <w:bCs/>
                      <w:color w:val="auto"/>
                      <w:sz w:val="18"/>
                      <w:szCs w:val="18"/>
                      <w:lang w:eastAsia="zh-CN"/>
                    </w:rPr>
                  </w:pPr>
                  <w:r>
                    <w:rPr>
                      <w:rFonts w:hint="eastAsia" w:ascii="Times New Roman" w:hAnsi="Times New Roman" w:eastAsia="宋体" w:cs="Times New Roman"/>
                      <w:bCs/>
                      <w:color w:val="auto"/>
                      <w:sz w:val="18"/>
                      <w:szCs w:val="18"/>
                      <w:lang w:eastAsia="zh-CN"/>
                    </w:rPr>
                    <w:t>坐标原点：表中坐标以厂界中心（东经103°11′11.131″，北纬25°31′24.737″）为坐标原点，高程为2003m，正东向为X轴正方向，正北向为Y轴正方向。</w:t>
                  </w:r>
                </w:p>
              </w:tc>
            </w:tr>
          </w:tbl>
          <w:p w14:paraId="6DF407AC">
            <w:pPr>
              <w:keepNext w:val="0"/>
              <w:keepLines w:val="0"/>
              <w:pageBreakBefore w:val="0"/>
              <w:widowControl w:val="0"/>
              <w:kinsoku w:val="0"/>
              <w:wordWrap/>
              <w:overflowPunct/>
              <w:topLinePunct w:val="0"/>
              <w:autoSpaceDE w:val="0"/>
              <w:autoSpaceDN w:val="0"/>
              <w:bidi w:val="0"/>
              <w:adjustRightInd w:val="0"/>
              <w:snapToGrid w:val="0"/>
              <w:spacing w:line="240" w:lineRule="auto"/>
              <w:jc w:val="center"/>
              <w:textAlignment w:val="baseline"/>
              <w:rPr>
                <w:rFonts w:ascii="Times New Roman" w:hAnsi="Times New Roman" w:eastAsia="宋体" w:cs="Times New Roman"/>
                <w:b/>
                <w:bCs/>
                <w:color w:val="auto"/>
                <w:sz w:val="24"/>
                <w:lang w:eastAsia="zh-CN"/>
              </w:rPr>
            </w:pPr>
            <w:r>
              <w:rPr>
                <w:rFonts w:ascii="Times New Roman" w:hAnsi="Times New Roman" w:eastAsia="宋体" w:cs="Times New Roman"/>
                <w:b/>
                <w:bCs/>
                <w:color w:val="auto"/>
                <w:sz w:val="24"/>
                <w:lang w:eastAsia="zh-CN"/>
              </w:rPr>
              <w:t>表</w:t>
            </w:r>
            <w:r>
              <w:rPr>
                <w:rFonts w:hint="eastAsia" w:ascii="Times New Roman" w:hAnsi="Times New Roman" w:eastAsia="宋体" w:cs="Times New Roman"/>
                <w:b/>
                <w:bCs/>
                <w:color w:val="auto"/>
                <w:sz w:val="24"/>
                <w:lang w:eastAsia="zh-CN"/>
              </w:rPr>
              <w:t>4-12</w:t>
            </w:r>
            <w:r>
              <w:rPr>
                <w:rFonts w:ascii="Times New Roman" w:hAnsi="Times New Roman" w:eastAsia="宋体" w:cs="Times New Roman"/>
                <w:b/>
                <w:bCs/>
                <w:color w:val="auto"/>
                <w:sz w:val="24"/>
                <w:lang w:eastAsia="zh-CN"/>
              </w:rPr>
              <w:t xml:space="preserve"> </w:t>
            </w:r>
            <w:r>
              <w:rPr>
                <w:rFonts w:hint="eastAsia" w:ascii="Times New Roman" w:hAnsi="Times New Roman" w:eastAsia="宋体" w:cs="Times New Roman"/>
                <w:b/>
                <w:bCs/>
                <w:color w:val="auto"/>
                <w:sz w:val="24"/>
                <w:lang w:eastAsia="zh-CN"/>
              </w:rPr>
              <w:t xml:space="preserve"> </w:t>
            </w:r>
            <w:r>
              <w:rPr>
                <w:rFonts w:ascii="Times New Roman" w:hAnsi="Times New Roman" w:eastAsia="宋体" w:cs="Times New Roman"/>
                <w:b/>
                <w:bCs/>
                <w:color w:val="auto"/>
                <w:sz w:val="24"/>
                <w:lang w:eastAsia="zh-CN"/>
              </w:rPr>
              <w:t>项目主要噪声源强调查清单</w:t>
            </w:r>
            <w:r>
              <w:rPr>
                <w:rFonts w:hint="eastAsia" w:ascii="Times New Roman" w:hAnsi="Times New Roman" w:eastAsia="宋体" w:cs="Times New Roman"/>
                <w:b/>
                <w:bCs/>
                <w:color w:val="auto"/>
                <w:sz w:val="24"/>
                <w:lang w:eastAsia="zh-CN"/>
              </w:rPr>
              <w:t>（室外声源）</w:t>
            </w:r>
            <w:r>
              <w:rPr>
                <w:rFonts w:ascii="Times New Roman" w:hAnsi="Times New Roman" w:eastAsia="宋体" w:cs="Times New Roman"/>
                <w:b/>
                <w:bCs/>
                <w:color w:val="auto"/>
                <w:sz w:val="24"/>
                <w:lang w:eastAsia="zh-CN"/>
              </w:rPr>
              <w:t xml:space="preserve">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7"/>
              <w:gridCol w:w="1187"/>
              <w:gridCol w:w="648"/>
              <w:gridCol w:w="649"/>
              <w:gridCol w:w="488"/>
              <w:gridCol w:w="3564"/>
              <w:gridCol w:w="1359"/>
              <w:gridCol w:w="4380"/>
              <w:gridCol w:w="1005"/>
            </w:tblGrid>
            <w:tr w14:paraId="4D482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restart"/>
                  <w:vAlign w:val="center"/>
                </w:tcPr>
                <w:p w14:paraId="45D74DF1">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序号</w:t>
                  </w:r>
                </w:p>
              </w:tc>
              <w:tc>
                <w:tcPr>
                  <w:tcW w:w="1187" w:type="dxa"/>
                  <w:vMerge w:val="restart"/>
                  <w:vAlign w:val="center"/>
                </w:tcPr>
                <w:p w14:paraId="6FD5E526">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声源名称</w:t>
                  </w:r>
                </w:p>
              </w:tc>
              <w:tc>
                <w:tcPr>
                  <w:tcW w:w="1785" w:type="dxa"/>
                  <w:gridSpan w:val="3"/>
                  <w:vAlign w:val="center"/>
                </w:tcPr>
                <w:p w14:paraId="7BC4D165">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空间相对位置/m</w:t>
                  </w:r>
                </w:p>
              </w:tc>
              <w:tc>
                <w:tcPr>
                  <w:tcW w:w="4923" w:type="dxa"/>
                  <w:gridSpan w:val="2"/>
                  <w:vAlign w:val="center"/>
                </w:tcPr>
                <w:p w14:paraId="48A213CA">
                  <w:pPr>
                    <w:jc w:val="center"/>
                    <w:rPr>
                      <w:rFonts w:ascii="Times New Roman" w:hAnsi="Times New Roman" w:eastAsia="宋体" w:cs="Times New Roman"/>
                      <w:b/>
                      <w:bCs/>
                      <w:color w:val="auto"/>
                      <w:sz w:val="18"/>
                      <w:szCs w:val="18"/>
                      <w:lang w:eastAsia="zh-CN"/>
                    </w:rPr>
                  </w:pPr>
                  <w:r>
                    <w:rPr>
                      <w:rFonts w:ascii="Times New Roman" w:hAnsi="Times New Roman" w:eastAsia="宋体" w:cs="Times New Roman"/>
                      <w:b/>
                      <w:bCs/>
                      <w:color w:val="auto"/>
                      <w:sz w:val="18"/>
                      <w:szCs w:val="18"/>
                      <w:lang w:eastAsia="zh-CN"/>
                    </w:rPr>
                    <w:t>声源源强（任选一种）</w:t>
                  </w:r>
                </w:p>
              </w:tc>
              <w:tc>
                <w:tcPr>
                  <w:tcW w:w="4380" w:type="dxa"/>
                  <w:vMerge w:val="restart"/>
                  <w:vAlign w:val="center"/>
                </w:tcPr>
                <w:p w14:paraId="0CDE0F37">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声源控制措施</w:t>
                  </w:r>
                </w:p>
              </w:tc>
              <w:tc>
                <w:tcPr>
                  <w:tcW w:w="1005" w:type="dxa"/>
                  <w:vMerge w:val="restart"/>
                  <w:vAlign w:val="center"/>
                </w:tcPr>
                <w:p w14:paraId="3DFA7ADC">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运行时段</w:t>
                  </w:r>
                </w:p>
              </w:tc>
            </w:tr>
            <w:tr w14:paraId="1A61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 w:type="dxa"/>
                  <w:vMerge w:val="continue"/>
                  <w:shd w:val="clear" w:color="auto" w:fill="FFFFFF"/>
                  <w:vAlign w:val="center"/>
                </w:tcPr>
                <w:p w14:paraId="64207B0B">
                  <w:pPr>
                    <w:jc w:val="center"/>
                    <w:rPr>
                      <w:rFonts w:ascii="Times New Roman" w:hAnsi="Times New Roman" w:eastAsia="宋体" w:cs="Times New Roman"/>
                      <w:color w:val="auto"/>
                      <w:sz w:val="18"/>
                      <w:szCs w:val="18"/>
                    </w:rPr>
                  </w:pPr>
                </w:p>
              </w:tc>
              <w:tc>
                <w:tcPr>
                  <w:tcW w:w="1187" w:type="dxa"/>
                  <w:vMerge w:val="continue"/>
                  <w:shd w:val="clear" w:color="auto" w:fill="FFFFFF"/>
                  <w:vAlign w:val="center"/>
                </w:tcPr>
                <w:p w14:paraId="4D1D4683">
                  <w:pPr>
                    <w:jc w:val="center"/>
                    <w:rPr>
                      <w:rFonts w:ascii="Times New Roman" w:hAnsi="Times New Roman" w:eastAsia="宋体" w:cs="Times New Roman"/>
                      <w:color w:val="auto"/>
                      <w:sz w:val="18"/>
                      <w:szCs w:val="18"/>
                    </w:rPr>
                  </w:pPr>
                </w:p>
              </w:tc>
              <w:tc>
                <w:tcPr>
                  <w:tcW w:w="648" w:type="dxa"/>
                  <w:shd w:val="clear" w:color="auto" w:fill="FFFFFF"/>
                  <w:vAlign w:val="center"/>
                </w:tcPr>
                <w:p w14:paraId="7726F08B">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X</w:t>
                  </w:r>
                </w:p>
              </w:tc>
              <w:tc>
                <w:tcPr>
                  <w:tcW w:w="649" w:type="dxa"/>
                  <w:shd w:val="clear" w:color="auto" w:fill="FFFFFF"/>
                  <w:vAlign w:val="center"/>
                </w:tcPr>
                <w:p w14:paraId="2BE70659">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Y</w:t>
                  </w:r>
                </w:p>
              </w:tc>
              <w:tc>
                <w:tcPr>
                  <w:tcW w:w="488" w:type="dxa"/>
                  <w:shd w:val="clear" w:color="auto" w:fill="FFFFFF"/>
                  <w:vAlign w:val="center"/>
                </w:tcPr>
                <w:p w14:paraId="58EB55EE">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Z</w:t>
                  </w:r>
                </w:p>
              </w:tc>
              <w:tc>
                <w:tcPr>
                  <w:tcW w:w="3564" w:type="dxa"/>
                  <w:shd w:val="clear" w:color="auto" w:fill="FFFFFF"/>
                  <w:vAlign w:val="center"/>
                </w:tcPr>
                <w:p w14:paraId="574C5DE2">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（声压级/距声源距离）/（dB(A)/m）</w:t>
                  </w:r>
                </w:p>
              </w:tc>
              <w:tc>
                <w:tcPr>
                  <w:tcW w:w="1359" w:type="dxa"/>
                  <w:shd w:val="clear" w:color="auto" w:fill="FFFFFF"/>
                  <w:vAlign w:val="center"/>
                </w:tcPr>
                <w:p w14:paraId="27BA7973">
                  <w:pPr>
                    <w:jc w:val="center"/>
                    <w:rPr>
                      <w:rFonts w:ascii="Times New Roman" w:hAnsi="Times New Roman" w:eastAsia="宋体" w:cs="Times New Roman"/>
                      <w:b/>
                      <w:bCs/>
                      <w:color w:val="auto"/>
                      <w:sz w:val="18"/>
                      <w:szCs w:val="18"/>
                    </w:rPr>
                  </w:pPr>
                  <w:r>
                    <w:rPr>
                      <w:rFonts w:ascii="Times New Roman" w:hAnsi="Times New Roman" w:eastAsia="宋体" w:cs="Times New Roman"/>
                      <w:b/>
                      <w:bCs/>
                      <w:color w:val="auto"/>
                      <w:sz w:val="18"/>
                      <w:szCs w:val="18"/>
                    </w:rPr>
                    <w:t>声功率级/dB(A)</w:t>
                  </w:r>
                </w:p>
              </w:tc>
              <w:tc>
                <w:tcPr>
                  <w:tcW w:w="4380" w:type="dxa"/>
                  <w:vMerge w:val="continue"/>
                  <w:shd w:val="clear" w:color="auto" w:fill="FFFFFF"/>
                  <w:vAlign w:val="center"/>
                </w:tcPr>
                <w:p w14:paraId="37D1FC28">
                  <w:pPr>
                    <w:jc w:val="center"/>
                    <w:rPr>
                      <w:rFonts w:ascii="Times New Roman" w:hAnsi="Times New Roman" w:eastAsia="宋体" w:cs="Times New Roman"/>
                      <w:color w:val="auto"/>
                      <w:sz w:val="18"/>
                      <w:szCs w:val="18"/>
                    </w:rPr>
                  </w:pPr>
                </w:p>
              </w:tc>
              <w:tc>
                <w:tcPr>
                  <w:tcW w:w="1005" w:type="dxa"/>
                  <w:vMerge w:val="continue"/>
                  <w:shd w:val="clear" w:color="auto" w:fill="FFFFFF"/>
                  <w:vAlign w:val="center"/>
                </w:tcPr>
                <w:p w14:paraId="0DC35A09">
                  <w:pPr>
                    <w:jc w:val="center"/>
                    <w:rPr>
                      <w:rFonts w:ascii="Times New Roman" w:hAnsi="Times New Roman" w:eastAsia="宋体" w:cs="Times New Roman"/>
                      <w:color w:val="auto"/>
                      <w:sz w:val="18"/>
                      <w:szCs w:val="18"/>
                    </w:rPr>
                  </w:pPr>
                </w:p>
              </w:tc>
            </w:tr>
            <w:tr w14:paraId="5B831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3144698E">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w:t>
                  </w:r>
                </w:p>
              </w:tc>
              <w:tc>
                <w:tcPr>
                  <w:tcW w:w="1187" w:type="dxa"/>
                  <w:shd w:val="clear" w:color="auto" w:fill="FFFFFF"/>
                  <w:vAlign w:val="center"/>
                </w:tcPr>
                <w:p w14:paraId="28922D7A">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布袋除尘器</w:t>
                  </w:r>
                  <w:r>
                    <w:rPr>
                      <w:rFonts w:hint="eastAsia" w:ascii="Times New Roman" w:hAnsi="Times New Roman" w:eastAsia="宋体" w:cs="Times New Roman"/>
                      <w:color w:val="auto"/>
                      <w:sz w:val="18"/>
                      <w:szCs w:val="18"/>
                      <w:lang w:eastAsia="zh-CN"/>
                    </w:rPr>
                    <w:t>引风机</w:t>
                  </w:r>
                </w:p>
              </w:tc>
              <w:tc>
                <w:tcPr>
                  <w:tcW w:w="648" w:type="dxa"/>
                  <w:shd w:val="clear" w:color="auto" w:fill="FFFFFF"/>
                  <w:vAlign w:val="center"/>
                </w:tcPr>
                <w:p w14:paraId="0AE7605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-41.2</w:t>
                  </w:r>
                </w:p>
              </w:tc>
              <w:tc>
                <w:tcPr>
                  <w:tcW w:w="649" w:type="dxa"/>
                  <w:shd w:val="clear" w:color="auto" w:fill="FFFFFF"/>
                  <w:vAlign w:val="center"/>
                </w:tcPr>
                <w:p w14:paraId="696793D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-18.4</w:t>
                  </w:r>
                </w:p>
              </w:tc>
              <w:tc>
                <w:tcPr>
                  <w:tcW w:w="488" w:type="dxa"/>
                  <w:shd w:val="clear" w:color="auto" w:fill="FFFFFF"/>
                  <w:vAlign w:val="center"/>
                </w:tcPr>
                <w:p w14:paraId="45A07035">
                  <w:pPr>
                    <w:jc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2</w:t>
                  </w:r>
                </w:p>
              </w:tc>
              <w:tc>
                <w:tcPr>
                  <w:tcW w:w="3564" w:type="dxa"/>
                  <w:shd w:val="clear" w:color="auto" w:fill="FFFFFF"/>
                  <w:vAlign w:val="center"/>
                </w:tcPr>
                <w:p w14:paraId="36FD82D0">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w:t>
                  </w:r>
                </w:p>
              </w:tc>
              <w:tc>
                <w:tcPr>
                  <w:tcW w:w="1359" w:type="dxa"/>
                  <w:shd w:val="clear" w:color="auto" w:fill="FFFFFF"/>
                  <w:vAlign w:val="center"/>
                </w:tcPr>
                <w:p w14:paraId="36902C12">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90</w:t>
                  </w:r>
                </w:p>
              </w:tc>
              <w:tc>
                <w:tcPr>
                  <w:tcW w:w="4380" w:type="dxa"/>
                  <w:vMerge w:val="restart"/>
                  <w:shd w:val="clear" w:color="auto" w:fill="FFFFFF"/>
                  <w:vAlign w:val="center"/>
                </w:tcPr>
                <w:p w14:paraId="53F78574">
                  <w:pPr>
                    <w:jc w:val="center"/>
                    <w:rPr>
                      <w:rFonts w:ascii="Times New Roman" w:hAnsi="Times New Roman" w:eastAsia="宋体" w:cs="Times New Roman"/>
                      <w:color w:val="auto"/>
                      <w:sz w:val="18"/>
                      <w:szCs w:val="18"/>
                      <w:lang w:eastAsia="zh-CN"/>
                    </w:rPr>
                  </w:pPr>
                  <w:r>
                    <w:rPr>
                      <w:rFonts w:ascii="Times New Roman" w:hAnsi="Times New Roman" w:eastAsia="宋体" w:cs="Times New Roman"/>
                      <w:bCs/>
                      <w:color w:val="auto"/>
                      <w:sz w:val="18"/>
                      <w:szCs w:val="18"/>
                      <w:lang w:eastAsia="zh-CN"/>
                    </w:rPr>
                    <w:t>合理布置、设置减振基础、建筑物隔挡</w:t>
                  </w:r>
                  <w:r>
                    <w:rPr>
                      <w:rFonts w:hint="eastAsia" w:ascii="Times New Roman" w:hAnsi="Times New Roman" w:eastAsia="宋体" w:cs="Times New Roman"/>
                      <w:bCs/>
                      <w:color w:val="auto"/>
                      <w:sz w:val="18"/>
                      <w:szCs w:val="18"/>
                      <w:lang w:eastAsia="zh-CN"/>
                    </w:rPr>
                    <w:t>、绿化吸收</w:t>
                  </w:r>
                </w:p>
              </w:tc>
              <w:tc>
                <w:tcPr>
                  <w:tcW w:w="1005" w:type="dxa"/>
                  <w:shd w:val="clear" w:color="auto" w:fill="FFFFFF"/>
                  <w:vAlign w:val="center"/>
                </w:tcPr>
                <w:p w14:paraId="59C7A7F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8.0</w:t>
                  </w:r>
                </w:p>
              </w:tc>
            </w:tr>
            <w:tr w14:paraId="70193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4FE17596">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2</w:t>
                  </w:r>
                </w:p>
              </w:tc>
              <w:tc>
                <w:tcPr>
                  <w:tcW w:w="1187" w:type="dxa"/>
                  <w:shd w:val="clear" w:color="auto" w:fill="FFFFFF"/>
                  <w:vAlign w:val="center"/>
                </w:tcPr>
                <w:p w14:paraId="1768DD80">
                  <w:pPr>
                    <w:jc w:val="center"/>
                    <w:rPr>
                      <w:rFonts w:ascii="Times New Roman" w:hAnsi="Times New Roman" w:eastAsia="宋体" w:cs="Times New Roman"/>
                      <w:color w:val="auto"/>
                      <w:sz w:val="18"/>
                      <w:szCs w:val="18"/>
                      <w:lang w:eastAsia="zh-CN"/>
                    </w:rPr>
                  </w:pPr>
                  <w:r>
                    <w:rPr>
                      <w:rFonts w:ascii="Times New Roman" w:hAnsi="Times New Roman" w:eastAsia="宋体" w:cs="Times New Roman"/>
                      <w:color w:val="auto"/>
                      <w:sz w:val="18"/>
                      <w:szCs w:val="18"/>
                    </w:rPr>
                    <w:t>布袋除尘器</w:t>
                  </w:r>
                </w:p>
              </w:tc>
              <w:tc>
                <w:tcPr>
                  <w:tcW w:w="648" w:type="dxa"/>
                  <w:shd w:val="clear" w:color="auto" w:fill="FFFFFF"/>
                  <w:vAlign w:val="center"/>
                </w:tcPr>
                <w:p w14:paraId="2D06417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w:t>
                  </w:r>
                </w:p>
              </w:tc>
              <w:tc>
                <w:tcPr>
                  <w:tcW w:w="649" w:type="dxa"/>
                  <w:shd w:val="clear" w:color="auto" w:fill="FFFFFF"/>
                  <w:vAlign w:val="center"/>
                </w:tcPr>
                <w:p w14:paraId="6409E3B1">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-17.9</w:t>
                  </w:r>
                </w:p>
              </w:tc>
              <w:tc>
                <w:tcPr>
                  <w:tcW w:w="488" w:type="dxa"/>
                  <w:shd w:val="clear" w:color="auto" w:fill="FFFFFF"/>
                  <w:vAlign w:val="center"/>
                </w:tcPr>
                <w:p w14:paraId="6A70F45C">
                  <w:pPr>
                    <w:jc w:val="center"/>
                    <w:rPr>
                      <w:rFonts w:hint="eastAsia" w:ascii="Times New Roman" w:hAnsi="Times New Roman" w:eastAsia="宋体" w:cs="Times New Roman"/>
                      <w:color w:val="auto"/>
                      <w:sz w:val="18"/>
                      <w:szCs w:val="18"/>
                      <w:lang w:eastAsia="zh-CN"/>
                    </w:rPr>
                  </w:pPr>
                  <w:r>
                    <w:rPr>
                      <w:rFonts w:hint="eastAsia" w:cs="Times New Roman"/>
                      <w:color w:val="auto"/>
                      <w:sz w:val="18"/>
                      <w:szCs w:val="18"/>
                      <w:lang w:val="en-US" w:eastAsia="zh-CN"/>
                    </w:rPr>
                    <w:t>2</w:t>
                  </w:r>
                </w:p>
              </w:tc>
              <w:tc>
                <w:tcPr>
                  <w:tcW w:w="3564" w:type="dxa"/>
                  <w:shd w:val="clear" w:color="auto" w:fill="FFFFFF"/>
                  <w:vAlign w:val="center"/>
                </w:tcPr>
                <w:p w14:paraId="0A5B5F51">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w:t>
                  </w:r>
                </w:p>
              </w:tc>
              <w:tc>
                <w:tcPr>
                  <w:tcW w:w="1359" w:type="dxa"/>
                  <w:shd w:val="clear" w:color="auto" w:fill="FFFFFF"/>
                  <w:vAlign w:val="center"/>
                </w:tcPr>
                <w:p w14:paraId="6E645D7F">
                  <w:pPr>
                    <w:jc w:val="center"/>
                    <w:rPr>
                      <w:rFonts w:ascii="Times New Roman" w:hAnsi="Times New Roman" w:eastAsia="宋体" w:cs="Times New Roman"/>
                      <w:color w:val="auto"/>
                      <w:sz w:val="18"/>
                      <w:szCs w:val="18"/>
                    </w:rPr>
                  </w:pPr>
                  <w:r>
                    <w:rPr>
                      <w:rFonts w:hint="eastAsia" w:ascii="Times New Roman" w:hAnsi="Times New Roman" w:eastAsia="宋体" w:cs="Times New Roman"/>
                      <w:color w:val="auto"/>
                      <w:sz w:val="18"/>
                      <w:szCs w:val="18"/>
                      <w:lang w:eastAsia="zh-CN"/>
                    </w:rPr>
                    <w:t>7</w:t>
                  </w:r>
                  <w:r>
                    <w:rPr>
                      <w:rFonts w:ascii="Times New Roman" w:hAnsi="Times New Roman" w:eastAsia="宋体" w:cs="Times New Roman"/>
                      <w:color w:val="auto"/>
                      <w:sz w:val="18"/>
                      <w:szCs w:val="18"/>
                    </w:rPr>
                    <w:t>5</w:t>
                  </w:r>
                </w:p>
              </w:tc>
              <w:tc>
                <w:tcPr>
                  <w:tcW w:w="4380" w:type="dxa"/>
                  <w:vMerge w:val="continue"/>
                  <w:shd w:val="clear" w:color="auto" w:fill="FFFFFF"/>
                  <w:vAlign w:val="center"/>
                </w:tcPr>
                <w:p w14:paraId="1B63BE62">
                  <w:pPr>
                    <w:jc w:val="center"/>
                    <w:rPr>
                      <w:rFonts w:ascii="Times New Roman" w:hAnsi="Times New Roman" w:eastAsia="宋体" w:cs="Times New Roman"/>
                      <w:bCs/>
                      <w:color w:val="auto"/>
                      <w:sz w:val="18"/>
                      <w:szCs w:val="18"/>
                    </w:rPr>
                  </w:pPr>
                </w:p>
              </w:tc>
              <w:tc>
                <w:tcPr>
                  <w:tcW w:w="1005" w:type="dxa"/>
                  <w:shd w:val="clear" w:color="auto" w:fill="FFFFFF"/>
                  <w:vAlign w:val="center"/>
                </w:tcPr>
                <w:p w14:paraId="5C8B8925">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8.0</w:t>
                  </w:r>
                </w:p>
              </w:tc>
            </w:tr>
            <w:tr w14:paraId="46F45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48967967">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3</w:t>
                  </w:r>
                </w:p>
              </w:tc>
              <w:tc>
                <w:tcPr>
                  <w:tcW w:w="1187" w:type="dxa"/>
                  <w:shd w:val="clear" w:color="auto" w:fill="FFFFFF"/>
                  <w:vAlign w:val="center"/>
                </w:tcPr>
                <w:p w14:paraId="349A77E6">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脉冲布袋除尘器</w:t>
                  </w:r>
                </w:p>
              </w:tc>
              <w:tc>
                <w:tcPr>
                  <w:tcW w:w="648" w:type="dxa"/>
                  <w:shd w:val="clear" w:color="auto" w:fill="FFFFFF"/>
                  <w:vAlign w:val="center"/>
                </w:tcPr>
                <w:p w14:paraId="34E2DAB4">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-4.1</w:t>
                  </w:r>
                </w:p>
              </w:tc>
              <w:tc>
                <w:tcPr>
                  <w:tcW w:w="649" w:type="dxa"/>
                  <w:shd w:val="clear" w:color="auto" w:fill="FFFFFF"/>
                  <w:vAlign w:val="center"/>
                </w:tcPr>
                <w:p w14:paraId="7765394D">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12.5</w:t>
                  </w:r>
                </w:p>
              </w:tc>
              <w:tc>
                <w:tcPr>
                  <w:tcW w:w="488" w:type="dxa"/>
                  <w:shd w:val="clear" w:color="auto" w:fill="FFFFFF"/>
                  <w:vAlign w:val="center"/>
                </w:tcPr>
                <w:p w14:paraId="46806A69">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17</w:t>
                  </w:r>
                </w:p>
              </w:tc>
              <w:tc>
                <w:tcPr>
                  <w:tcW w:w="3564" w:type="dxa"/>
                  <w:shd w:val="clear" w:color="auto" w:fill="FFFFFF"/>
                  <w:vAlign w:val="center"/>
                </w:tcPr>
                <w:p w14:paraId="334C008C">
                  <w:pPr>
                    <w:jc w:val="center"/>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w:t>
                  </w:r>
                </w:p>
              </w:tc>
              <w:tc>
                <w:tcPr>
                  <w:tcW w:w="1359" w:type="dxa"/>
                  <w:shd w:val="clear" w:color="auto" w:fill="FFFFFF"/>
                  <w:vAlign w:val="center"/>
                </w:tcPr>
                <w:p w14:paraId="64E4F1B6">
                  <w:pPr>
                    <w:jc w:val="center"/>
                    <w:rPr>
                      <w:rFonts w:hint="eastAsia"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7</w:t>
                  </w:r>
                  <w:r>
                    <w:rPr>
                      <w:rFonts w:ascii="Times New Roman" w:hAnsi="Times New Roman" w:eastAsia="宋体" w:cs="Times New Roman"/>
                      <w:color w:val="auto"/>
                      <w:sz w:val="18"/>
                      <w:szCs w:val="18"/>
                    </w:rPr>
                    <w:t>5</w:t>
                  </w:r>
                </w:p>
              </w:tc>
              <w:tc>
                <w:tcPr>
                  <w:tcW w:w="4380" w:type="dxa"/>
                  <w:vMerge w:val="continue"/>
                  <w:shd w:val="clear" w:color="auto" w:fill="FFFFFF"/>
                  <w:vAlign w:val="center"/>
                </w:tcPr>
                <w:p w14:paraId="0814DFAB">
                  <w:pPr>
                    <w:jc w:val="center"/>
                    <w:rPr>
                      <w:rFonts w:ascii="Times New Roman" w:hAnsi="Times New Roman" w:eastAsia="宋体" w:cs="Times New Roman"/>
                      <w:bCs/>
                      <w:color w:val="auto"/>
                      <w:sz w:val="18"/>
                      <w:szCs w:val="18"/>
                    </w:rPr>
                  </w:pPr>
                </w:p>
              </w:tc>
              <w:tc>
                <w:tcPr>
                  <w:tcW w:w="1005" w:type="dxa"/>
                  <w:shd w:val="clear" w:color="auto" w:fill="FFFFFF"/>
                  <w:vAlign w:val="center"/>
                </w:tcPr>
                <w:p w14:paraId="5D37D307">
                  <w:pPr>
                    <w:jc w:val="center"/>
                    <w:rPr>
                      <w:rFonts w:ascii="Times New Roman" w:hAnsi="Times New Roman" w:eastAsia="宋体" w:cs="Times New Roman"/>
                      <w:color w:val="auto"/>
                      <w:sz w:val="18"/>
                      <w:szCs w:val="18"/>
                    </w:rPr>
                  </w:pPr>
                  <w:r>
                    <w:rPr>
                      <w:rFonts w:ascii="Times New Roman" w:hAnsi="Times New Roman" w:eastAsia="宋体" w:cs="Times New Roman"/>
                      <w:color w:val="auto"/>
                      <w:sz w:val="18"/>
                      <w:szCs w:val="18"/>
                    </w:rPr>
                    <w:t>8.0</w:t>
                  </w:r>
                </w:p>
              </w:tc>
            </w:tr>
            <w:tr w14:paraId="66D7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jc w:val="center"/>
              </w:trPr>
              <w:tc>
                <w:tcPr>
                  <w:tcW w:w="617" w:type="dxa"/>
                  <w:shd w:val="clear" w:color="auto" w:fill="FFFFFF"/>
                  <w:vAlign w:val="center"/>
                </w:tcPr>
                <w:p w14:paraId="1382DAC9">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color w:val="auto"/>
                      <w:sz w:val="18"/>
                      <w:szCs w:val="18"/>
                      <w:lang w:eastAsia="zh-CN"/>
                    </w:rPr>
                    <w:t>备注</w:t>
                  </w:r>
                </w:p>
              </w:tc>
              <w:tc>
                <w:tcPr>
                  <w:tcW w:w="13280" w:type="dxa"/>
                  <w:gridSpan w:val="8"/>
                  <w:shd w:val="clear" w:color="auto" w:fill="FFFFFF"/>
                  <w:vAlign w:val="center"/>
                </w:tcPr>
                <w:p w14:paraId="1E0FFFDA">
                  <w:pPr>
                    <w:jc w:val="center"/>
                    <w:rPr>
                      <w:rFonts w:ascii="Times New Roman" w:hAnsi="Times New Roman" w:eastAsia="宋体" w:cs="Times New Roman"/>
                      <w:color w:val="auto"/>
                      <w:sz w:val="18"/>
                      <w:szCs w:val="18"/>
                      <w:lang w:eastAsia="zh-CN"/>
                    </w:rPr>
                  </w:pPr>
                  <w:r>
                    <w:rPr>
                      <w:rFonts w:hint="eastAsia" w:ascii="Times New Roman" w:hAnsi="Times New Roman" w:eastAsia="宋体" w:cs="Times New Roman"/>
                      <w:bCs/>
                      <w:color w:val="auto"/>
                      <w:sz w:val="18"/>
                      <w:szCs w:val="18"/>
                      <w:lang w:eastAsia="zh-CN"/>
                    </w:rPr>
                    <w:t>坐标原点：表中坐标以厂界中心（东经103°11′11.131″，北纬25°31′24.737″）为坐标原点，高程为2003m，正东向为X轴正方向，正北向为Y轴正方向。</w:t>
                  </w:r>
                </w:p>
              </w:tc>
            </w:tr>
          </w:tbl>
          <w:p w14:paraId="2F695793">
            <w:pPr>
              <w:widowControl w:val="0"/>
              <w:adjustRightInd/>
              <w:snapToGrid/>
              <w:spacing w:line="240" w:lineRule="auto"/>
              <w:ind w:leftChars="0" w:rightChars="0"/>
              <w:rPr>
                <w:rFonts w:ascii="Times New Roman" w:hAnsi="Times New Roman" w:eastAsia="宋体" w:cs="Times New Roman"/>
                <w:color w:val="auto"/>
                <w:lang w:eastAsia="zh-CN"/>
              </w:rPr>
            </w:pPr>
          </w:p>
          <w:p w14:paraId="4C321D82">
            <w:pPr>
              <w:widowControl w:val="0"/>
              <w:adjustRightInd/>
              <w:snapToGrid/>
              <w:spacing w:line="240" w:lineRule="auto"/>
              <w:ind w:leftChars="0" w:rightChars="0"/>
              <w:rPr>
                <w:rFonts w:ascii="Times New Roman" w:hAnsi="Times New Roman" w:eastAsia="宋体" w:cs="Times New Roman"/>
                <w:color w:val="auto"/>
                <w:lang w:eastAsia="zh-CN"/>
              </w:rPr>
            </w:pPr>
          </w:p>
          <w:p w14:paraId="39A2EA81">
            <w:pPr>
              <w:widowControl w:val="0"/>
              <w:spacing w:line="480" w:lineRule="atLeast"/>
              <w:rPr>
                <w:rFonts w:ascii="Times New Roman" w:hAnsi="Times New Roman" w:eastAsia="宋体" w:cs="Times New Roman"/>
                <w:color w:val="auto"/>
                <w:lang w:eastAsia="zh-CN"/>
              </w:rPr>
            </w:pPr>
          </w:p>
        </w:tc>
      </w:tr>
    </w:tbl>
    <w:p w14:paraId="59FF1F12">
      <w:pPr>
        <w:rPr>
          <w:rFonts w:ascii="Times New Roman" w:hAnsi="Times New Roman" w:eastAsia="宋体" w:cs="Times New Roman"/>
          <w:color w:val="auto"/>
          <w:lang w:eastAsia="zh-CN"/>
        </w:rPr>
      </w:pPr>
    </w:p>
    <w:p w14:paraId="2CA738F5">
      <w:pPr>
        <w:rPr>
          <w:rFonts w:ascii="Times New Roman" w:hAnsi="Times New Roman" w:eastAsia="宋体" w:cs="Times New Roman"/>
          <w:color w:val="auto"/>
          <w:lang w:eastAsia="zh-CN"/>
        </w:rPr>
        <w:sectPr>
          <w:pgSz w:w="16840" w:h="11907" w:orient="landscape"/>
          <w:pgMar w:top="1440" w:right="1800" w:bottom="1440" w:left="1800" w:header="0" w:footer="852" w:gutter="0"/>
          <w:cols w:space="720" w:num="1"/>
        </w:sectPr>
      </w:pPr>
    </w:p>
    <w:tbl>
      <w:tblPr>
        <w:tblStyle w:val="20"/>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46"/>
      </w:tblGrid>
      <w:tr w14:paraId="140A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2" w:type="dxa"/>
            <w:vAlign w:val="center"/>
          </w:tcPr>
          <w:p w14:paraId="649018D4">
            <w:pPr>
              <w:keepNext w:val="0"/>
              <w:keepLines w:val="0"/>
              <w:pageBreakBefore w:val="0"/>
              <w:widowControl w:val="0"/>
              <w:kinsoku w:val="0"/>
              <w:wordWrap/>
              <w:overflowPunct/>
              <w:topLinePunct w:val="0"/>
              <w:autoSpaceDE w:val="0"/>
              <w:autoSpaceDN w:val="0"/>
              <w:bidi w:val="0"/>
              <w:adjustRightInd w:val="0"/>
              <w:snapToGrid w:val="0"/>
              <w:spacing w:line="240" w:lineRule="auto"/>
              <w:textAlignment w:val="baseline"/>
              <w:rPr>
                <w:rFonts w:ascii="Times New Roman" w:hAnsi="Times New Roman" w:eastAsia="宋体" w:cs="Times New Roman"/>
                <w:color w:val="auto"/>
                <w:lang w:eastAsia="zh-CN"/>
              </w:rPr>
            </w:pPr>
            <w:r>
              <w:rPr>
                <w:rFonts w:ascii="Times New Roman" w:hAnsi="Times New Roman" w:eastAsia="宋体" w:cs="Times New Roman"/>
                <w:bCs/>
                <w:color w:val="auto"/>
                <w:sz w:val="24"/>
                <w:szCs w:val="24"/>
                <w:lang w:eastAsia="zh-CN"/>
              </w:rPr>
              <w:t>运营期环境影响和保护措施</w:t>
            </w:r>
          </w:p>
        </w:tc>
        <w:tc>
          <w:tcPr>
            <w:tcW w:w="0" w:type="auto"/>
            <w:vAlign w:val="center"/>
          </w:tcPr>
          <w:p w14:paraId="07156937">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4.2噪声预测</w:t>
            </w:r>
          </w:p>
          <w:p w14:paraId="5B72218B">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根据《环境影响评价技术导则</w:t>
            </w:r>
            <w:r>
              <w:rPr>
                <w:rFonts w:ascii="Times New Roman" w:hAnsi="Times New Roman" w:eastAsia="宋体" w:cs="Times New Roman"/>
                <w:bCs/>
                <w:color w:val="auto"/>
                <w:sz w:val="24"/>
                <w:lang w:eastAsia="zh-CN" w:bidi="ar"/>
              </w:rPr>
              <w:t xml:space="preserve"> </w:t>
            </w:r>
            <w:r>
              <w:rPr>
                <w:rFonts w:hint="eastAsia" w:ascii="Times New Roman" w:hAnsi="Times New Roman" w:eastAsia="宋体" w:cs="Times New Roman"/>
                <w:bCs/>
                <w:color w:val="auto"/>
                <w:sz w:val="24"/>
                <w:lang w:eastAsia="zh-CN" w:bidi="ar"/>
              </w:rPr>
              <w:t>声环境》（</w:t>
            </w:r>
            <w:r>
              <w:rPr>
                <w:rFonts w:ascii="Times New Roman" w:hAnsi="Times New Roman" w:eastAsia="宋体" w:cs="Times New Roman"/>
                <w:bCs/>
                <w:color w:val="auto"/>
                <w:sz w:val="24"/>
                <w:lang w:eastAsia="zh-CN" w:bidi="ar"/>
              </w:rPr>
              <w:t>HJ2.4-2021</w:t>
            </w:r>
            <w:r>
              <w:rPr>
                <w:rFonts w:hint="eastAsia" w:ascii="Times New Roman" w:hAnsi="Times New Roman" w:eastAsia="宋体" w:cs="Times New Roman"/>
                <w:bCs/>
                <w:color w:val="auto"/>
                <w:sz w:val="24"/>
                <w:lang w:eastAsia="zh-CN" w:bidi="ar"/>
              </w:rPr>
              <w:t>）中附录</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中方法进行预测。</w:t>
            </w:r>
          </w:p>
          <w:p w14:paraId="447DC509">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①声环境影响预测模式</w:t>
            </w:r>
          </w:p>
          <w:p w14:paraId="27FCC78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根据声源声功率级处的声压级，计算预测点的声级，公式如下：</w:t>
            </w:r>
          </w:p>
          <w:p w14:paraId="278071E6">
            <w:pPr>
              <w:widowControl/>
              <w:kinsoku/>
              <w:overflowPunct w:val="0"/>
              <w:autoSpaceDE/>
              <w:autoSpaceDN/>
              <w:adjustRightInd/>
              <w:snapToGrid/>
              <w:spacing w:line="360" w:lineRule="auto"/>
              <w:jc w:val="center"/>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L</w:t>
            </w:r>
            <w:r>
              <w:rPr>
                <w:rFonts w:ascii="Times New Roman" w:hAnsi="Times New Roman" w:eastAsia="宋体" w:cs="Times New Roman"/>
                <w:bCs/>
                <w:color w:val="auto"/>
                <w:sz w:val="24"/>
                <w:vertAlign w:val="subscript"/>
                <w:lang w:bidi="ar"/>
              </w:rPr>
              <w:t>p</w:t>
            </w:r>
            <w:r>
              <w:rPr>
                <w:rFonts w:ascii="Times New Roman" w:hAnsi="Times New Roman" w:eastAsia="宋体" w:cs="Times New Roman"/>
                <w:bCs/>
                <w:color w:val="auto"/>
                <w:sz w:val="24"/>
                <w:lang w:bidi="ar"/>
              </w:rPr>
              <w:t>(r)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L</w:t>
            </w:r>
            <w:r>
              <w:rPr>
                <w:rFonts w:ascii="Times New Roman" w:hAnsi="Times New Roman" w:eastAsia="宋体" w:cs="Times New Roman"/>
                <w:bCs/>
                <w:color w:val="auto"/>
                <w:sz w:val="24"/>
                <w:vertAlign w:val="subscript"/>
                <w:lang w:bidi="ar"/>
              </w:rPr>
              <w:t>w</w:t>
            </w:r>
            <w:r>
              <w:rPr>
                <w:rFonts w:ascii="Times New Roman" w:hAnsi="Times New Roman" w:eastAsia="宋体" w:cs="Times New Roman"/>
                <w:bCs/>
                <w:color w:val="auto"/>
                <w:sz w:val="24"/>
                <w:lang w:bidi="ar"/>
              </w:rPr>
              <w:t>+D</w:t>
            </w:r>
            <w:r>
              <w:rPr>
                <w:rFonts w:ascii="Times New Roman" w:hAnsi="Times New Roman" w:eastAsia="宋体" w:cs="Times New Roman"/>
                <w:bCs/>
                <w:color w:val="auto"/>
                <w:sz w:val="24"/>
                <w:vertAlign w:val="subscript"/>
                <w:lang w:bidi="ar"/>
              </w:rPr>
              <w:t>C</w:t>
            </w:r>
            <w:r>
              <w:rPr>
                <w:rFonts w:hint="eastAsia" w:ascii="Times New Roman" w:hAnsi="Times New Roman" w:eastAsia="宋体" w:cs="Times New Roman"/>
                <w:bCs/>
                <w:color w:val="auto"/>
                <w:sz w:val="24"/>
                <w:lang w:eastAsia="zh-CN"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div</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atm</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gr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bar</w:t>
            </w:r>
            <w:r>
              <w:rPr>
                <w:rFonts w:hint="eastAsia" w:ascii="Times New Roman" w:hAnsi="Times New Roman" w:eastAsia="宋体" w:cs="Times New Roman"/>
                <w:bCs/>
                <w:color w:val="auto"/>
                <w:sz w:val="24"/>
                <w:lang w:bidi="ar"/>
              </w:rPr>
              <w:t>+</w:t>
            </w: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misc</w:t>
            </w:r>
            <w:r>
              <w:rPr>
                <w:rFonts w:hint="eastAsia" w:ascii="Times New Roman" w:hAnsi="Times New Roman" w:eastAsia="宋体" w:cs="Times New Roman"/>
                <w:bCs/>
                <w:color w:val="auto"/>
                <w:sz w:val="24"/>
                <w:lang w:eastAsia="zh-CN" w:bidi="ar"/>
              </w:rPr>
              <w:t>)</w:t>
            </w:r>
          </w:p>
          <w:p w14:paraId="059E39D5">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p</w:t>
            </w:r>
            <w:r>
              <w:rPr>
                <w:rFonts w:ascii="Times New Roman" w:hAnsi="Times New Roman" w:eastAsia="宋体" w:cs="Times New Roman"/>
                <w:bCs/>
                <w:color w:val="auto"/>
                <w:sz w:val="24"/>
                <w:lang w:eastAsia="zh-CN" w:bidi="ar"/>
              </w:rPr>
              <w:t>(r)——</w:t>
            </w:r>
            <w:r>
              <w:rPr>
                <w:rFonts w:hint="eastAsia" w:ascii="Times New Roman" w:hAnsi="Times New Roman" w:eastAsia="宋体" w:cs="Times New Roman"/>
                <w:bCs/>
                <w:color w:val="auto"/>
                <w:sz w:val="24"/>
                <w:lang w:eastAsia="zh-CN" w:bidi="ar"/>
              </w:rPr>
              <w:t>预测点处声压级，</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221D597A">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w</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由点声源产生的声功率级（</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计权或倍频带），</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5AFE6088">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D</w:t>
            </w:r>
            <w:r>
              <w:rPr>
                <w:rFonts w:ascii="Times New Roman" w:hAnsi="Times New Roman" w:eastAsia="宋体" w:cs="Times New Roman"/>
                <w:bCs/>
                <w:color w:val="auto"/>
                <w:sz w:val="24"/>
                <w:vertAlign w:val="subscript"/>
                <w:lang w:eastAsia="zh-CN" w:bidi="ar"/>
              </w:rPr>
              <w:t>C</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指向性校正，点声源的等效连续声压级与产生声功率级；</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w</w:t>
            </w:r>
            <w:r>
              <w:rPr>
                <w:rFonts w:hint="eastAsia" w:ascii="Times New Roman" w:hAnsi="Times New Roman" w:eastAsia="宋体" w:cs="Times New Roman"/>
                <w:bCs/>
                <w:color w:val="auto"/>
                <w:sz w:val="24"/>
                <w:lang w:eastAsia="zh-CN" w:bidi="ar"/>
              </w:rPr>
              <w:t>的全向点声源在规定方向的声级的偏差程度，</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6BCA189F">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div</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几何发散引起的衰减，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431F7616">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atm</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大气吸收引起的衰减，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2901FA3E">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gr</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地面效应引起的衰减，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4BE9E49B">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rPr>
            </w:pPr>
            <w:r>
              <w:rPr>
                <w:rFonts w:ascii="Times New Roman" w:hAnsi="Times New Roman" w:eastAsia="宋体" w:cs="Times New Roman"/>
                <w:bCs/>
                <w:color w:val="auto"/>
                <w:sz w:val="24"/>
                <w:lang w:bidi="ar"/>
              </w:rPr>
              <w:t>A</w:t>
            </w:r>
            <w:r>
              <w:rPr>
                <w:rFonts w:ascii="Times New Roman" w:hAnsi="Times New Roman" w:eastAsia="宋体" w:cs="Times New Roman"/>
                <w:bCs/>
                <w:color w:val="auto"/>
                <w:sz w:val="24"/>
                <w:vertAlign w:val="subscript"/>
                <w:lang w:bidi="ar"/>
              </w:rPr>
              <w:t>bar</w:t>
            </w:r>
            <w:r>
              <w:rPr>
                <w:rFonts w:ascii="Times New Roman" w:hAnsi="Times New Roman" w:eastAsia="宋体" w:cs="Times New Roman"/>
                <w:bCs/>
                <w:color w:val="auto"/>
                <w:sz w:val="24"/>
                <w:lang w:bidi="ar"/>
              </w:rPr>
              <w:t>——</w:t>
            </w:r>
            <w:r>
              <w:rPr>
                <w:rFonts w:hint="eastAsia" w:ascii="Times New Roman" w:hAnsi="Times New Roman" w:eastAsia="宋体" w:cs="Times New Roman"/>
                <w:bCs/>
                <w:color w:val="auto"/>
                <w:sz w:val="24"/>
                <w:lang w:bidi="ar"/>
              </w:rPr>
              <w:t>障碍物屏蔽引起的衰减，</w:t>
            </w:r>
            <w:r>
              <w:rPr>
                <w:rFonts w:ascii="Times New Roman" w:hAnsi="Times New Roman" w:eastAsia="宋体" w:cs="Times New Roman"/>
                <w:bCs/>
                <w:color w:val="auto"/>
                <w:sz w:val="24"/>
                <w:lang w:bidi="ar"/>
              </w:rPr>
              <w:t>dB</w:t>
            </w:r>
            <w:r>
              <w:rPr>
                <w:rFonts w:hint="eastAsia" w:ascii="Times New Roman" w:hAnsi="Times New Roman" w:eastAsia="宋体" w:cs="Times New Roman"/>
                <w:bCs/>
                <w:color w:val="auto"/>
                <w:sz w:val="24"/>
                <w:lang w:bidi="ar"/>
              </w:rPr>
              <w:t>；</w:t>
            </w:r>
          </w:p>
          <w:p w14:paraId="66F3DE1B">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misc</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其他多方面效应引起的衰减，</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349C9CC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点声源的几何发散衰减：</w:t>
            </w:r>
          </w:p>
          <w:p w14:paraId="7738735C">
            <w:pPr>
              <w:widowControl/>
              <w:kinsoku/>
              <w:overflowPunct w:val="0"/>
              <w:autoSpaceDE/>
              <w:autoSpaceDN/>
              <w:adjustRightInd/>
              <w:snapToGrid/>
              <w:spacing w:line="360" w:lineRule="auto"/>
              <w:jc w:val="center"/>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div</w:t>
            </w:r>
            <w:r>
              <w:rPr>
                <w:rFonts w:ascii="Times New Roman" w:hAnsi="Times New Roman" w:eastAsia="宋体" w:cs="Times New Roman"/>
                <w:bCs/>
                <w:color w:val="auto"/>
                <w:sz w:val="24"/>
                <w:lang w:eastAsia="zh-CN" w:bidi="ar"/>
              </w:rPr>
              <w:t>=20lg</w:t>
            </w:r>
            <w:r>
              <w:rPr>
                <w:rFonts w:hint="eastAsia" w:ascii="Times New Roman" w:hAnsi="Times New Roman" w:eastAsia="宋体" w:cs="Times New Roman"/>
                <w:bCs/>
                <w:color w:val="auto"/>
                <w:sz w:val="24"/>
                <w:lang w:eastAsia="zh-CN" w:bidi="ar"/>
              </w:rPr>
              <w:t>（</w:t>
            </w:r>
            <w:r>
              <w:rPr>
                <w:rFonts w:ascii="Times New Roman" w:hAnsi="Times New Roman" w:eastAsia="宋体" w:cs="Times New Roman"/>
                <w:bCs/>
                <w:color w:val="auto"/>
                <w:sz w:val="24"/>
                <w:lang w:eastAsia="zh-CN" w:bidi="ar"/>
              </w:rPr>
              <w:t>r/r</w:t>
            </w:r>
            <w:r>
              <w:rPr>
                <w:rFonts w:ascii="Times New Roman" w:hAnsi="Times New Roman" w:eastAsia="宋体" w:cs="Times New Roman"/>
                <w:bCs/>
                <w:color w:val="auto"/>
                <w:sz w:val="24"/>
                <w:vertAlign w:val="subscript"/>
                <w:lang w:eastAsia="zh-CN" w:bidi="ar"/>
              </w:rPr>
              <w:t>0</w:t>
            </w:r>
            <w:r>
              <w:rPr>
                <w:rFonts w:hint="eastAsia" w:ascii="Times New Roman" w:hAnsi="Times New Roman" w:eastAsia="宋体" w:cs="Times New Roman"/>
                <w:bCs/>
                <w:color w:val="auto"/>
                <w:sz w:val="24"/>
                <w:lang w:eastAsia="zh-CN" w:bidi="ar"/>
              </w:rPr>
              <w:t>）</w:t>
            </w:r>
          </w:p>
          <w:p w14:paraId="4BAE792C">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A</w:t>
            </w:r>
            <w:r>
              <w:rPr>
                <w:rFonts w:ascii="Times New Roman" w:hAnsi="Times New Roman" w:eastAsia="宋体" w:cs="Times New Roman"/>
                <w:bCs/>
                <w:color w:val="auto"/>
                <w:sz w:val="24"/>
                <w:vertAlign w:val="subscript"/>
                <w:lang w:eastAsia="zh-CN" w:bidi="ar"/>
              </w:rPr>
              <w:t>div</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几何发散引起的衰减，</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7F6B646C">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r——</w:t>
            </w:r>
            <w:r>
              <w:rPr>
                <w:rFonts w:hint="eastAsia" w:ascii="Times New Roman" w:hAnsi="Times New Roman" w:eastAsia="宋体" w:cs="Times New Roman"/>
                <w:bCs/>
                <w:color w:val="auto"/>
                <w:sz w:val="24"/>
                <w:lang w:eastAsia="zh-CN" w:bidi="ar"/>
              </w:rPr>
              <w:t>预测点距声源的距离；</w:t>
            </w:r>
          </w:p>
          <w:p w14:paraId="55F88276">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ascii="Times New Roman" w:hAnsi="Times New Roman" w:eastAsia="宋体" w:cs="Times New Roman"/>
                <w:bCs/>
                <w:color w:val="auto"/>
                <w:sz w:val="24"/>
                <w:lang w:eastAsia="zh-CN" w:bidi="ar"/>
              </w:rPr>
              <w:t>r</w:t>
            </w:r>
            <w:r>
              <w:rPr>
                <w:rFonts w:ascii="Times New Roman" w:hAnsi="Times New Roman" w:eastAsia="宋体" w:cs="Times New Roman"/>
                <w:bCs/>
                <w:color w:val="auto"/>
                <w:sz w:val="24"/>
                <w:vertAlign w:val="subscript"/>
                <w:lang w:eastAsia="zh-CN" w:bidi="ar"/>
              </w:rPr>
              <w:t>0</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参考位置距声源的距离。</w:t>
            </w:r>
          </w:p>
          <w:p w14:paraId="39B1D331">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室内声源等效室外声源声功率级计算：</w:t>
            </w:r>
          </w:p>
          <w:p w14:paraId="75FFCEF9">
            <w:pPr>
              <w:widowControl/>
              <w:kinsoku/>
              <w:overflowPunct w:val="0"/>
              <w:autoSpaceDE/>
              <w:autoSpaceDN/>
              <w:adjustRightInd/>
              <w:snapToGrid/>
              <w:spacing w:line="360" w:lineRule="auto"/>
              <w:jc w:val="center"/>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p2</w:t>
            </w: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p1</w:t>
            </w:r>
            <w:r>
              <w:rPr>
                <w:rFonts w:hint="eastAsia" w:ascii="Times New Roman" w:hAnsi="Times New Roman" w:eastAsia="宋体" w:cs="Times New Roman"/>
                <w:bCs/>
                <w:color w:val="auto"/>
                <w:sz w:val="24"/>
                <w:lang w:eastAsia="zh-CN" w:bidi="ar"/>
              </w:rPr>
              <w:t>-(TL+6)</w:t>
            </w:r>
          </w:p>
          <w:p w14:paraId="71B40DEE">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式中：L</w:t>
            </w:r>
            <w:r>
              <w:rPr>
                <w:rFonts w:hint="eastAsia" w:ascii="Times New Roman" w:hAnsi="Times New Roman" w:eastAsia="宋体" w:cs="Times New Roman"/>
                <w:bCs/>
                <w:color w:val="auto"/>
                <w:sz w:val="24"/>
                <w:vertAlign w:val="subscript"/>
                <w:lang w:eastAsia="zh-CN" w:bidi="ar"/>
              </w:rPr>
              <w:t>p1</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靠近开口处（或窗户）室内某倍频带的声压级或A声级，dB；</w:t>
            </w:r>
          </w:p>
          <w:p w14:paraId="23875DD2">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L</w:t>
            </w:r>
            <w:r>
              <w:rPr>
                <w:rFonts w:hint="eastAsia" w:ascii="Times New Roman" w:hAnsi="Times New Roman" w:eastAsia="宋体" w:cs="Times New Roman"/>
                <w:bCs/>
                <w:color w:val="auto"/>
                <w:sz w:val="24"/>
                <w:vertAlign w:val="subscript"/>
                <w:lang w:eastAsia="zh-CN" w:bidi="ar"/>
              </w:rPr>
              <w:t>p2</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靠近开口处（或窗户）室外某倍频带的声压级或A声级，dB；</w:t>
            </w:r>
          </w:p>
          <w:p w14:paraId="1B270C98">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bidi="ar"/>
              </w:rPr>
            </w:pPr>
            <w:r>
              <w:rPr>
                <w:rFonts w:hint="eastAsia" w:ascii="Times New Roman" w:hAnsi="Times New Roman" w:eastAsia="宋体" w:cs="Times New Roman"/>
                <w:bCs/>
                <w:color w:val="auto"/>
                <w:sz w:val="24"/>
                <w:lang w:eastAsia="zh-CN" w:bidi="ar"/>
              </w:rPr>
              <w:t>TL</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隔墙（或窗户）倍频带或A声级的隔声量，dB。</w:t>
            </w:r>
          </w:p>
          <w:p w14:paraId="441AEBC0">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②噪声贡献值</w:t>
            </w:r>
          </w:p>
          <w:p w14:paraId="57D2F7F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建设项目自身声源在预测点产生的声级。噪声贡献值（</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hint="eastAsia" w:ascii="Times New Roman" w:hAnsi="Times New Roman" w:eastAsia="宋体" w:cs="Times New Roman"/>
                <w:bCs/>
                <w:color w:val="auto"/>
                <w:sz w:val="24"/>
                <w:lang w:eastAsia="zh-CN" w:bidi="ar"/>
              </w:rPr>
              <w:t>）计算公式为：</w:t>
            </w:r>
          </w:p>
          <w:p w14:paraId="5380C3E8">
            <w:pPr>
              <w:widowControl/>
              <w:kinsoku/>
              <w:overflowPunct w:val="0"/>
              <w:autoSpaceDE/>
              <w:autoSpaceDN/>
              <w:adjustRightInd/>
              <w:snapToGrid/>
              <w:spacing w:line="360" w:lineRule="auto"/>
              <w:jc w:val="center"/>
              <w:rPr>
                <w:rFonts w:ascii="Times New Roman" w:hAnsi="Times New Roman" w:eastAsia="宋体" w:cs="Times New Roman"/>
                <w:bCs/>
                <w:color w:val="auto"/>
                <w:sz w:val="24"/>
              </w:rPr>
            </w:pPr>
            <w:r>
              <w:rPr>
                <w:rFonts w:ascii="Times New Roman" w:hAnsi="Times New Roman" w:eastAsia="宋体" w:cs="Times New Roman"/>
                <w:color w:val="auto"/>
                <w:szCs w:val="20"/>
              </w:rPr>
              <w:drawing>
                <wp:inline distT="0" distB="0" distL="114300" distR="114300">
                  <wp:extent cx="1823085" cy="502285"/>
                  <wp:effectExtent l="0" t="0" r="5715" b="12065"/>
                  <wp:docPr id="2"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20"/>
                          <pic:cNvPicPr>
                            <a:picLocks noChangeAspect="1"/>
                          </pic:cNvPicPr>
                        </pic:nvPicPr>
                        <pic:blipFill>
                          <a:blip r:embed="rId35"/>
                          <a:stretch>
                            <a:fillRect/>
                          </a:stretch>
                        </pic:blipFill>
                        <pic:spPr>
                          <a:xfrm>
                            <a:off x="0" y="0"/>
                            <a:ext cx="1823085" cy="502285"/>
                          </a:xfrm>
                          <a:prstGeom prst="rect">
                            <a:avLst/>
                          </a:prstGeom>
                          <a:solidFill>
                            <a:srgbClr val="FFFFFF">
                              <a:alpha val="0"/>
                            </a:srgbClr>
                          </a:solidFill>
                          <a:ln>
                            <a:noFill/>
                          </a:ln>
                        </pic:spPr>
                      </pic:pic>
                    </a:graphicData>
                  </a:graphic>
                </wp:inline>
              </w:drawing>
            </w:r>
          </w:p>
          <w:p w14:paraId="0DE8860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噪声贡献值，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2C6B9AB5">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T——</w:t>
            </w:r>
            <w:r>
              <w:rPr>
                <w:rFonts w:hint="eastAsia" w:ascii="Times New Roman" w:hAnsi="Times New Roman" w:eastAsia="宋体" w:cs="Times New Roman"/>
                <w:bCs/>
                <w:color w:val="auto"/>
                <w:sz w:val="24"/>
                <w:lang w:eastAsia="zh-CN" w:bidi="ar"/>
              </w:rPr>
              <w:t>预测计算的时间段，</w:t>
            </w:r>
            <w:r>
              <w:rPr>
                <w:rFonts w:ascii="Times New Roman" w:hAnsi="Times New Roman" w:eastAsia="宋体" w:cs="Times New Roman"/>
                <w:bCs/>
                <w:color w:val="auto"/>
                <w:sz w:val="24"/>
                <w:lang w:eastAsia="zh-CN" w:bidi="ar"/>
              </w:rPr>
              <w:t>s</w:t>
            </w:r>
            <w:r>
              <w:rPr>
                <w:rFonts w:hint="eastAsia" w:ascii="Times New Roman" w:hAnsi="Times New Roman" w:eastAsia="宋体" w:cs="Times New Roman"/>
                <w:bCs/>
                <w:color w:val="auto"/>
                <w:sz w:val="24"/>
                <w:lang w:eastAsia="zh-CN" w:bidi="ar"/>
              </w:rPr>
              <w:t>；</w:t>
            </w:r>
          </w:p>
          <w:p w14:paraId="371AE081">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ti——i</w:t>
            </w:r>
            <w:r>
              <w:rPr>
                <w:rFonts w:hint="eastAsia" w:ascii="Times New Roman" w:hAnsi="Times New Roman" w:eastAsia="宋体" w:cs="Times New Roman"/>
                <w:bCs/>
                <w:color w:val="auto"/>
                <w:sz w:val="24"/>
                <w:lang w:eastAsia="zh-CN" w:bidi="ar"/>
              </w:rPr>
              <w:t>声源在</w:t>
            </w:r>
            <w:r>
              <w:rPr>
                <w:rFonts w:ascii="Times New Roman" w:hAnsi="Times New Roman" w:eastAsia="宋体" w:cs="Times New Roman"/>
                <w:bCs/>
                <w:color w:val="auto"/>
                <w:sz w:val="24"/>
                <w:lang w:eastAsia="zh-CN" w:bidi="ar"/>
              </w:rPr>
              <w:t>T</w:t>
            </w:r>
            <w:r>
              <w:rPr>
                <w:rFonts w:hint="eastAsia" w:ascii="Times New Roman" w:hAnsi="Times New Roman" w:eastAsia="宋体" w:cs="Times New Roman"/>
                <w:bCs/>
                <w:color w:val="auto"/>
                <w:sz w:val="24"/>
                <w:lang w:eastAsia="zh-CN" w:bidi="ar"/>
              </w:rPr>
              <w:t>时段内的运行时间，</w:t>
            </w:r>
            <w:r>
              <w:rPr>
                <w:rFonts w:ascii="Times New Roman" w:hAnsi="Times New Roman" w:eastAsia="宋体" w:cs="Times New Roman"/>
                <w:bCs/>
                <w:color w:val="auto"/>
                <w:sz w:val="24"/>
                <w:lang w:eastAsia="zh-CN" w:bidi="ar"/>
              </w:rPr>
              <w:t>s</w:t>
            </w:r>
            <w:r>
              <w:rPr>
                <w:rFonts w:hint="eastAsia" w:ascii="Times New Roman" w:hAnsi="Times New Roman" w:eastAsia="宋体" w:cs="Times New Roman"/>
                <w:bCs/>
                <w:color w:val="auto"/>
                <w:sz w:val="24"/>
                <w:lang w:eastAsia="zh-CN" w:bidi="ar"/>
              </w:rPr>
              <w:t>；</w:t>
            </w:r>
          </w:p>
          <w:p w14:paraId="1D238B09">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Ai</w:t>
            </w:r>
            <w:r>
              <w:rPr>
                <w:rFonts w:ascii="Times New Roman" w:hAnsi="Times New Roman" w:eastAsia="宋体" w:cs="Times New Roman"/>
                <w:bCs/>
                <w:color w:val="auto"/>
                <w:sz w:val="24"/>
                <w:lang w:eastAsia="zh-CN" w:bidi="ar"/>
              </w:rPr>
              <w:t>——i</w:t>
            </w:r>
            <w:r>
              <w:rPr>
                <w:rFonts w:hint="eastAsia" w:ascii="Times New Roman" w:hAnsi="Times New Roman" w:eastAsia="宋体" w:cs="Times New Roman"/>
                <w:bCs/>
                <w:color w:val="auto"/>
                <w:sz w:val="24"/>
                <w:lang w:eastAsia="zh-CN" w:bidi="ar"/>
              </w:rPr>
              <w:t>声源在预测点产生的等效连续</w:t>
            </w:r>
            <w:r>
              <w:rPr>
                <w:rFonts w:ascii="Times New Roman" w:hAnsi="Times New Roman" w:eastAsia="宋体" w:cs="Times New Roman"/>
                <w:bCs/>
                <w:color w:val="auto"/>
                <w:sz w:val="24"/>
                <w:lang w:eastAsia="zh-CN" w:bidi="ar"/>
              </w:rPr>
              <w:t>A</w:t>
            </w:r>
            <w:r>
              <w:rPr>
                <w:rFonts w:hint="eastAsia" w:ascii="Times New Roman" w:hAnsi="Times New Roman" w:eastAsia="宋体" w:cs="Times New Roman"/>
                <w:bCs/>
                <w:color w:val="auto"/>
                <w:sz w:val="24"/>
                <w:lang w:eastAsia="zh-CN" w:bidi="ar"/>
              </w:rPr>
              <w:t>声级，</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77998765">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③噪声预测值计算公式为：</w:t>
            </w:r>
          </w:p>
          <w:p w14:paraId="57EC378F">
            <w:pPr>
              <w:widowControl/>
              <w:kinsoku/>
              <w:overflowPunct w:val="0"/>
              <w:autoSpaceDE/>
              <w:autoSpaceDN/>
              <w:adjustRightInd/>
              <w:snapToGrid/>
              <w:spacing w:line="360" w:lineRule="auto"/>
              <w:jc w:val="center"/>
              <w:rPr>
                <w:rFonts w:ascii="Times New Roman" w:hAnsi="Times New Roman" w:eastAsia="宋体" w:cs="Times New Roman"/>
                <w:color w:val="auto"/>
              </w:rPr>
            </w:pPr>
            <w:r>
              <w:rPr>
                <w:rFonts w:ascii="Times New Roman" w:hAnsi="Times New Roman" w:eastAsia="宋体" w:cs="Times New Roman"/>
                <w:color w:val="auto"/>
                <w:szCs w:val="20"/>
              </w:rPr>
              <w:drawing>
                <wp:inline distT="0" distB="0" distL="114300" distR="114300">
                  <wp:extent cx="2093595" cy="356235"/>
                  <wp:effectExtent l="0" t="0" r="1905" b="5715"/>
                  <wp:docPr id="7"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1"/>
                          <pic:cNvPicPr>
                            <a:picLocks noChangeAspect="1"/>
                          </pic:cNvPicPr>
                        </pic:nvPicPr>
                        <pic:blipFill>
                          <a:blip r:embed="rId36"/>
                          <a:stretch>
                            <a:fillRect/>
                          </a:stretch>
                        </pic:blipFill>
                        <pic:spPr>
                          <a:xfrm>
                            <a:off x="0" y="0"/>
                            <a:ext cx="2093595" cy="356235"/>
                          </a:xfrm>
                          <a:prstGeom prst="rect">
                            <a:avLst/>
                          </a:prstGeom>
                          <a:noFill/>
                          <a:ln>
                            <a:noFill/>
                          </a:ln>
                        </pic:spPr>
                      </pic:pic>
                    </a:graphicData>
                  </a:graphic>
                </wp:inline>
              </w:drawing>
            </w:r>
          </w:p>
          <w:p w14:paraId="1C1C4B2F">
            <w:pPr>
              <w:widowControl/>
              <w:kinsoku/>
              <w:overflowPunct w:val="0"/>
              <w:autoSpaceDE/>
              <w:autoSpaceDN/>
              <w:adjustRightInd/>
              <w:snapToGrid/>
              <w:spacing w:line="360" w:lineRule="auto"/>
              <w:ind w:firstLine="480" w:firstLineChars="200"/>
              <w:rPr>
                <w:rFonts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bidi="ar"/>
              </w:rPr>
              <w:t>式中：</w:t>
            </w: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预测点的噪声预测值，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047D0293">
            <w:pPr>
              <w:widowControl/>
              <w:kinsoku/>
              <w:overflowPunct w:val="0"/>
              <w:autoSpaceDE/>
              <w:autoSpaceDN/>
              <w:adjustRightInd/>
              <w:snapToGrid/>
              <w:spacing w:line="360" w:lineRule="auto"/>
              <w:ind w:firstLine="1200" w:firstLineChars="500"/>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eqg</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建设项目声源在预测点产生的噪声贡献值，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4AD8733B">
            <w:pPr>
              <w:pStyle w:val="30"/>
              <w:widowControl/>
              <w:kinsoku/>
              <w:overflowPunct w:val="0"/>
              <w:autoSpaceDE/>
              <w:autoSpaceDN/>
              <w:adjustRightInd/>
              <w:snapToGrid/>
              <w:spacing w:line="360" w:lineRule="auto"/>
              <w:ind w:firstLine="1200" w:firstLineChars="500"/>
              <w:rPr>
                <w:rFonts w:ascii="Times New Roman" w:hAnsi="Times New Roman" w:eastAsia="宋体" w:cs="Times New Roman"/>
                <w:color w:val="auto"/>
                <w:sz w:val="24"/>
                <w:szCs w:val="24"/>
                <w:lang w:eastAsia="zh-CN"/>
              </w:rPr>
            </w:pPr>
            <w:r>
              <w:rPr>
                <w:rFonts w:ascii="Times New Roman" w:hAnsi="Times New Roman" w:eastAsia="宋体" w:cs="Times New Roman"/>
                <w:bCs/>
                <w:color w:val="auto"/>
                <w:sz w:val="24"/>
                <w:lang w:eastAsia="zh-CN" w:bidi="ar"/>
              </w:rPr>
              <w:t>L</w:t>
            </w:r>
            <w:r>
              <w:rPr>
                <w:rFonts w:ascii="Times New Roman" w:hAnsi="Times New Roman" w:eastAsia="宋体" w:cs="Times New Roman"/>
                <w:bCs/>
                <w:color w:val="auto"/>
                <w:sz w:val="24"/>
                <w:vertAlign w:val="subscript"/>
                <w:lang w:eastAsia="zh-CN" w:bidi="ar"/>
              </w:rPr>
              <w:t>eqb</w:t>
            </w:r>
            <w:r>
              <w:rPr>
                <w:rFonts w:ascii="Times New Roman" w:hAnsi="Times New Roman" w:eastAsia="宋体" w:cs="Times New Roman"/>
                <w:bCs/>
                <w:color w:val="auto"/>
                <w:sz w:val="24"/>
                <w:lang w:eastAsia="zh-CN" w:bidi="ar"/>
              </w:rPr>
              <w:t>——</w:t>
            </w:r>
            <w:r>
              <w:rPr>
                <w:rFonts w:hint="eastAsia" w:ascii="Times New Roman" w:hAnsi="Times New Roman" w:eastAsia="宋体" w:cs="Times New Roman"/>
                <w:bCs/>
                <w:color w:val="auto"/>
                <w:sz w:val="24"/>
                <w:lang w:eastAsia="zh-CN" w:bidi="ar"/>
              </w:rPr>
              <w:t>预测点的背景噪声值，</w:t>
            </w:r>
            <w:r>
              <w:rPr>
                <w:rFonts w:ascii="Times New Roman" w:hAnsi="Times New Roman" w:eastAsia="宋体" w:cs="Times New Roman"/>
                <w:bCs/>
                <w:color w:val="auto"/>
                <w:sz w:val="24"/>
                <w:lang w:eastAsia="zh-CN" w:bidi="ar"/>
              </w:rPr>
              <w:t>dB</w:t>
            </w:r>
            <w:r>
              <w:rPr>
                <w:rFonts w:hint="eastAsia" w:ascii="Times New Roman" w:hAnsi="Times New Roman" w:eastAsia="宋体" w:cs="Times New Roman"/>
                <w:bCs/>
                <w:color w:val="auto"/>
                <w:sz w:val="24"/>
                <w:lang w:eastAsia="zh-CN" w:bidi="ar"/>
              </w:rPr>
              <w:t>。</w:t>
            </w:r>
          </w:p>
          <w:p w14:paraId="6CC97041">
            <w:pPr>
              <w:pStyle w:val="30"/>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④预测结果与达标分析</w:t>
            </w:r>
          </w:p>
          <w:p w14:paraId="06E454F1">
            <w:pPr>
              <w:pStyle w:val="30"/>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drawing>
                <wp:inline distT="0" distB="0" distL="114300" distR="114300">
                  <wp:extent cx="5325110" cy="4179570"/>
                  <wp:effectExtent l="9525" t="9525" r="18415" b="20955"/>
                  <wp:docPr id="9" name="图片 9" descr="噪声预测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噪声预测4"/>
                          <pic:cNvPicPr>
                            <a:picLocks noChangeAspect="1"/>
                          </pic:cNvPicPr>
                        </pic:nvPicPr>
                        <pic:blipFill>
                          <a:blip r:embed="rId37"/>
                          <a:stretch>
                            <a:fillRect/>
                          </a:stretch>
                        </pic:blipFill>
                        <pic:spPr>
                          <a:xfrm>
                            <a:off x="0" y="0"/>
                            <a:ext cx="5325110" cy="4179570"/>
                          </a:xfrm>
                          <a:prstGeom prst="rect">
                            <a:avLst/>
                          </a:prstGeom>
                          <a:ln>
                            <a:solidFill>
                              <a:schemeClr val="tx1"/>
                            </a:solidFill>
                          </a:ln>
                        </pic:spPr>
                      </pic:pic>
                    </a:graphicData>
                  </a:graphic>
                </wp:inline>
              </w:drawing>
            </w:r>
          </w:p>
          <w:p w14:paraId="009B679D">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图4-1 运营期噪声预测结果等声级线图</w:t>
            </w:r>
          </w:p>
          <w:p w14:paraId="64E29F24">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A.厂界</w:t>
            </w:r>
          </w:p>
          <w:p w14:paraId="65000F4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表4-13  厂界噪声预测结果与达标分析表  单位：dB（A）</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016"/>
              <w:gridCol w:w="933"/>
              <w:gridCol w:w="684"/>
              <w:gridCol w:w="977"/>
              <w:gridCol w:w="1355"/>
              <w:gridCol w:w="1575"/>
              <w:gridCol w:w="1120"/>
            </w:tblGrid>
            <w:tr w14:paraId="7C54E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restart"/>
                  <w:tcBorders>
                    <w:top w:val="single" w:color="auto" w:sz="4" w:space="0"/>
                    <w:left w:val="single" w:color="auto" w:sz="4" w:space="0"/>
                    <w:bottom w:val="single" w:color="auto" w:sz="4" w:space="0"/>
                    <w:right w:val="single" w:color="auto" w:sz="4" w:space="0"/>
                  </w:tcBorders>
                  <w:vAlign w:val="center"/>
                </w:tcPr>
                <w:p w14:paraId="4E561A7D">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b/>
                      <w:color w:val="auto"/>
                      <w:lang w:bidi="ar"/>
                    </w:rPr>
                    <w:t>方位</w:t>
                  </w:r>
                </w:p>
              </w:tc>
              <w:tc>
                <w:tcPr>
                  <w:tcW w:w="1563" w:type="pct"/>
                  <w:gridSpan w:val="3"/>
                  <w:tcBorders>
                    <w:top w:val="single" w:color="auto" w:sz="4" w:space="0"/>
                    <w:left w:val="single" w:color="auto" w:sz="4" w:space="0"/>
                    <w:bottom w:val="single" w:color="auto" w:sz="4" w:space="0"/>
                    <w:right w:val="single" w:color="auto" w:sz="4" w:space="0"/>
                  </w:tcBorders>
                  <w:vAlign w:val="center"/>
                </w:tcPr>
                <w:p w14:paraId="5842FA2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最大值点空间相对位置</w:t>
                  </w:r>
                  <w:r>
                    <w:rPr>
                      <w:rFonts w:ascii="Times New Roman" w:hAnsi="Times New Roman" w:eastAsia="宋体" w:cs="Times New Roman"/>
                      <w:b/>
                      <w:color w:val="auto"/>
                      <w:lang w:eastAsia="zh-CN" w:bidi="ar"/>
                    </w:rPr>
                    <w:t>/m</w:t>
                  </w:r>
                </w:p>
              </w:tc>
              <w:tc>
                <w:tcPr>
                  <w:tcW w:w="580" w:type="pct"/>
                  <w:vMerge w:val="restart"/>
                  <w:tcBorders>
                    <w:top w:val="single" w:color="auto" w:sz="4" w:space="0"/>
                    <w:left w:val="single" w:color="auto" w:sz="4" w:space="0"/>
                    <w:bottom w:val="single" w:color="auto" w:sz="4" w:space="0"/>
                    <w:right w:val="single" w:color="auto" w:sz="4" w:space="0"/>
                  </w:tcBorders>
                  <w:vAlign w:val="center"/>
                </w:tcPr>
                <w:p w14:paraId="1C82EA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时段</w:t>
                  </w:r>
                </w:p>
              </w:tc>
              <w:tc>
                <w:tcPr>
                  <w:tcW w:w="804" w:type="pct"/>
                  <w:vMerge w:val="restart"/>
                  <w:tcBorders>
                    <w:top w:val="single" w:color="auto" w:sz="4" w:space="0"/>
                    <w:left w:val="single" w:color="auto" w:sz="4" w:space="0"/>
                    <w:bottom w:val="single" w:color="auto" w:sz="4" w:space="0"/>
                    <w:right w:val="single" w:color="auto" w:sz="4" w:space="0"/>
                  </w:tcBorders>
                  <w:vAlign w:val="center"/>
                </w:tcPr>
                <w:p w14:paraId="656D1B41">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贡献值</w:t>
                  </w:r>
                </w:p>
              </w:tc>
              <w:tc>
                <w:tcPr>
                  <w:tcW w:w="935" w:type="pct"/>
                  <w:vMerge w:val="restart"/>
                  <w:tcBorders>
                    <w:top w:val="single" w:color="auto" w:sz="4" w:space="0"/>
                    <w:left w:val="single" w:color="auto" w:sz="4" w:space="0"/>
                    <w:bottom w:val="single" w:color="auto" w:sz="4" w:space="0"/>
                    <w:right w:val="single" w:color="auto" w:sz="4" w:space="0"/>
                  </w:tcBorders>
                  <w:vAlign w:val="center"/>
                </w:tcPr>
                <w:p w14:paraId="25BB8C5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标准限值</w:t>
                  </w:r>
                </w:p>
              </w:tc>
              <w:tc>
                <w:tcPr>
                  <w:tcW w:w="664" w:type="pct"/>
                  <w:vMerge w:val="restart"/>
                  <w:tcBorders>
                    <w:top w:val="single" w:color="auto" w:sz="4" w:space="0"/>
                    <w:left w:val="single" w:color="auto" w:sz="4" w:space="0"/>
                    <w:bottom w:val="single" w:color="auto" w:sz="4" w:space="0"/>
                    <w:right w:val="single" w:color="auto" w:sz="4" w:space="0"/>
                  </w:tcBorders>
                  <w:vAlign w:val="center"/>
                </w:tcPr>
                <w:p w14:paraId="2704C06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达标情况</w:t>
                  </w:r>
                </w:p>
              </w:tc>
            </w:tr>
            <w:tr w14:paraId="2CC2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vMerge w:val="continue"/>
                  <w:tcBorders>
                    <w:top w:val="single" w:color="auto" w:sz="4" w:space="0"/>
                    <w:left w:val="single" w:color="auto" w:sz="4" w:space="0"/>
                    <w:bottom w:val="single" w:color="auto" w:sz="4" w:space="0"/>
                    <w:right w:val="single" w:color="auto" w:sz="4" w:space="0"/>
                  </w:tcBorders>
                  <w:vAlign w:val="center"/>
                </w:tcPr>
                <w:p w14:paraId="61536277">
                  <w:pPr>
                    <w:kinsoku/>
                    <w:overflowPunct w:val="0"/>
                    <w:autoSpaceDE/>
                    <w:autoSpaceDN/>
                    <w:adjustRightInd/>
                    <w:snapToGrid/>
                    <w:jc w:val="center"/>
                    <w:rPr>
                      <w:rFonts w:ascii="Times New Roman" w:hAnsi="Times New Roman" w:eastAsia="宋体" w:cs="Times New Roman"/>
                      <w:color w:val="auto"/>
                      <w:lang w:eastAsia="zh-CN"/>
                    </w:rPr>
                  </w:pPr>
                </w:p>
              </w:tc>
              <w:tc>
                <w:tcPr>
                  <w:tcW w:w="603" w:type="pct"/>
                  <w:tcBorders>
                    <w:top w:val="single" w:color="auto" w:sz="4" w:space="0"/>
                    <w:left w:val="single" w:color="auto" w:sz="4" w:space="0"/>
                    <w:bottom w:val="single" w:color="auto" w:sz="4" w:space="0"/>
                    <w:right w:val="single" w:color="auto" w:sz="4" w:space="0"/>
                  </w:tcBorders>
                  <w:vAlign w:val="center"/>
                </w:tcPr>
                <w:p w14:paraId="56F5504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X</w:t>
                  </w:r>
                </w:p>
              </w:tc>
              <w:tc>
                <w:tcPr>
                  <w:tcW w:w="554" w:type="pct"/>
                  <w:tcBorders>
                    <w:top w:val="single" w:color="auto" w:sz="4" w:space="0"/>
                    <w:left w:val="single" w:color="auto" w:sz="4" w:space="0"/>
                    <w:bottom w:val="single" w:color="auto" w:sz="4" w:space="0"/>
                    <w:right w:val="single" w:color="auto" w:sz="4" w:space="0"/>
                  </w:tcBorders>
                  <w:vAlign w:val="center"/>
                </w:tcPr>
                <w:p w14:paraId="1C14FCC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Y</w:t>
                  </w:r>
                </w:p>
              </w:tc>
              <w:tc>
                <w:tcPr>
                  <w:tcW w:w="405" w:type="pct"/>
                  <w:tcBorders>
                    <w:top w:val="single" w:color="auto" w:sz="4" w:space="0"/>
                    <w:left w:val="single" w:color="auto" w:sz="4" w:space="0"/>
                    <w:bottom w:val="single" w:color="auto" w:sz="4" w:space="0"/>
                    <w:right w:val="single" w:color="auto" w:sz="4" w:space="0"/>
                  </w:tcBorders>
                  <w:vAlign w:val="center"/>
                </w:tcPr>
                <w:p w14:paraId="6C32EB82">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Z</w:t>
                  </w:r>
                </w:p>
              </w:tc>
              <w:tc>
                <w:tcPr>
                  <w:tcW w:w="580" w:type="pct"/>
                  <w:vMerge w:val="continue"/>
                  <w:tcBorders>
                    <w:top w:val="single" w:color="auto" w:sz="4" w:space="0"/>
                    <w:left w:val="single" w:color="auto" w:sz="4" w:space="0"/>
                    <w:bottom w:val="single" w:color="auto" w:sz="4" w:space="0"/>
                    <w:right w:val="single" w:color="auto" w:sz="4" w:space="0"/>
                  </w:tcBorders>
                  <w:vAlign w:val="center"/>
                </w:tcPr>
                <w:p w14:paraId="7881CC6A">
                  <w:pPr>
                    <w:kinsoku/>
                    <w:overflowPunct w:val="0"/>
                    <w:autoSpaceDE/>
                    <w:autoSpaceDN/>
                    <w:adjustRightInd/>
                    <w:snapToGrid/>
                    <w:jc w:val="center"/>
                    <w:rPr>
                      <w:rFonts w:ascii="Times New Roman" w:hAnsi="Times New Roman" w:eastAsia="宋体" w:cs="Times New Roman"/>
                      <w:color w:val="auto"/>
                      <w:lang w:eastAsia="zh-CN"/>
                    </w:rPr>
                  </w:pPr>
                </w:p>
              </w:tc>
              <w:tc>
                <w:tcPr>
                  <w:tcW w:w="804" w:type="pct"/>
                  <w:vMerge w:val="continue"/>
                  <w:tcBorders>
                    <w:top w:val="single" w:color="auto" w:sz="4" w:space="0"/>
                    <w:left w:val="single" w:color="auto" w:sz="4" w:space="0"/>
                    <w:bottom w:val="single" w:color="auto" w:sz="4" w:space="0"/>
                    <w:right w:val="single" w:color="auto" w:sz="4" w:space="0"/>
                  </w:tcBorders>
                  <w:vAlign w:val="center"/>
                </w:tcPr>
                <w:p w14:paraId="268BF7D2">
                  <w:pPr>
                    <w:kinsoku/>
                    <w:overflowPunct w:val="0"/>
                    <w:autoSpaceDE/>
                    <w:autoSpaceDN/>
                    <w:adjustRightInd/>
                    <w:snapToGrid/>
                    <w:jc w:val="center"/>
                    <w:rPr>
                      <w:rFonts w:ascii="Times New Roman" w:hAnsi="Times New Roman" w:eastAsia="宋体" w:cs="Times New Roman"/>
                      <w:color w:val="auto"/>
                      <w:lang w:eastAsia="zh-CN"/>
                    </w:rPr>
                  </w:pPr>
                </w:p>
              </w:tc>
              <w:tc>
                <w:tcPr>
                  <w:tcW w:w="935" w:type="pct"/>
                  <w:vMerge w:val="continue"/>
                  <w:tcBorders>
                    <w:top w:val="single" w:color="auto" w:sz="4" w:space="0"/>
                    <w:left w:val="single" w:color="auto" w:sz="4" w:space="0"/>
                    <w:bottom w:val="single" w:color="auto" w:sz="4" w:space="0"/>
                    <w:right w:val="single" w:color="auto" w:sz="4" w:space="0"/>
                  </w:tcBorders>
                  <w:vAlign w:val="center"/>
                </w:tcPr>
                <w:p w14:paraId="62AEE9C3">
                  <w:pPr>
                    <w:kinsoku/>
                    <w:overflowPunct w:val="0"/>
                    <w:autoSpaceDE/>
                    <w:autoSpaceDN/>
                    <w:adjustRightInd/>
                    <w:snapToGrid/>
                    <w:jc w:val="center"/>
                    <w:rPr>
                      <w:rFonts w:ascii="Times New Roman" w:hAnsi="Times New Roman" w:eastAsia="宋体" w:cs="Times New Roman"/>
                      <w:color w:val="auto"/>
                      <w:lang w:eastAsia="zh-CN"/>
                    </w:rPr>
                  </w:pPr>
                </w:p>
              </w:tc>
              <w:tc>
                <w:tcPr>
                  <w:tcW w:w="664" w:type="pct"/>
                  <w:vMerge w:val="continue"/>
                  <w:tcBorders>
                    <w:top w:val="single" w:color="auto" w:sz="4" w:space="0"/>
                    <w:left w:val="single" w:color="auto" w:sz="4" w:space="0"/>
                    <w:bottom w:val="single" w:color="auto" w:sz="4" w:space="0"/>
                    <w:right w:val="single" w:color="auto" w:sz="4" w:space="0"/>
                  </w:tcBorders>
                  <w:vAlign w:val="center"/>
                </w:tcPr>
                <w:p w14:paraId="6B4AB9B3">
                  <w:pPr>
                    <w:kinsoku/>
                    <w:overflowPunct w:val="0"/>
                    <w:autoSpaceDE/>
                    <w:autoSpaceDN/>
                    <w:adjustRightInd/>
                    <w:snapToGrid/>
                    <w:jc w:val="center"/>
                    <w:rPr>
                      <w:rFonts w:ascii="Times New Roman" w:hAnsi="Times New Roman" w:eastAsia="宋体" w:cs="Times New Roman"/>
                      <w:color w:val="auto"/>
                      <w:lang w:eastAsia="zh-CN"/>
                    </w:rPr>
                  </w:pPr>
                </w:p>
              </w:tc>
            </w:tr>
            <w:tr w14:paraId="76BA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4F59659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东侧</w:t>
                  </w:r>
                </w:p>
              </w:tc>
              <w:tc>
                <w:tcPr>
                  <w:tcW w:w="603" w:type="pct"/>
                  <w:tcBorders>
                    <w:top w:val="single" w:color="auto" w:sz="4" w:space="0"/>
                    <w:left w:val="single" w:color="auto" w:sz="4" w:space="0"/>
                    <w:bottom w:val="single" w:color="auto" w:sz="4" w:space="0"/>
                    <w:right w:val="single" w:color="auto" w:sz="4" w:space="0"/>
                  </w:tcBorders>
                  <w:vAlign w:val="center"/>
                </w:tcPr>
                <w:p w14:paraId="339C175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12.5</w:t>
                  </w:r>
                </w:p>
              </w:tc>
              <w:tc>
                <w:tcPr>
                  <w:tcW w:w="554" w:type="pct"/>
                  <w:tcBorders>
                    <w:top w:val="single" w:color="auto" w:sz="4" w:space="0"/>
                    <w:left w:val="single" w:color="auto" w:sz="4" w:space="0"/>
                    <w:bottom w:val="single" w:color="auto" w:sz="4" w:space="0"/>
                    <w:right w:val="single" w:color="auto" w:sz="4" w:space="0"/>
                  </w:tcBorders>
                  <w:vAlign w:val="center"/>
                </w:tcPr>
                <w:p w14:paraId="0638669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15.6</w:t>
                  </w:r>
                </w:p>
              </w:tc>
              <w:tc>
                <w:tcPr>
                  <w:tcW w:w="405" w:type="pct"/>
                  <w:tcBorders>
                    <w:top w:val="single" w:color="auto" w:sz="4" w:space="0"/>
                    <w:left w:val="single" w:color="auto" w:sz="4" w:space="0"/>
                    <w:bottom w:val="single" w:color="auto" w:sz="4" w:space="0"/>
                    <w:right w:val="single" w:color="auto" w:sz="4" w:space="0"/>
                  </w:tcBorders>
                  <w:vAlign w:val="center"/>
                </w:tcPr>
                <w:p w14:paraId="3CC527C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729373C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1DCD7083">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58.</w:t>
                  </w:r>
                  <w:r>
                    <w:rPr>
                      <w:rFonts w:hint="eastAsia" w:cs="Times New Roman"/>
                      <w:color w:val="auto"/>
                      <w:lang w:val="en-US" w:eastAsia="zh-CN"/>
                    </w:rPr>
                    <w:t>7</w:t>
                  </w:r>
                </w:p>
              </w:tc>
              <w:tc>
                <w:tcPr>
                  <w:tcW w:w="935" w:type="pct"/>
                  <w:tcBorders>
                    <w:top w:val="single" w:color="auto" w:sz="4" w:space="0"/>
                    <w:left w:val="single" w:color="auto" w:sz="4" w:space="0"/>
                    <w:bottom w:val="single" w:color="auto" w:sz="4" w:space="0"/>
                    <w:right w:val="single" w:color="auto" w:sz="4" w:space="0"/>
                  </w:tcBorders>
                  <w:vAlign w:val="center"/>
                </w:tcPr>
                <w:p w14:paraId="6D6215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66E1926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5B0D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5BAA494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南侧</w:t>
                  </w:r>
                </w:p>
              </w:tc>
              <w:tc>
                <w:tcPr>
                  <w:tcW w:w="603" w:type="pct"/>
                  <w:tcBorders>
                    <w:top w:val="single" w:color="auto" w:sz="4" w:space="0"/>
                    <w:left w:val="single" w:color="auto" w:sz="4" w:space="0"/>
                    <w:bottom w:val="single" w:color="auto" w:sz="4" w:space="0"/>
                    <w:right w:val="single" w:color="auto" w:sz="4" w:space="0"/>
                  </w:tcBorders>
                  <w:vAlign w:val="center"/>
                </w:tcPr>
                <w:p w14:paraId="2ECA31B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10.7</w:t>
                  </w:r>
                </w:p>
              </w:tc>
              <w:tc>
                <w:tcPr>
                  <w:tcW w:w="554" w:type="pct"/>
                  <w:tcBorders>
                    <w:top w:val="single" w:color="auto" w:sz="4" w:space="0"/>
                    <w:left w:val="single" w:color="auto" w:sz="4" w:space="0"/>
                    <w:bottom w:val="single" w:color="auto" w:sz="4" w:space="0"/>
                    <w:right w:val="single" w:color="auto" w:sz="4" w:space="0"/>
                  </w:tcBorders>
                  <w:vAlign w:val="center"/>
                </w:tcPr>
                <w:p w14:paraId="1DE1014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-64.4</w:t>
                  </w:r>
                </w:p>
              </w:tc>
              <w:tc>
                <w:tcPr>
                  <w:tcW w:w="405" w:type="pct"/>
                  <w:tcBorders>
                    <w:top w:val="single" w:color="auto" w:sz="4" w:space="0"/>
                    <w:left w:val="single" w:color="auto" w:sz="4" w:space="0"/>
                    <w:bottom w:val="single" w:color="auto" w:sz="4" w:space="0"/>
                    <w:right w:val="single" w:color="auto" w:sz="4" w:space="0"/>
                  </w:tcBorders>
                  <w:vAlign w:val="center"/>
                </w:tcPr>
                <w:p w14:paraId="5BFBFB6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6CE8981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321FF6B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54.</w:t>
                  </w:r>
                  <w:r>
                    <w:rPr>
                      <w:rFonts w:hint="eastAsia" w:ascii="Times New Roman" w:hAnsi="Times New Roman" w:eastAsia="宋体" w:cs="Times New Roman"/>
                      <w:color w:val="auto"/>
                      <w:lang w:eastAsia="zh-CN"/>
                    </w:rPr>
                    <w:t>5</w:t>
                  </w:r>
                </w:p>
              </w:tc>
              <w:tc>
                <w:tcPr>
                  <w:tcW w:w="935" w:type="pct"/>
                  <w:tcBorders>
                    <w:top w:val="single" w:color="auto" w:sz="4" w:space="0"/>
                    <w:left w:val="single" w:color="auto" w:sz="4" w:space="0"/>
                    <w:bottom w:val="single" w:color="auto" w:sz="4" w:space="0"/>
                    <w:right w:val="single" w:color="auto" w:sz="4" w:space="0"/>
                  </w:tcBorders>
                  <w:vAlign w:val="center"/>
                </w:tcPr>
                <w:p w14:paraId="0F477E4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44C52AF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07B9D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1CD125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西侧</w:t>
                  </w:r>
                </w:p>
              </w:tc>
              <w:tc>
                <w:tcPr>
                  <w:tcW w:w="603" w:type="pct"/>
                  <w:tcBorders>
                    <w:top w:val="single" w:color="auto" w:sz="4" w:space="0"/>
                    <w:left w:val="single" w:color="auto" w:sz="4" w:space="0"/>
                    <w:bottom w:val="single" w:color="auto" w:sz="4" w:space="0"/>
                    <w:right w:val="single" w:color="auto" w:sz="4" w:space="0"/>
                  </w:tcBorders>
                  <w:vAlign w:val="center"/>
                </w:tcPr>
                <w:p w14:paraId="1E9A3FB5">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-34</w:t>
                  </w:r>
                </w:p>
              </w:tc>
              <w:tc>
                <w:tcPr>
                  <w:tcW w:w="554" w:type="pct"/>
                  <w:tcBorders>
                    <w:top w:val="single" w:color="auto" w:sz="4" w:space="0"/>
                    <w:left w:val="single" w:color="auto" w:sz="4" w:space="0"/>
                    <w:bottom w:val="single" w:color="auto" w:sz="4" w:space="0"/>
                    <w:right w:val="single" w:color="auto" w:sz="4" w:space="0"/>
                  </w:tcBorders>
                  <w:vAlign w:val="center"/>
                </w:tcPr>
                <w:p w14:paraId="1E8AC00C">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-62.9</w:t>
                  </w:r>
                </w:p>
              </w:tc>
              <w:tc>
                <w:tcPr>
                  <w:tcW w:w="405" w:type="pct"/>
                  <w:tcBorders>
                    <w:top w:val="single" w:color="auto" w:sz="4" w:space="0"/>
                    <w:left w:val="single" w:color="auto" w:sz="4" w:space="0"/>
                    <w:bottom w:val="single" w:color="auto" w:sz="4" w:space="0"/>
                    <w:right w:val="single" w:color="auto" w:sz="4" w:space="0"/>
                  </w:tcBorders>
                  <w:vAlign w:val="center"/>
                </w:tcPr>
                <w:p w14:paraId="4BF6562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44545FE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73EEED5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49.</w:t>
                  </w:r>
                  <w:r>
                    <w:rPr>
                      <w:rFonts w:hint="eastAsia" w:cs="Times New Roman"/>
                      <w:color w:val="auto"/>
                      <w:lang w:val="en-US" w:eastAsia="zh-CN"/>
                    </w:rPr>
                    <w:t>3</w:t>
                  </w:r>
                </w:p>
              </w:tc>
              <w:tc>
                <w:tcPr>
                  <w:tcW w:w="935" w:type="pct"/>
                  <w:tcBorders>
                    <w:top w:val="single" w:color="auto" w:sz="4" w:space="0"/>
                    <w:left w:val="single" w:color="auto" w:sz="4" w:space="0"/>
                    <w:bottom w:val="single" w:color="auto" w:sz="4" w:space="0"/>
                    <w:right w:val="single" w:color="auto" w:sz="4" w:space="0"/>
                  </w:tcBorders>
                  <w:vAlign w:val="center"/>
                </w:tcPr>
                <w:p w14:paraId="3013073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65083A8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r w14:paraId="3079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1" w:type="pct"/>
                  <w:tcBorders>
                    <w:top w:val="single" w:color="auto" w:sz="4" w:space="0"/>
                    <w:left w:val="single" w:color="auto" w:sz="4" w:space="0"/>
                    <w:bottom w:val="single" w:color="auto" w:sz="4" w:space="0"/>
                    <w:right w:val="single" w:color="auto" w:sz="4" w:space="0"/>
                  </w:tcBorders>
                  <w:vAlign w:val="center"/>
                </w:tcPr>
                <w:p w14:paraId="7F9FA5F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北侧</w:t>
                  </w:r>
                </w:p>
              </w:tc>
              <w:tc>
                <w:tcPr>
                  <w:tcW w:w="603" w:type="pct"/>
                  <w:tcBorders>
                    <w:top w:val="single" w:color="auto" w:sz="4" w:space="0"/>
                    <w:left w:val="single" w:color="auto" w:sz="4" w:space="0"/>
                    <w:bottom w:val="single" w:color="auto" w:sz="4" w:space="0"/>
                    <w:right w:val="single" w:color="auto" w:sz="4" w:space="0"/>
                  </w:tcBorders>
                  <w:vAlign w:val="center"/>
                </w:tcPr>
                <w:p w14:paraId="2AAE5F7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7.9</w:t>
                  </w:r>
                </w:p>
              </w:tc>
              <w:tc>
                <w:tcPr>
                  <w:tcW w:w="554" w:type="pct"/>
                  <w:tcBorders>
                    <w:top w:val="single" w:color="auto" w:sz="4" w:space="0"/>
                    <w:left w:val="single" w:color="auto" w:sz="4" w:space="0"/>
                    <w:bottom w:val="single" w:color="auto" w:sz="4" w:space="0"/>
                    <w:right w:val="single" w:color="auto" w:sz="4" w:space="0"/>
                  </w:tcBorders>
                  <w:vAlign w:val="center"/>
                </w:tcPr>
                <w:p w14:paraId="7E90A87F">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13.8</w:t>
                  </w:r>
                </w:p>
              </w:tc>
              <w:tc>
                <w:tcPr>
                  <w:tcW w:w="405" w:type="pct"/>
                  <w:tcBorders>
                    <w:top w:val="single" w:color="auto" w:sz="4" w:space="0"/>
                    <w:left w:val="single" w:color="auto" w:sz="4" w:space="0"/>
                    <w:bottom w:val="single" w:color="auto" w:sz="4" w:space="0"/>
                    <w:right w:val="single" w:color="auto" w:sz="4" w:space="0"/>
                  </w:tcBorders>
                  <w:vAlign w:val="center"/>
                </w:tcPr>
                <w:p w14:paraId="0E9D1BA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1.2</w:t>
                  </w:r>
                </w:p>
              </w:tc>
              <w:tc>
                <w:tcPr>
                  <w:tcW w:w="580" w:type="pct"/>
                  <w:tcBorders>
                    <w:top w:val="single" w:color="auto" w:sz="4" w:space="0"/>
                    <w:left w:val="single" w:color="auto" w:sz="4" w:space="0"/>
                    <w:bottom w:val="single" w:color="auto" w:sz="4" w:space="0"/>
                    <w:right w:val="single" w:color="auto" w:sz="4" w:space="0"/>
                  </w:tcBorders>
                  <w:vAlign w:val="center"/>
                </w:tcPr>
                <w:p w14:paraId="3C3AB7E6">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昼间</w:t>
                  </w:r>
                </w:p>
              </w:tc>
              <w:tc>
                <w:tcPr>
                  <w:tcW w:w="804" w:type="pct"/>
                  <w:tcBorders>
                    <w:top w:val="single" w:color="auto" w:sz="4" w:space="0"/>
                    <w:left w:val="single" w:color="auto" w:sz="4" w:space="0"/>
                    <w:bottom w:val="single" w:color="auto" w:sz="4" w:space="0"/>
                    <w:right w:val="single" w:color="auto" w:sz="4" w:space="0"/>
                  </w:tcBorders>
                  <w:vAlign w:val="center"/>
                </w:tcPr>
                <w:p w14:paraId="33ADD16A">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rPr>
                    <w:t>5</w:t>
                  </w:r>
                  <w:r>
                    <w:rPr>
                      <w:rFonts w:hint="eastAsia" w:cs="Times New Roman"/>
                      <w:color w:val="auto"/>
                      <w:lang w:val="en-US" w:eastAsia="zh-CN"/>
                    </w:rPr>
                    <w:t>8.7</w:t>
                  </w:r>
                </w:p>
              </w:tc>
              <w:tc>
                <w:tcPr>
                  <w:tcW w:w="935" w:type="pct"/>
                  <w:tcBorders>
                    <w:top w:val="single" w:color="auto" w:sz="4" w:space="0"/>
                    <w:left w:val="single" w:color="auto" w:sz="4" w:space="0"/>
                    <w:bottom w:val="single" w:color="auto" w:sz="4" w:space="0"/>
                    <w:right w:val="single" w:color="auto" w:sz="4" w:space="0"/>
                  </w:tcBorders>
                  <w:vAlign w:val="center"/>
                </w:tcPr>
                <w:p w14:paraId="2E47A7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664" w:type="pct"/>
                  <w:tcBorders>
                    <w:top w:val="single" w:color="auto" w:sz="4" w:space="0"/>
                    <w:left w:val="single" w:color="auto" w:sz="4" w:space="0"/>
                    <w:bottom w:val="single" w:color="auto" w:sz="4" w:space="0"/>
                    <w:right w:val="single" w:color="auto" w:sz="4" w:space="0"/>
                  </w:tcBorders>
                  <w:vAlign w:val="center"/>
                </w:tcPr>
                <w:p w14:paraId="0DF94FD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31AD2DE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bidi="ar"/>
              </w:rPr>
            </w:pPr>
            <w:r>
              <w:rPr>
                <w:rFonts w:hint="eastAsia" w:ascii="Times New Roman" w:hAnsi="Times New Roman" w:eastAsia="宋体" w:cs="Times New Roman"/>
                <w:color w:val="auto"/>
                <w:sz w:val="24"/>
                <w:lang w:eastAsia="zh-CN"/>
              </w:rPr>
              <w:t>由上表可见，各噪声源对厂界噪声贡献值较小，厂界噪声最大值为东侧</w:t>
            </w:r>
            <w:r>
              <w:rPr>
                <w:rFonts w:hint="eastAsia" w:cs="Times New Roman"/>
                <w:color w:val="auto"/>
                <w:sz w:val="24"/>
                <w:lang w:eastAsia="zh-CN"/>
              </w:rPr>
              <w:t>、</w:t>
            </w:r>
            <w:r>
              <w:rPr>
                <w:rFonts w:hint="eastAsia" w:cs="Times New Roman"/>
                <w:color w:val="auto"/>
                <w:sz w:val="24"/>
                <w:lang w:val="en-US" w:eastAsia="zh-CN"/>
              </w:rPr>
              <w:t>南侧</w:t>
            </w:r>
            <w:r>
              <w:rPr>
                <w:rFonts w:hint="eastAsia" w:ascii="Times New Roman" w:hAnsi="Times New Roman" w:eastAsia="宋体" w:cs="Times New Roman"/>
                <w:color w:val="auto"/>
                <w:sz w:val="24"/>
                <w:lang w:eastAsia="zh-CN"/>
              </w:rPr>
              <w:t>的58.</w:t>
            </w:r>
            <w:r>
              <w:rPr>
                <w:rFonts w:hint="eastAsia" w:cs="Times New Roman"/>
                <w:color w:val="auto"/>
                <w:sz w:val="24"/>
                <w:lang w:val="en-US" w:eastAsia="zh-CN"/>
              </w:rPr>
              <w:t>7</w:t>
            </w:r>
            <w:r>
              <w:rPr>
                <w:rFonts w:hint="eastAsia" w:ascii="Times New Roman" w:hAnsi="Times New Roman" w:eastAsia="宋体" w:cs="Times New Roman"/>
                <w:color w:val="auto"/>
                <w:sz w:val="24"/>
                <w:lang w:eastAsia="zh-CN"/>
              </w:rPr>
              <w:t>dB（A）。本项目运营期噪声通过相应的降噪措施和距离衰减后，</w:t>
            </w:r>
            <w:r>
              <w:rPr>
                <w:rFonts w:hint="eastAsia" w:ascii="Times New Roman" w:hAnsi="Times New Roman" w:eastAsia="宋体" w:cs="Times New Roman"/>
                <w:color w:val="auto"/>
                <w:sz w:val="24"/>
                <w:lang w:eastAsia="zh-CN" w:bidi="ar"/>
              </w:rPr>
              <w:t>项目厂界噪声预测结果均达标，</w:t>
            </w:r>
            <w:r>
              <w:rPr>
                <w:rFonts w:hint="eastAsia" w:ascii="Times New Roman" w:hAnsi="Times New Roman" w:eastAsia="宋体" w:cs="Times New Roman"/>
                <w:color w:val="auto"/>
                <w:sz w:val="24"/>
                <w:lang w:eastAsia="zh-CN"/>
              </w:rPr>
              <w:t>厂界噪声满足《工业企业厂界环境噪声排放标准》（GB</w:t>
            </w:r>
            <w:r>
              <w:rPr>
                <w:rFonts w:hint="eastAsia" w:cs="Times New Roman"/>
                <w:color w:val="auto"/>
                <w:sz w:val="24"/>
                <w:lang w:val="en-US" w:eastAsia="zh-CN"/>
              </w:rPr>
              <w:t xml:space="preserve"> </w:t>
            </w:r>
            <w:r>
              <w:rPr>
                <w:rFonts w:hint="eastAsia" w:ascii="Times New Roman" w:hAnsi="Times New Roman" w:eastAsia="宋体" w:cs="Times New Roman"/>
                <w:color w:val="auto"/>
                <w:sz w:val="24"/>
                <w:lang w:eastAsia="zh-CN"/>
              </w:rPr>
              <w:t>12348-2008）2类标准要求，即：昼间噪声值小于60dB（A），本项目夜间不运行。</w:t>
            </w:r>
            <w:r>
              <w:rPr>
                <w:rFonts w:hint="eastAsia" w:ascii="Times New Roman" w:hAnsi="Times New Roman" w:eastAsia="宋体" w:cs="Times New Roman"/>
                <w:color w:val="auto"/>
                <w:sz w:val="24"/>
                <w:lang w:eastAsia="zh-CN" w:bidi="ar"/>
              </w:rPr>
              <w:t>综上，本项目建成后厂界噪声均能达标，对周围环境影响较小。</w:t>
            </w:r>
          </w:p>
          <w:p w14:paraId="5BC5DD3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lang w:eastAsia="zh-CN" w:bidi="ar"/>
              </w:rPr>
            </w:pPr>
            <w:r>
              <w:rPr>
                <w:rFonts w:hint="eastAsia" w:ascii="Times New Roman" w:hAnsi="Times New Roman" w:eastAsia="宋体" w:cs="Times New Roman"/>
                <w:b/>
                <w:bCs/>
                <w:color w:val="auto"/>
                <w:sz w:val="24"/>
                <w:lang w:eastAsia="zh-CN" w:bidi="ar"/>
              </w:rPr>
              <w:t>B.保护目标</w:t>
            </w:r>
          </w:p>
          <w:p w14:paraId="50C55875">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 xml:space="preserve">表4-14  </w:t>
            </w:r>
            <w:r>
              <w:rPr>
                <w:rFonts w:ascii="Times New Roman" w:hAnsi="Times New Roman" w:eastAsia="宋体" w:cs="Times New Roman"/>
                <w:b/>
                <w:bCs/>
                <w:color w:val="auto"/>
                <w:sz w:val="24"/>
                <w:lang w:eastAsia="zh-CN"/>
              </w:rPr>
              <w:t>声环境保护目标噪声预测结果与达标分析表</w:t>
            </w:r>
            <w:r>
              <w:rPr>
                <w:rFonts w:hint="eastAsia" w:ascii="Times New Roman" w:hAnsi="Times New Roman" w:eastAsia="宋体" w:cs="Times New Roman"/>
                <w:b/>
                <w:bCs/>
                <w:color w:val="auto"/>
                <w:sz w:val="24"/>
                <w:lang w:eastAsia="zh-CN"/>
              </w:rPr>
              <w:t xml:space="preserve">  单位：dB（A）</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233"/>
              <w:gridCol w:w="1105"/>
              <w:gridCol w:w="1091"/>
              <w:gridCol w:w="1002"/>
              <w:gridCol w:w="1436"/>
              <w:gridCol w:w="1270"/>
            </w:tblGrid>
            <w:tr w14:paraId="0991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tcBorders>
                    <w:top w:val="single" w:color="auto" w:sz="4" w:space="0"/>
                    <w:left w:val="single" w:color="auto" w:sz="4" w:space="0"/>
                    <w:bottom w:val="single" w:color="auto" w:sz="4" w:space="0"/>
                    <w:right w:val="single" w:color="auto" w:sz="4" w:space="0"/>
                  </w:tcBorders>
                  <w:vAlign w:val="center"/>
                </w:tcPr>
                <w:p w14:paraId="3DDF5E8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
                      <w:color w:val="auto"/>
                      <w:lang w:eastAsia="zh-CN" w:bidi="ar"/>
                    </w:rPr>
                    <w:t>保护目标</w:t>
                  </w:r>
                </w:p>
              </w:tc>
              <w:tc>
                <w:tcPr>
                  <w:tcW w:w="732" w:type="pct"/>
                  <w:tcBorders>
                    <w:top w:val="single" w:color="auto" w:sz="4" w:space="0"/>
                    <w:left w:val="single" w:color="auto" w:sz="4" w:space="0"/>
                    <w:bottom w:val="single" w:color="auto" w:sz="4" w:space="0"/>
                    <w:right w:val="single" w:color="auto" w:sz="4" w:space="0"/>
                  </w:tcBorders>
                  <w:vAlign w:val="center"/>
                </w:tcPr>
                <w:p w14:paraId="3D3AAC66">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现状值</w:t>
                  </w:r>
                </w:p>
              </w:tc>
              <w:tc>
                <w:tcPr>
                  <w:tcW w:w="656" w:type="pct"/>
                  <w:tcBorders>
                    <w:top w:val="single" w:color="auto" w:sz="4" w:space="0"/>
                    <w:left w:val="single" w:color="auto" w:sz="4" w:space="0"/>
                    <w:bottom w:val="single" w:color="auto" w:sz="4" w:space="0"/>
                    <w:right w:val="single" w:color="auto" w:sz="4" w:space="0"/>
                  </w:tcBorders>
                  <w:vAlign w:val="center"/>
                </w:tcPr>
                <w:p w14:paraId="0EF49DD9">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贡献值</w:t>
                  </w:r>
                </w:p>
              </w:tc>
              <w:tc>
                <w:tcPr>
                  <w:tcW w:w="648" w:type="pct"/>
                  <w:tcBorders>
                    <w:top w:val="single" w:color="auto" w:sz="4" w:space="0"/>
                    <w:left w:val="single" w:color="auto" w:sz="4" w:space="0"/>
                    <w:bottom w:val="single" w:color="auto" w:sz="4" w:space="0"/>
                    <w:right w:val="single" w:color="auto" w:sz="4" w:space="0"/>
                  </w:tcBorders>
                  <w:vAlign w:val="center"/>
                </w:tcPr>
                <w:p w14:paraId="59584AA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预测值</w:t>
                  </w:r>
                </w:p>
              </w:tc>
              <w:tc>
                <w:tcPr>
                  <w:tcW w:w="595" w:type="pct"/>
                  <w:tcBorders>
                    <w:top w:val="single" w:color="auto" w:sz="4" w:space="0"/>
                    <w:left w:val="single" w:color="auto" w:sz="4" w:space="0"/>
                    <w:bottom w:val="single" w:color="auto" w:sz="4" w:space="0"/>
                    <w:right w:val="single" w:color="auto" w:sz="4" w:space="0"/>
                  </w:tcBorders>
                  <w:vAlign w:val="center"/>
                </w:tcPr>
                <w:p w14:paraId="2B359535">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标准值</w:t>
                  </w:r>
                </w:p>
              </w:tc>
              <w:tc>
                <w:tcPr>
                  <w:tcW w:w="853" w:type="pct"/>
                  <w:tcBorders>
                    <w:top w:val="single" w:color="auto" w:sz="4" w:space="0"/>
                    <w:left w:val="single" w:color="auto" w:sz="4" w:space="0"/>
                    <w:bottom w:val="single" w:color="auto" w:sz="4" w:space="0"/>
                    <w:right w:val="single" w:color="auto" w:sz="4" w:space="0"/>
                  </w:tcBorders>
                  <w:vAlign w:val="center"/>
                </w:tcPr>
                <w:p w14:paraId="41A9DB3C">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较现状增量</w:t>
                  </w:r>
                </w:p>
              </w:tc>
              <w:tc>
                <w:tcPr>
                  <w:tcW w:w="754" w:type="pct"/>
                  <w:tcBorders>
                    <w:top w:val="single" w:color="auto" w:sz="4" w:space="0"/>
                    <w:left w:val="single" w:color="auto" w:sz="4" w:space="0"/>
                    <w:bottom w:val="single" w:color="auto" w:sz="4" w:space="0"/>
                    <w:right w:val="single" w:color="auto" w:sz="4" w:space="0"/>
                  </w:tcBorders>
                  <w:vAlign w:val="center"/>
                </w:tcPr>
                <w:p w14:paraId="2C4C637E">
                  <w:pPr>
                    <w:kinsoku/>
                    <w:overflowPunct w:val="0"/>
                    <w:autoSpaceDE/>
                    <w:autoSpaceDN/>
                    <w:adjustRightInd/>
                    <w:snapToGrid/>
                    <w:jc w:val="center"/>
                    <w:rPr>
                      <w:rFonts w:ascii="Times New Roman" w:hAnsi="Times New Roman" w:eastAsia="宋体" w:cs="Times New Roman"/>
                      <w:b/>
                      <w:bCs/>
                      <w:color w:val="auto"/>
                    </w:rPr>
                  </w:pPr>
                  <w:r>
                    <w:rPr>
                      <w:rFonts w:hint="eastAsia" w:ascii="Times New Roman" w:hAnsi="Times New Roman" w:eastAsia="宋体" w:cs="Times New Roman"/>
                      <w:b/>
                      <w:bCs/>
                      <w:color w:val="auto"/>
                      <w:lang w:bidi="ar"/>
                    </w:rPr>
                    <w:t>达标情况</w:t>
                  </w:r>
                </w:p>
              </w:tc>
            </w:tr>
            <w:tr w14:paraId="788EA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9" w:type="pct"/>
                  <w:tcBorders>
                    <w:top w:val="single" w:color="auto" w:sz="4" w:space="0"/>
                    <w:left w:val="single" w:color="auto" w:sz="4" w:space="0"/>
                    <w:bottom w:val="single" w:color="auto" w:sz="4" w:space="0"/>
                    <w:right w:val="single" w:color="auto" w:sz="4" w:space="0"/>
                  </w:tcBorders>
                  <w:vAlign w:val="center"/>
                </w:tcPr>
                <w:p w14:paraId="30A71A7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泽铁社区散户（1户4人）</w:t>
                  </w:r>
                </w:p>
              </w:tc>
              <w:tc>
                <w:tcPr>
                  <w:tcW w:w="732" w:type="pct"/>
                  <w:tcBorders>
                    <w:top w:val="single" w:color="auto" w:sz="4" w:space="0"/>
                    <w:left w:val="single" w:color="auto" w:sz="4" w:space="0"/>
                    <w:bottom w:val="single" w:color="auto" w:sz="4" w:space="0"/>
                    <w:right w:val="single" w:color="auto" w:sz="4" w:space="0"/>
                  </w:tcBorders>
                  <w:vAlign w:val="center"/>
                </w:tcPr>
                <w:p w14:paraId="15AE6C4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56.5</w:t>
                  </w:r>
                </w:p>
              </w:tc>
              <w:tc>
                <w:tcPr>
                  <w:tcW w:w="656" w:type="pct"/>
                  <w:tcBorders>
                    <w:top w:val="single" w:color="auto" w:sz="4" w:space="0"/>
                    <w:left w:val="single" w:color="auto" w:sz="4" w:space="0"/>
                    <w:bottom w:val="single" w:color="auto" w:sz="4" w:space="0"/>
                    <w:right w:val="single" w:color="auto" w:sz="4" w:space="0"/>
                  </w:tcBorders>
                  <w:vAlign w:val="center"/>
                </w:tcPr>
                <w:p w14:paraId="5F7C594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eastAsia="zh-CN"/>
                    </w:rPr>
                    <w:t>3</w:t>
                  </w:r>
                  <w:r>
                    <w:rPr>
                      <w:rFonts w:hint="eastAsia" w:cs="Times New Roman"/>
                      <w:color w:val="auto"/>
                      <w:lang w:val="en-US" w:eastAsia="zh-CN"/>
                    </w:rPr>
                    <w:t>0.8</w:t>
                  </w:r>
                </w:p>
              </w:tc>
              <w:tc>
                <w:tcPr>
                  <w:tcW w:w="648" w:type="pct"/>
                  <w:tcBorders>
                    <w:top w:val="single" w:color="auto" w:sz="4" w:space="0"/>
                    <w:left w:val="single" w:color="auto" w:sz="4" w:space="0"/>
                    <w:bottom w:val="single" w:color="auto" w:sz="4" w:space="0"/>
                    <w:right w:val="single" w:color="auto" w:sz="4" w:space="0"/>
                  </w:tcBorders>
                  <w:vAlign w:val="center"/>
                </w:tcPr>
                <w:p w14:paraId="4079B3D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56.51</w:t>
                  </w:r>
                </w:p>
              </w:tc>
              <w:tc>
                <w:tcPr>
                  <w:tcW w:w="595" w:type="pct"/>
                  <w:tcBorders>
                    <w:top w:val="single" w:color="auto" w:sz="4" w:space="0"/>
                    <w:left w:val="single" w:color="auto" w:sz="4" w:space="0"/>
                    <w:bottom w:val="single" w:color="auto" w:sz="4" w:space="0"/>
                    <w:right w:val="single" w:color="auto" w:sz="4" w:space="0"/>
                  </w:tcBorders>
                  <w:vAlign w:val="center"/>
                </w:tcPr>
                <w:p w14:paraId="17F4F7A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60</w:t>
                  </w:r>
                </w:p>
              </w:tc>
              <w:tc>
                <w:tcPr>
                  <w:tcW w:w="853" w:type="pct"/>
                  <w:tcBorders>
                    <w:top w:val="single" w:color="auto" w:sz="4" w:space="0"/>
                    <w:left w:val="single" w:color="auto" w:sz="4" w:space="0"/>
                    <w:bottom w:val="single" w:color="auto" w:sz="4" w:space="0"/>
                    <w:right w:val="single" w:color="auto" w:sz="4" w:space="0"/>
                  </w:tcBorders>
                  <w:vAlign w:val="center"/>
                </w:tcPr>
                <w:p w14:paraId="2BCE870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w:t>
                  </w:r>
                </w:p>
              </w:tc>
              <w:tc>
                <w:tcPr>
                  <w:tcW w:w="754" w:type="pct"/>
                  <w:tcBorders>
                    <w:top w:val="single" w:color="auto" w:sz="4" w:space="0"/>
                    <w:left w:val="single" w:color="auto" w:sz="4" w:space="0"/>
                    <w:bottom w:val="single" w:color="auto" w:sz="4" w:space="0"/>
                    <w:right w:val="single" w:color="auto" w:sz="4" w:space="0"/>
                  </w:tcBorders>
                  <w:vAlign w:val="center"/>
                </w:tcPr>
                <w:p w14:paraId="2D1E256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达标</w:t>
                  </w:r>
                </w:p>
              </w:tc>
            </w:tr>
          </w:tbl>
          <w:p w14:paraId="14C1827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lang w:eastAsia="zh-CN" w:bidi="ar"/>
              </w:rPr>
              <w:t>距本项目最近的环境敏感点为东侧30m处的</w:t>
            </w:r>
            <w:r>
              <w:rPr>
                <w:rFonts w:hint="eastAsia" w:ascii="Times New Roman" w:hAnsi="Times New Roman" w:eastAsia="宋体" w:cs="Times New Roman"/>
                <w:color w:val="auto"/>
                <w:sz w:val="24"/>
                <w:szCs w:val="24"/>
                <w:lang w:eastAsia="zh-CN"/>
              </w:rPr>
              <w:t>泽铁社区</w:t>
            </w:r>
            <w:r>
              <w:rPr>
                <w:rFonts w:hint="eastAsia" w:ascii="Times New Roman" w:hAnsi="Times New Roman" w:eastAsia="宋体" w:cs="Times New Roman"/>
                <w:color w:val="auto"/>
                <w:sz w:val="24"/>
                <w:lang w:eastAsia="zh-CN" w:bidi="ar"/>
              </w:rPr>
              <w:t>散户，根据上表可知，本项目运营期噪声在</w:t>
            </w:r>
            <w:r>
              <w:rPr>
                <w:rFonts w:hint="eastAsia" w:ascii="Times New Roman" w:hAnsi="Times New Roman" w:eastAsia="宋体" w:cs="Times New Roman"/>
                <w:color w:val="auto"/>
                <w:sz w:val="24"/>
                <w:szCs w:val="24"/>
                <w:lang w:eastAsia="zh-CN"/>
              </w:rPr>
              <w:t>泽铁社区</w:t>
            </w:r>
            <w:r>
              <w:rPr>
                <w:rFonts w:hint="eastAsia" w:ascii="Times New Roman" w:hAnsi="Times New Roman" w:eastAsia="宋体" w:cs="Times New Roman"/>
                <w:color w:val="auto"/>
                <w:sz w:val="24"/>
                <w:lang w:eastAsia="zh-CN" w:bidi="ar"/>
              </w:rPr>
              <w:t>散户处贡献值为30.</w:t>
            </w:r>
            <w:r>
              <w:rPr>
                <w:rFonts w:hint="eastAsia" w:cs="Times New Roman"/>
                <w:color w:val="auto"/>
                <w:sz w:val="24"/>
                <w:lang w:val="en-US" w:eastAsia="zh-CN" w:bidi="ar"/>
              </w:rPr>
              <w:t>8</w:t>
            </w:r>
            <w:r>
              <w:rPr>
                <w:rFonts w:hint="eastAsia" w:ascii="Times New Roman" w:hAnsi="Times New Roman" w:eastAsia="宋体" w:cs="Times New Roman"/>
                <w:color w:val="auto"/>
                <w:sz w:val="24"/>
                <w:lang w:eastAsia="zh-CN"/>
              </w:rPr>
              <w:t>dB（A），与环境噪声现状监测值56.5dB（A）叠加后为56.51dB（A），</w:t>
            </w:r>
            <w:r>
              <w:rPr>
                <w:rFonts w:hint="eastAsia" w:ascii="Times New Roman" w:hAnsi="Times New Roman" w:eastAsia="宋体" w:cs="Times New Roman"/>
                <w:color w:val="auto"/>
                <w:sz w:val="24"/>
                <w:lang w:eastAsia="zh-CN" w:bidi="ar"/>
              </w:rPr>
              <w:t>可达到</w:t>
            </w:r>
            <w:r>
              <w:rPr>
                <w:rFonts w:ascii="Times New Roman" w:hAnsi="Times New Roman" w:eastAsia="宋体" w:cs="Times New Roman"/>
                <w:color w:val="auto"/>
                <w:sz w:val="24"/>
                <w:lang w:eastAsia="zh-CN"/>
              </w:rPr>
              <w:t>《声环境质量标准》（GB</w:t>
            </w:r>
            <w:r>
              <w:rPr>
                <w:rFonts w:hint="eastAsia" w:cs="Times New Roman"/>
                <w:color w:val="auto"/>
                <w:sz w:val="24"/>
                <w:lang w:val="en-US" w:eastAsia="zh-CN"/>
              </w:rPr>
              <w:t xml:space="preserve"> </w:t>
            </w:r>
            <w:r>
              <w:rPr>
                <w:rFonts w:ascii="Times New Roman" w:hAnsi="Times New Roman" w:eastAsia="宋体" w:cs="Times New Roman"/>
                <w:color w:val="auto"/>
                <w:sz w:val="24"/>
                <w:lang w:eastAsia="zh-CN"/>
              </w:rPr>
              <w:t>3096-2008）</w:t>
            </w:r>
            <w:r>
              <w:rPr>
                <w:rFonts w:hint="eastAsia" w:ascii="Times New Roman" w:hAnsi="Times New Roman" w:eastAsia="宋体" w:cs="Times New Roman"/>
                <w:color w:val="auto"/>
                <w:sz w:val="24"/>
                <w:lang w:eastAsia="zh-CN"/>
              </w:rPr>
              <w:t>2类标准，即昼间60dB（A）的限值要求</w:t>
            </w:r>
            <w:r>
              <w:rPr>
                <w:rFonts w:hint="eastAsia" w:ascii="Times New Roman" w:hAnsi="Times New Roman" w:eastAsia="宋体" w:cs="Times New Roman"/>
                <w:color w:val="auto"/>
                <w:sz w:val="24"/>
                <w:lang w:eastAsia="zh-CN" w:bidi="ar"/>
              </w:rPr>
              <w:t>，本项目夜间不运行，对其影响较小。</w:t>
            </w:r>
          </w:p>
          <w:p w14:paraId="5EB5BAA8">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w:t>
            </w:r>
            <w:r>
              <w:rPr>
                <w:rFonts w:hint="eastAsia" w:ascii="Times New Roman" w:hAnsi="Times New Roman" w:eastAsia="宋体" w:cs="Times New Roman"/>
                <w:b/>
                <w:bCs/>
                <w:color w:val="auto"/>
                <w:sz w:val="24"/>
                <w:szCs w:val="24"/>
                <w:lang w:eastAsia="zh-CN"/>
              </w:rPr>
              <w:t>3</w:t>
            </w:r>
            <w:r>
              <w:rPr>
                <w:rFonts w:ascii="Times New Roman" w:hAnsi="Times New Roman" w:eastAsia="宋体" w:cs="Times New Roman"/>
                <w:b/>
                <w:bCs/>
                <w:color w:val="auto"/>
                <w:sz w:val="24"/>
                <w:szCs w:val="24"/>
                <w:lang w:eastAsia="zh-CN"/>
              </w:rPr>
              <w:t>噪声监测计划</w:t>
            </w:r>
          </w:p>
          <w:p w14:paraId="7CC6B32B">
            <w:pPr>
              <w:pStyle w:val="30"/>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根据《排污单位自行监测技术指南总则》（HJ819-2017），本项目噪声自行监测计划如下表所示：</w:t>
            </w:r>
          </w:p>
          <w:p w14:paraId="6DD4674A">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表4-15 噪声监测计划表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3"/>
              <w:gridCol w:w="1484"/>
              <w:gridCol w:w="1451"/>
              <w:gridCol w:w="2294"/>
              <w:gridCol w:w="1828"/>
            </w:tblGrid>
            <w:tr w14:paraId="3F6CB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jc w:val="center"/>
              </w:trPr>
              <w:tc>
                <w:tcPr>
                  <w:tcW w:w="1375" w:type="dxa"/>
                  <w:vAlign w:val="center"/>
                </w:tcPr>
                <w:p w14:paraId="088B66A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监测点位</w:t>
                  </w:r>
                </w:p>
              </w:tc>
              <w:tc>
                <w:tcPr>
                  <w:tcW w:w="1506" w:type="dxa"/>
                  <w:vAlign w:val="center"/>
                </w:tcPr>
                <w:p w14:paraId="66EE471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监测项目</w:t>
                  </w:r>
                </w:p>
              </w:tc>
              <w:tc>
                <w:tcPr>
                  <w:tcW w:w="1507" w:type="dxa"/>
                  <w:vAlign w:val="center"/>
                </w:tcPr>
                <w:p w14:paraId="5E296A0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时间及频次</w:t>
                  </w:r>
                </w:p>
              </w:tc>
              <w:tc>
                <w:tcPr>
                  <w:tcW w:w="2369" w:type="dxa"/>
                  <w:vAlign w:val="center"/>
                </w:tcPr>
                <w:p w14:paraId="75D5B5B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c>
                <w:tcPr>
                  <w:tcW w:w="1875" w:type="dxa"/>
                  <w:vAlign w:val="center"/>
                </w:tcPr>
                <w:p w14:paraId="22A8C3D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标准限值</w:t>
                  </w:r>
                </w:p>
              </w:tc>
            </w:tr>
            <w:tr w14:paraId="6E0DF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5" w:hRule="atLeast"/>
                <w:jc w:val="center"/>
              </w:trPr>
              <w:tc>
                <w:tcPr>
                  <w:tcW w:w="1375" w:type="dxa"/>
                  <w:vAlign w:val="center"/>
                </w:tcPr>
                <w:p w14:paraId="4953E68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厂界外东、南、西、北1m处</w:t>
                  </w:r>
                </w:p>
              </w:tc>
              <w:tc>
                <w:tcPr>
                  <w:tcW w:w="1506" w:type="dxa"/>
                  <w:vAlign w:val="center"/>
                </w:tcPr>
                <w:p w14:paraId="32BEFD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等效声级Leq(dB(A))</w:t>
                  </w:r>
                </w:p>
              </w:tc>
              <w:tc>
                <w:tcPr>
                  <w:tcW w:w="1507" w:type="dxa"/>
                  <w:vAlign w:val="center"/>
                </w:tcPr>
                <w:p w14:paraId="6407E79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1次/季</w:t>
                  </w:r>
                </w:p>
              </w:tc>
              <w:tc>
                <w:tcPr>
                  <w:tcW w:w="2369" w:type="dxa"/>
                  <w:vAlign w:val="center"/>
                </w:tcPr>
                <w:p w14:paraId="1E4C27F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《工业企业厂界环境噪声排放标准》（GB</w:t>
                  </w:r>
                  <w:r>
                    <w:rPr>
                      <w:rFonts w:hint="eastAsia" w:cs="Times New Roman"/>
                      <w:color w:val="auto"/>
                      <w:sz w:val="21"/>
                      <w:szCs w:val="21"/>
                      <w:lang w:val="en-US" w:eastAsia="zh-CN"/>
                    </w:rPr>
                    <w:t xml:space="preserve"> </w:t>
                  </w:r>
                  <w:r>
                    <w:rPr>
                      <w:rFonts w:ascii="Times New Roman" w:hAnsi="Times New Roman" w:eastAsia="宋体" w:cs="Times New Roman"/>
                      <w:color w:val="auto"/>
                      <w:sz w:val="21"/>
                      <w:szCs w:val="21"/>
                      <w:lang w:eastAsia="zh-CN"/>
                    </w:rPr>
                    <w:t>12348-2008）2类标准</w:t>
                  </w:r>
                </w:p>
              </w:tc>
              <w:tc>
                <w:tcPr>
                  <w:tcW w:w="1875" w:type="dxa"/>
                  <w:vAlign w:val="center"/>
                </w:tcPr>
                <w:p w14:paraId="6AA599E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昼间60dB（A），夜间50dB（A）</w:t>
                  </w:r>
                </w:p>
              </w:tc>
            </w:tr>
          </w:tbl>
          <w:p w14:paraId="2932210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五、固体废物</w:t>
            </w:r>
          </w:p>
          <w:p w14:paraId="0328BAF8">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5.1固体废弃物产生及处置措施</w:t>
            </w:r>
          </w:p>
          <w:p w14:paraId="4C9977E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项目运营过程中产生的固废包括</w:t>
            </w:r>
            <w:r>
              <w:rPr>
                <w:rFonts w:hint="eastAsia" w:ascii="Times New Roman" w:hAnsi="Times New Roman" w:eastAsia="宋体" w:cs="Times New Roman"/>
                <w:color w:val="auto"/>
                <w:sz w:val="24"/>
                <w:szCs w:val="24"/>
                <w:lang w:eastAsia="zh-CN"/>
              </w:rPr>
              <w:t>收集尘</w:t>
            </w:r>
            <w:r>
              <w:rPr>
                <w:rFonts w:ascii="Times New Roman" w:hAnsi="Times New Roman" w:eastAsia="宋体" w:cs="Times New Roman"/>
                <w:color w:val="auto"/>
                <w:sz w:val="24"/>
                <w:szCs w:val="24"/>
                <w:lang w:eastAsia="zh-CN"/>
              </w:rPr>
              <w:t>、生活垃圾、隔油池油污、</w:t>
            </w:r>
            <w:r>
              <w:rPr>
                <w:rFonts w:hint="eastAsia" w:ascii="Times New Roman" w:hAnsi="Times New Roman" w:eastAsia="宋体" w:cs="Times New Roman"/>
                <w:color w:val="auto"/>
                <w:sz w:val="24"/>
                <w:szCs w:val="24"/>
                <w:lang w:eastAsia="zh-CN"/>
              </w:rPr>
              <w:t>污水处理</w:t>
            </w:r>
            <w:r>
              <w:rPr>
                <w:rFonts w:ascii="Times New Roman" w:hAnsi="Times New Roman" w:eastAsia="宋体" w:cs="Times New Roman"/>
                <w:color w:val="auto"/>
                <w:sz w:val="24"/>
                <w:szCs w:val="24"/>
                <w:lang w:eastAsia="zh-CN"/>
              </w:rPr>
              <w:t>污泥</w:t>
            </w:r>
            <w:r>
              <w:rPr>
                <w:rFonts w:hint="eastAsia" w:ascii="Times New Roman" w:hAnsi="Times New Roman" w:eastAsia="宋体" w:cs="Times New Roman"/>
                <w:color w:val="auto"/>
                <w:sz w:val="24"/>
                <w:szCs w:val="24"/>
                <w:lang w:eastAsia="zh-CN"/>
              </w:rPr>
              <w:t>、初期雨水收集池污泥、废机油、废含油手套及抹布</w:t>
            </w:r>
            <w:r>
              <w:rPr>
                <w:rFonts w:ascii="Times New Roman" w:hAnsi="Times New Roman" w:eastAsia="宋体" w:cs="Times New Roman"/>
                <w:color w:val="auto"/>
                <w:sz w:val="24"/>
                <w:szCs w:val="24"/>
                <w:lang w:eastAsia="zh-CN"/>
              </w:rPr>
              <w:t>。</w:t>
            </w:r>
          </w:p>
          <w:p w14:paraId="3699175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①</w:t>
            </w:r>
            <w:r>
              <w:rPr>
                <w:rFonts w:hint="eastAsia" w:ascii="Times New Roman" w:hAnsi="Times New Roman" w:eastAsia="宋体" w:cs="Times New Roman"/>
                <w:b/>
                <w:bCs/>
                <w:color w:val="auto"/>
                <w:sz w:val="24"/>
                <w:szCs w:val="24"/>
                <w:lang w:eastAsia="zh-CN"/>
              </w:rPr>
              <w:t>收集尘</w:t>
            </w:r>
          </w:p>
          <w:p w14:paraId="2A21F16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根据大气污染物源强章节核算，布袋除尘器收集的粉尘量约为</w:t>
            </w:r>
            <w:r>
              <w:rPr>
                <w:rFonts w:hint="eastAsia" w:cs="Times New Roman"/>
                <w:color w:val="auto"/>
                <w:sz w:val="24"/>
                <w:szCs w:val="24"/>
                <w:lang w:val="en-US" w:eastAsia="zh-CN"/>
              </w:rPr>
              <w:t>14.256</w:t>
            </w:r>
            <w:r>
              <w:rPr>
                <w:rFonts w:ascii="Times New Roman" w:hAnsi="Times New Roman" w:eastAsia="宋体" w:cs="Times New Roman"/>
                <w:color w:val="auto"/>
                <w:sz w:val="24"/>
                <w:szCs w:val="24"/>
                <w:lang w:eastAsia="zh-CN"/>
              </w:rPr>
              <w:t>t/a，根据</w:t>
            </w:r>
            <w:r>
              <w:rPr>
                <w:rFonts w:hint="eastAsia" w:ascii="Times New Roman" w:hAnsi="Times New Roman" w:eastAsia="宋体" w:cs="Times New Roman"/>
                <w:color w:val="auto"/>
                <w:sz w:val="24"/>
                <w:szCs w:val="24"/>
                <w:lang w:eastAsia="zh-CN"/>
              </w:rPr>
              <w:t>《固体废物分类与代码目录》</w:t>
            </w:r>
            <w:r>
              <w:rPr>
                <w:rFonts w:ascii="Times New Roman" w:hAnsi="Times New Roman" w:eastAsia="宋体" w:cs="Times New Roman"/>
                <w:color w:val="auto"/>
                <w:sz w:val="24"/>
                <w:szCs w:val="24"/>
                <w:lang w:eastAsia="zh-CN"/>
              </w:rPr>
              <w:t>代码为</w:t>
            </w:r>
            <w:r>
              <w:rPr>
                <w:rFonts w:hint="eastAsia" w:ascii="Times New Roman" w:hAnsi="Times New Roman" w:eastAsia="宋体" w:cs="Times New Roman"/>
                <w:color w:val="auto"/>
                <w:sz w:val="24"/>
                <w:szCs w:val="24"/>
                <w:lang w:eastAsia="zh-CN"/>
              </w:rPr>
              <w:t>900-099-S59，收集尘</w:t>
            </w:r>
            <w:r>
              <w:rPr>
                <w:rFonts w:ascii="Times New Roman" w:hAnsi="Times New Roman" w:eastAsia="宋体" w:cs="Times New Roman"/>
                <w:color w:val="auto"/>
                <w:sz w:val="24"/>
                <w:szCs w:val="24"/>
                <w:lang w:eastAsia="zh-CN"/>
              </w:rPr>
              <w:t>经收集后回用于生产。</w:t>
            </w:r>
          </w:p>
          <w:p w14:paraId="7335B841">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②生活垃圾</w:t>
            </w:r>
          </w:p>
          <w:p w14:paraId="6EEA814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项目劳动定员</w:t>
            </w:r>
            <w:r>
              <w:rPr>
                <w:rFonts w:hint="eastAsia" w:ascii="Times New Roman" w:hAnsi="Times New Roman" w:eastAsia="宋体" w:cs="Times New Roman"/>
                <w:color w:val="auto"/>
                <w:sz w:val="24"/>
                <w:szCs w:val="24"/>
                <w:lang w:eastAsia="zh-CN"/>
              </w:rPr>
              <w:t>15</w:t>
            </w:r>
            <w:r>
              <w:rPr>
                <w:rFonts w:ascii="Times New Roman" w:hAnsi="Times New Roman" w:eastAsia="宋体" w:cs="Times New Roman"/>
                <w:color w:val="auto"/>
                <w:sz w:val="24"/>
                <w:szCs w:val="24"/>
                <w:lang w:eastAsia="zh-CN"/>
              </w:rPr>
              <w:t>人，年工作300天</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按每人每天生活垃圾产生量0.5kg估算，则生活垃圾新增产生量为</w:t>
            </w:r>
            <w:r>
              <w:rPr>
                <w:rFonts w:hint="eastAsia" w:ascii="Times New Roman" w:hAnsi="Times New Roman" w:eastAsia="宋体" w:cs="Times New Roman"/>
                <w:color w:val="auto"/>
                <w:sz w:val="24"/>
                <w:szCs w:val="24"/>
                <w:lang w:eastAsia="zh-CN"/>
              </w:rPr>
              <w:t>7</w:t>
            </w:r>
            <w:r>
              <w:rPr>
                <w:rFonts w:ascii="Times New Roman" w:hAnsi="Times New Roman" w:eastAsia="宋体" w:cs="Times New Roman"/>
                <w:color w:val="auto"/>
                <w:sz w:val="24"/>
                <w:szCs w:val="24"/>
                <w:lang w:eastAsia="zh-CN"/>
              </w:rPr>
              <w:t>.5kg/d、</w:t>
            </w:r>
            <w:r>
              <w:rPr>
                <w:rFonts w:hint="eastAsia" w:ascii="Times New Roman" w:hAnsi="Times New Roman" w:eastAsia="宋体" w:cs="Times New Roman"/>
                <w:color w:val="auto"/>
                <w:sz w:val="24"/>
                <w:szCs w:val="24"/>
                <w:lang w:eastAsia="zh-CN"/>
              </w:rPr>
              <w:t>2.2</w:t>
            </w:r>
            <w:r>
              <w:rPr>
                <w:rFonts w:ascii="Times New Roman" w:hAnsi="Times New Roman" w:eastAsia="宋体" w:cs="Times New Roman"/>
                <w:color w:val="auto"/>
                <w:sz w:val="24"/>
                <w:szCs w:val="24"/>
                <w:lang w:eastAsia="zh-CN"/>
              </w:rPr>
              <w:t>5t/a。生活垃圾集中收集后委托环卫部门定期清运处置。</w:t>
            </w:r>
          </w:p>
          <w:p w14:paraId="356EA81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③隔油池油污</w:t>
            </w:r>
          </w:p>
          <w:p w14:paraId="713404D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食堂废水经隔油池隔油处理后再进入化粪池中。隔油池油污主要是餐具上残留的油污、食物残渣等，产生量约为食堂废水量的0.1%，产生量约为0.24kg/d，0.072t/a。根据《固体废物分类与代码目录》代码为900-099-S07，</w:t>
            </w:r>
            <w:r>
              <w:rPr>
                <w:rFonts w:ascii="Times New Roman" w:hAnsi="Times New Roman" w:eastAsia="宋体" w:cs="Times New Roman"/>
                <w:color w:val="auto"/>
                <w:sz w:val="24"/>
                <w:szCs w:val="24"/>
                <w:lang w:eastAsia="zh-CN"/>
              </w:rPr>
              <w:t>根据《昆明市餐饮业环境污染防治管理办法》（昆明市人民政府令第149号）要求，项目隔油池油脂需</w:t>
            </w:r>
            <w:r>
              <w:rPr>
                <w:rFonts w:hint="eastAsia" w:ascii="Times New Roman" w:hAnsi="Times New Roman" w:eastAsia="宋体" w:cs="Times New Roman"/>
                <w:color w:val="auto"/>
                <w:sz w:val="24"/>
                <w:szCs w:val="24"/>
                <w:lang w:eastAsia="zh-CN"/>
              </w:rPr>
              <w:t>委托取得餐厨废弃物特许经营许可的单位定期清运处置</w:t>
            </w:r>
            <w:r>
              <w:rPr>
                <w:rFonts w:ascii="Times New Roman" w:hAnsi="Times New Roman" w:eastAsia="宋体" w:cs="Times New Roman"/>
                <w:color w:val="auto"/>
                <w:sz w:val="24"/>
                <w:szCs w:val="24"/>
                <w:lang w:eastAsia="zh-CN"/>
              </w:rPr>
              <w:t>。</w:t>
            </w:r>
          </w:p>
          <w:p w14:paraId="73ABE2E2">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④</w:t>
            </w:r>
            <w:r>
              <w:rPr>
                <w:rFonts w:hint="eastAsia" w:ascii="Times New Roman" w:hAnsi="Times New Roman" w:eastAsia="宋体" w:cs="Times New Roman"/>
                <w:b/>
                <w:bCs/>
                <w:color w:val="auto"/>
                <w:sz w:val="24"/>
                <w:szCs w:val="24"/>
                <w:lang w:eastAsia="zh-CN"/>
              </w:rPr>
              <w:t>污水处理</w:t>
            </w:r>
            <w:r>
              <w:rPr>
                <w:rFonts w:ascii="Times New Roman" w:hAnsi="Times New Roman" w:eastAsia="宋体" w:cs="Times New Roman"/>
                <w:b/>
                <w:bCs/>
                <w:color w:val="auto"/>
                <w:sz w:val="24"/>
                <w:szCs w:val="24"/>
                <w:lang w:eastAsia="zh-CN"/>
              </w:rPr>
              <w:t>污泥</w:t>
            </w:r>
          </w:p>
          <w:p w14:paraId="242BEC5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根据《城市排水工程规划规范》（GB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50318-2017）中第4.6.2条，按处理万立方米污水产含水率80%的污泥6~9吨估算，本项目取7吨/万立方米，即0.7kg/m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污水，</w:t>
            </w:r>
            <w:r>
              <w:rPr>
                <w:rFonts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lang w:eastAsia="zh-CN"/>
              </w:rPr>
              <w:t>进入化粪池及一体化污水处理设施的</w:t>
            </w:r>
            <w:r>
              <w:rPr>
                <w:rFonts w:ascii="Times New Roman" w:hAnsi="Times New Roman" w:eastAsia="宋体" w:cs="Times New Roman"/>
                <w:color w:val="auto"/>
                <w:sz w:val="24"/>
                <w:szCs w:val="24"/>
                <w:lang w:eastAsia="zh-CN"/>
              </w:rPr>
              <w:t>污</w:t>
            </w:r>
            <w:r>
              <w:rPr>
                <w:rFonts w:hint="eastAsia" w:ascii="Times New Roman" w:hAnsi="Times New Roman" w:eastAsia="宋体" w:cs="Times New Roman"/>
                <w:color w:val="auto"/>
                <w:sz w:val="24"/>
                <w:szCs w:val="24"/>
                <w:lang w:eastAsia="zh-CN"/>
              </w:rPr>
              <w:t>水</w:t>
            </w:r>
            <w:r>
              <w:rPr>
                <w:rFonts w:ascii="Times New Roman" w:hAnsi="Times New Roman" w:eastAsia="宋体" w:cs="Times New Roman"/>
                <w:color w:val="auto"/>
                <w:sz w:val="24"/>
                <w:szCs w:val="24"/>
                <w:lang w:eastAsia="zh-CN"/>
              </w:rPr>
              <w:t>量</w:t>
            </w:r>
            <w:r>
              <w:rPr>
                <w:rFonts w:hint="eastAsia" w:ascii="Times New Roman" w:hAnsi="Times New Roman" w:eastAsia="宋体" w:cs="Times New Roman"/>
                <w:color w:val="auto"/>
                <w:sz w:val="24"/>
                <w:szCs w:val="24"/>
                <w:lang w:eastAsia="zh-CN"/>
              </w:rPr>
              <w:t>为0.96m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/d，288m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lang w:eastAsia="zh-CN"/>
              </w:rPr>
              <w:t>/a，</w:t>
            </w:r>
            <w:r>
              <w:rPr>
                <w:rFonts w:hint="eastAsia" w:ascii="Times New Roman" w:hAnsi="Times New Roman" w:eastAsia="宋体" w:cs="Times New Roman"/>
                <w:color w:val="auto"/>
                <w:sz w:val="24"/>
                <w:szCs w:val="24"/>
                <w:lang w:eastAsia="zh-CN"/>
              </w:rPr>
              <w:t>则污泥量为0.672kg/d，0.2t/a</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根据《固体废物分类与代码目录》代码为462-001-S90，定期委托环卫部门清运处置</w:t>
            </w:r>
            <w:r>
              <w:rPr>
                <w:rFonts w:ascii="Times New Roman" w:hAnsi="Times New Roman" w:eastAsia="宋体" w:cs="Times New Roman"/>
                <w:color w:val="auto"/>
                <w:sz w:val="24"/>
                <w:szCs w:val="24"/>
                <w:lang w:eastAsia="zh-CN"/>
              </w:rPr>
              <w:t>。</w:t>
            </w:r>
          </w:p>
          <w:p w14:paraId="4415AEC6">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⑤初期雨水收集池污泥</w:t>
            </w:r>
          </w:p>
          <w:p w14:paraId="0EDEC97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 刘志勇.昆明市城市住宅小区雨水水质特性及资源化研究[D].昆明：昆明理工大学，2016 中 表2.6 不同下垫面降雨径流中污染物的EMC值 的数据，下垫面为道路的降雨径流SS均值为263.5mg/L。根据前文核算，本项目初期雨水收集量为4479.71m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lang w:eastAsia="zh-CN"/>
              </w:rPr>
              <w:t>/a，则初期雨水收集池污泥总量为1.18t/a。根据《固体废物分类与代码目录》代码为900-099-S07，收集后委托</w:t>
            </w:r>
            <w:r>
              <w:rPr>
                <w:rFonts w:hint="eastAsia" w:cs="Times New Roman"/>
                <w:color w:val="auto"/>
                <w:sz w:val="24"/>
                <w:szCs w:val="24"/>
                <w:lang w:val="en-US" w:eastAsia="zh-CN"/>
              </w:rPr>
              <w:t>有资质单位</w:t>
            </w:r>
            <w:r>
              <w:rPr>
                <w:rFonts w:hint="eastAsia" w:ascii="Times New Roman" w:hAnsi="Times New Roman" w:eastAsia="宋体" w:cs="Times New Roman"/>
                <w:color w:val="auto"/>
                <w:sz w:val="24"/>
                <w:szCs w:val="24"/>
                <w:lang w:eastAsia="zh-CN"/>
              </w:rPr>
              <w:t>定期清运处置。</w:t>
            </w:r>
          </w:p>
          <w:p w14:paraId="13E44E93">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⑥废机油</w:t>
            </w:r>
          </w:p>
          <w:p w14:paraId="38A71D8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项目设备维修维护过程废机油产生量约0.1t/a，废机油属于《国家危险废物名录》（202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年版）中的危险废物，危废类别为HW08，危废代码</w:t>
            </w:r>
            <w:r>
              <w:rPr>
                <w:rFonts w:hint="eastAsia" w:ascii="Times New Roman" w:hAnsi="Times New Roman" w:eastAsia="宋体" w:cs="Times New Roman"/>
                <w:color w:val="auto"/>
                <w:sz w:val="24"/>
                <w:szCs w:val="24"/>
                <w:lang w:eastAsia="zh-CN"/>
              </w:rPr>
              <w:t>为</w:t>
            </w:r>
            <w:r>
              <w:rPr>
                <w:rFonts w:ascii="Times New Roman" w:hAnsi="Times New Roman" w:eastAsia="宋体" w:cs="Times New Roman"/>
                <w:color w:val="auto"/>
                <w:sz w:val="24"/>
                <w:szCs w:val="24"/>
                <w:lang w:eastAsia="zh-CN"/>
              </w:rPr>
              <w:t>900-2</w:t>
            </w:r>
            <w:r>
              <w:rPr>
                <w:rFonts w:hint="eastAsia" w:ascii="Times New Roman" w:hAnsi="Times New Roman" w:eastAsia="宋体" w:cs="Times New Roman"/>
                <w:color w:val="auto"/>
                <w:sz w:val="24"/>
                <w:szCs w:val="24"/>
                <w:lang w:eastAsia="zh-CN"/>
              </w:rPr>
              <w:t>14</w:t>
            </w:r>
            <w:r>
              <w:rPr>
                <w:rFonts w:ascii="Times New Roman" w:hAnsi="Times New Roman" w:eastAsia="宋体" w:cs="Times New Roman"/>
                <w:color w:val="auto"/>
                <w:sz w:val="24"/>
                <w:szCs w:val="24"/>
                <w:lang w:eastAsia="zh-CN"/>
              </w:rPr>
              <w:t>-08</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建设单位</w:t>
            </w:r>
            <w:r>
              <w:rPr>
                <w:rFonts w:hint="eastAsia" w:ascii="Times New Roman" w:hAnsi="Times New Roman" w:eastAsia="宋体" w:cs="Times New Roman"/>
                <w:color w:val="auto"/>
                <w:sz w:val="24"/>
                <w:szCs w:val="24"/>
                <w:lang w:eastAsia="zh-CN"/>
              </w:rPr>
              <w:t>应</w:t>
            </w:r>
            <w:r>
              <w:rPr>
                <w:rFonts w:ascii="Times New Roman" w:hAnsi="Times New Roman" w:eastAsia="宋体" w:cs="Times New Roman"/>
                <w:color w:val="auto"/>
                <w:sz w:val="24"/>
                <w:szCs w:val="24"/>
                <w:lang w:eastAsia="zh-CN"/>
              </w:rPr>
              <w:t>按照《危险废物贮存污染控制标准》（GB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18597-20</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）及</w:t>
            </w:r>
            <w:r>
              <w:rPr>
                <w:rFonts w:hint="eastAsia" w:ascii="Times New Roman" w:hAnsi="Times New Roman" w:eastAsia="宋体" w:cs="Times New Roman"/>
                <w:color w:val="auto"/>
                <w:sz w:val="24"/>
                <w:szCs w:val="24"/>
                <w:lang w:eastAsia="zh-CN"/>
              </w:rPr>
              <w:t>生态环境部令</w:t>
            </w:r>
            <w:r>
              <w:rPr>
                <w:rFonts w:ascii="Times New Roman" w:hAnsi="Times New Roman" w:eastAsia="宋体" w:cs="Times New Roman"/>
                <w:color w:val="auto"/>
                <w:sz w:val="24"/>
                <w:szCs w:val="24"/>
                <w:lang w:eastAsia="zh-CN"/>
              </w:rPr>
              <w:t>第</w:t>
            </w:r>
            <w:r>
              <w:rPr>
                <w:rFonts w:hint="eastAsia" w:ascii="Times New Roman" w:hAnsi="Times New Roman" w:eastAsia="宋体" w:cs="Times New Roman"/>
                <w:color w:val="auto"/>
                <w:sz w:val="24"/>
                <w:szCs w:val="24"/>
                <w:lang w:eastAsia="zh-CN"/>
              </w:rPr>
              <w:t>23</w:t>
            </w:r>
            <w:r>
              <w:rPr>
                <w:rFonts w:ascii="Times New Roman" w:hAnsi="Times New Roman" w:eastAsia="宋体" w:cs="Times New Roman"/>
                <w:color w:val="auto"/>
                <w:sz w:val="24"/>
                <w:szCs w:val="24"/>
                <w:lang w:eastAsia="zh-CN"/>
              </w:rPr>
              <w:t>号《危险废物转移管理办法</w:t>
            </w:r>
            <w:r>
              <w:rPr>
                <w:rFonts w:hint="eastAsia" w:ascii="Times New Roman" w:hAnsi="Times New Roman" w:eastAsia="宋体" w:cs="Times New Roman"/>
                <w:color w:val="auto"/>
                <w:sz w:val="24"/>
                <w:szCs w:val="24"/>
                <w:lang w:eastAsia="zh-CN"/>
              </w:rPr>
              <w:t>》等</w:t>
            </w:r>
            <w:r>
              <w:rPr>
                <w:rFonts w:ascii="Times New Roman" w:hAnsi="Times New Roman" w:eastAsia="宋体" w:cs="Times New Roman"/>
                <w:color w:val="auto"/>
                <w:sz w:val="24"/>
                <w:szCs w:val="24"/>
                <w:lang w:eastAsia="zh-CN"/>
              </w:rPr>
              <w:t>相关要求，于</w:t>
            </w:r>
            <w:r>
              <w:rPr>
                <w:rFonts w:hint="eastAsia" w:ascii="Times New Roman" w:hAnsi="Times New Roman" w:eastAsia="宋体" w:cs="Times New Roman"/>
                <w:color w:val="auto"/>
                <w:sz w:val="24"/>
                <w:szCs w:val="24"/>
                <w:lang w:eastAsia="zh-CN"/>
              </w:rPr>
              <w:t>项目生产厂房旁</w:t>
            </w:r>
            <w:r>
              <w:rPr>
                <w:rFonts w:ascii="Times New Roman" w:hAnsi="Times New Roman" w:eastAsia="宋体" w:cs="Times New Roman"/>
                <w:color w:val="auto"/>
                <w:sz w:val="24"/>
                <w:szCs w:val="24"/>
                <w:lang w:eastAsia="zh-CN"/>
              </w:rPr>
              <w:t>设置1间独立的、建筑面积为</w:t>
            </w:r>
            <w:r>
              <w:rPr>
                <w:rFonts w:hint="eastAsia" w:ascii="Times New Roman" w:hAnsi="Times New Roman" w:eastAsia="宋体" w:cs="Times New Roman"/>
                <w:color w:val="auto"/>
                <w:sz w:val="24"/>
                <w:szCs w:val="24"/>
                <w:lang w:eastAsia="zh-CN"/>
              </w:rPr>
              <w:t>1</w:t>
            </w:r>
            <w:r>
              <w:rPr>
                <w:rFonts w:ascii="Times New Roman" w:hAnsi="Times New Roman" w:eastAsia="宋体" w:cs="Times New Roman"/>
                <w:color w:val="auto"/>
                <w:sz w:val="24"/>
                <w:szCs w:val="24"/>
                <w:lang w:eastAsia="zh-CN"/>
              </w:rPr>
              <w:t>0m</w:t>
            </w:r>
            <w:r>
              <w:rPr>
                <w:rFonts w:ascii="Times New Roman" w:hAnsi="Times New Roman" w:eastAsia="宋体" w:cs="Times New Roman"/>
                <w:color w:val="auto"/>
                <w:sz w:val="24"/>
                <w:szCs w:val="24"/>
                <w:vertAlign w:val="superscript"/>
                <w:lang w:eastAsia="zh-CN"/>
              </w:rPr>
              <w:t>2</w:t>
            </w:r>
            <w:r>
              <w:rPr>
                <w:rFonts w:ascii="Times New Roman" w:hAnsi="Times New Roman" w:eastAsia="宋体" w:cs="Times New Roman"/>
                <w:color w:val="auto"/>
                <w:sz w:val="24"/>
                <w:szCs w:val="24"/>
                <w:lang w:eastAsia="zh-CN"/>
              </w:rPr>
              <w:t>的</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，设立明显标牌标识，地面做防渗处理。废机油经收集后统一暂存于</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，定期交由有资质单位进行清运、处置，并与处置单位签订相关协议，同时设置相关台账，严格记录危险废物的产生及处置情况。</w:t>
            </w:r>
          </w:p>
          <w:p w14:paraId="7E25238D">
            <w:pPr>
              <w:pStyle w:val="30"/>
              <w:widowControl/>
              <w:kinsoku/>
              <w:overflowPunct w:val="0"/>
              <w:autoSpaceDE/>
              <w:autoSpaceDN/>
              <w:adjustRightInd/>
              <w:snapToGrid/>
              <w:spacing w:line="360" w:lineRule="auto"/>
              <w:ind w:firstLine="482" w:firstLineChars="200"/>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⑦废含油手套及抹布</w:t>
            </w:r>
          </w:p>
          <w:p w14:paraId="71D1D20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项目设备维修维护过程</w:t>
            </w:r>
            <w:r>
              <w:rPr>
                <w:rFonts w:hint="eastAsia" w:ascii="Times New Roman" w:hAnsi="Times New Roman" w:eastAsia="宋体" w:cs="Times New Roman"/>
                <w:color w:val="auto"/>
                <w:sz w:val="24"/>
                <w:szCs w:val="24"/>
                <w:lang w:eastAsia="zh-CN"/>
              </w:rPr>
              <w:t>中</w:t>
            </w:r>
            <w:r>
              <w:rPr>
                <w:rFonts w:ascii="Times New Roman" w:hAnsi="Times New Roman" w:eastAsia="宋体" w:cs="Times New Roman"/>
                <w:color w:val="auto"/>
                <w:sz w:val="24"/>
                <w:szCs w:val="24"/>
                <w:lang w:eastAsia="zh-CN"/>
              </w:rPr>
              <w:t>废含油手套及抹布产生量约0.</w:t>
            </w:r>
            <w:r>
              <w:rPr>
                <w:rFonts w:hint="eastAsia" w:ascii="Times New Roman" w:hAnsi="Times New Roman" w:eastAsia="宋体" w:cs="Times New Roman"/>
                <w:color w:val="auto"/>
                <w:sz w:val="24"/>
                <w:szCs w:val="24"/>
                <w:lang w:eastAsia="zh-CN"/>
              </w:rPr>
              <w:t>0</w:t>
            </w:r>
            <w:r>
              <w:rPr>
                <w:rFonts w:ascii="Times New Roman" w:hAnsi="Times New Roman" w:eastAsia="宋体" w:cs="Times New Roman"/>
                <w:color w:val="auto"/>
                <w:sz w:val="24"/>
                <w:szCs w:val="24"/>
                <w:lang w:eastAsia="zh-CN"/>
              </w:rPr>
              <w:t>1t/a，</w:t>
            </w:r>
            <w:r>
              <w:rPr>
                <w:rFonts w:hint="eastAsia" w:ascii="Times New Roman" w:hAnsi="Times New Roman" w:eastAsia="宋体" w:cs="Times New Roman"/>
                <w:color w:val="auto"/>
                <w:sz w:val="24"/>
                <w:szCs w:val="24"/>
                <w:lang w:eastAsia="zh-CN"/>
              </w:rPr>
              <w:t>根据</w:t>
            </w:r>
            <w:r>
              <w:rPr>
                <w:rFonts w:ascii="Times New Roman" w:hAnsi="Times New Roman" w:eastAsia="宋体" w:cs="Times New Roman"/>
                <w:color w:val="auto"/>
                <w:sz w:val="24"/>
                <w:szCs w:val="24"/>
                <w:lang w:eastAsia="zh-CN"/>
              </w:rPr>
              <w:t>《国家危险废物名录》（202</w:t>
            </w:r>
            <w:r>
              <w:rPr>
                <w:rFonts w:hint="eastAsia" w:ascii="Times New Roman" w:hAnsi="Times New Roman" w:eastAsia="宋体" w:cs="Times New Roman"/>
                <w:color w:val="auto"/>
                <w:sz w:val="24"/>
                <w:szCs w:val="24"/>
                <w:lang w:eastAsia="zh-CN"/>
              </w:rPr>
              <w:t>5</w:t>
            </w:r>
            <w:r>
              <w:rPr>
                <w:rFonts w:ascii="Times New Roman" w:hAnsi="Times New Roman" w:eastAsia="宋体" w:cs="Times New Roman"/>
                <w:color w:val="auto"/>
                <w:sz w:val="24"/>
                <w:szCs w:val="24"/>
                <w:lang w:eastAsia="zh-CN"/>
              </w:rPr>
              <w:t>年版），</w:t>
            </w:r>
            <w:r>
              <w:rPr>
                <w:rFonts w:hint="eastAsia" w:ascii="Times New Roman" w:hAnsi="Times New Roman" w:eastAsia="宋体" w:cs="Times New Roman"/>
                <w:color w:val="auto"/>
                <w:sz w:val="24"/>
                <w:szCs w:val="24"/>
                <w:lang w:eastAsia="zh-CN"/>
              </w:rPr>
              <w:t>废物</w:t>
            </w:r>
            <w:r>
              <w:rPr>
                <w:rFonts w:ascii="Times New Roman" w:hAnsi="Times New Roman" w:eastAsia="宋体" w:cs="Times New Roman"/>
                <w:color w:val="auto"/>
                <w:sz w:val="24"/>
                <w:szCs w:val="24"/>
                <w:lang w:eastAsia="zh-CN"/>
              </w:rPr>
              <w:t>代码</w:t>
            </w:r>
            <w:r>
              <w:rPr>
                <w:rFonts w:hint="eastAsia" w:ascii="Times New Roman" w:hAnsi="Times New Roman" w:eastAsia="宋体" w:cs="Times New Roman"/>
                <w:color w:val="auto"/>
                <w:sz w:val="24"/>
                <w:szCs w:val="24"/>
                <w:lang w:eastAsia="zh-CN"/>
              </w:rPr>
              <w:t>为900-041-49，</w:t>
            </w:r>
            <w:r>
              <w:rPr>
                <w:rFonts w:ascii="Times New Roman" w:hAnsi="Times New Roman" w:eastAsia="宋体" w:cs="Times New Roman"/>
                <w:color w:val="auto"/>
                <w:sz w:val="24"/>
                <w:szCs w:val="24"/>
                <w:lang w:eastAsia="zh-CN"/>
              </w:rPr>
              <w:t>经收集后统一暂存于</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，定期交由有资质单位进行清运、处置，并与处置单位签订相关协议，同时设置相关台账，严格记录危险废物的产生及处置情况。</w:t>
            </w:r>
          </w:p>
          <w:p w14:paraId="19744A6A">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项目固废均得到合理处置，对环境影响较小。</w:t>
            </w:r>
            <w:r>
              <w:rPr>
                <w:rFonts w:ascii="Times New Roman" w:hAnsi="Times New Roman" w:eastAsia="宋体" w:cs="Times New Roman"/>
                <w:color w:val="auto"/>
                <w:sz w:val="24"/>
                <w:szCs w:val="24"/>
                <w:lang w:eastAsia="zh-CN"/>
              </w:rPr>
              <w:t>本项目固废产生及处置情况见下表。</w:t>
            </w:r>
          </w:p>
          <w:p w14:paraId="1D578A91">
            <w:pPr>
              <w:keepNext w:val="0"/>
              <w:keepLines w:val="0"/>
              <w:pageBreakBefore w:val="0"/>
              <w:widowControl/>
              <w:kinsoku/>
              <w:wordWrap/>
              <w:overflowPunct w:val="0"/>
              <w:topLinePunct w:val="0"/>
              <w:autoSpaceDE/>
              <w:autoSpaceDN/>
              <w:bidi w:val="0"/>
              <w:adjustRightInd/>
              <w:snapToGrid/>
              <w:spacing w:line="240" w:lineRule="auto"/>
              <w:jc w:val="center"/>
              <w:textAlignment w:val="baseline"/>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表4-16 建设项目废物产生及处置一览表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70"/>
              <w:gridCol w:w="568"/>
              <w:gridCol w:w="856"/>
              <w:gridCol w:w="1329"/>
              <w:gridCol w:w="787"/>
              <w:gridCol w:w="860"/>
              <w:gridCol w:w="3420"/>
            </w:tblGrid>
            <w:tr w14:paraId="3958A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bottom w:val="single" w:color="auto" w:sz="4" w:space="0"/>
                    <w:right w:val="single" w:color="auto" w:sz="4" w:space="0"/>
                  </w:tcBorders>
                  <w:vAlign w:val="center"/>
                </w:tcPr>
                <w:p w14:paraId="426BB02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序号</w:t>
                  </w:r>
                </w:p>
              </w:tc>
              <w:tc>
                <w:tcPr>
                  <w:tcW w:w="568" w:type="dxa"/>
                  <w:tcBorders>
                    <w:top w:val="single" w:color="auto" w:sz="4" w:space="0"/>
                    <w:left w:val="single" w:color="auto" w:sz="4" w:space="0"/>
                    <w:bottom w:val="single" w:color="auto" w:sz="4" w:space="0"/>
                    <w:right w:val="single" w:color="auto" w:sz="4" w:space="0"/>
                  </w:tcBorders>
                  <w:vAlign w:val="center"/>
                </w:tcPr>
                <w:p w14:paraId="3851629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属性</w:t>
                  </w:r>
                </w:p>
              </w:tc>
              <w:tc>
                <w:tcPr>
                  <w:tcW w:w="856" w:type="dxa"/>
                  <w:tcBorders>
                    <w:top w:val="single" w:color="auto" w:sz="4" w:space="0"/>
                    <w:left w:val="single" w:color="auto" w:sz="4" w:space="0"/>
                    <w:bottom w:val="single" w:color="auto" w:sz="4" w:space="0"/>
                    <w:right w:val="single" w:color="auto" w:sz="4" w:space="0"/>
                  </w:tcBorders>
                  <w:vAlign w:val="center"/>
                </w:tcPr>
                <w:p w14:paraId="254125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产物工序</w:t>
                  </w:r>
                </w:p>
              </w:tc>
              <w:tc>
                <w:tcPr>
                  <w:tcW w:w="1329" w:type="dxa"/>
                  <w:tcBorders>
                    <w:top w:val="single" w:color="auto" w:sz="4" w:space="0"/>
                    <w:left w:val="single" w:color="auto" w:sz="4" w:space="0"/>
                    <w:bottom w:val="single" w:color="auto" w:sz="4" w:space="0"/>
                    <w:right w:val="single" w:color="auto" w:sz="4" w:space="0"/>
                  </w:tcBorders>
                  <w:vAlign w:val="center"/>
                </w:tcPr>
                <w:p w14:paraId="4F544A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类型</w:t>
                  </w:r>
                </w:p>
              </w:tc>
              <w:tc>
                <w:tcPr>
                  <w:tcW w:w="787" w:type="dxa"/>
                  <w:tcBorders>
                    <w:top w:val="single" w:color="auto" w:sz="4" w:space="0"/>
                    <w:left w:val="single" w:color="auto" w:sz="4" w:space="0"/>
                    <w:bottom w:val="single" w:color="auto" w:sz="4" w:space="0"/>
                    <w:right w:val="single" w:color="auto" w:sz="4" w:space="0"/>
                  </w:tcBorders>
                  <w:vAlign w:val="center"/>
                </w:tcPr>
                <w:p w14:paraId="6FCBEA1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理化性</w:t>
                  </w:r>
                </w:p>
                <w:p w14:paraId="7CE0A62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质</w:t>
                  </w:r>
                </w:p>
              </w:tc>
              <w:tc>
                <w:tcPr>
                  <w:tcW w:w="860" w:type="dxa"/>
                  <w:tcBorders>
                    <w:top w:val="single" w:color="auto" w:sz="4" w:space="0"/>
                    <w:left w:val="single" w:color="auto" w:sz="4" w:space="0"/>
                    <w:bottom w:val="single" w:color="auto" w:sz="4" w:space="0"/>
                    <w:right w:val="single" w:color="auto" w:sz="4" w:space="0"/>
                  </w:tcBorders>
                  <w:vAlign w:val="center"/>
                </w:tcPr>
                <w:p w14:paraId="51534E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产生量</w:t>
                  </w:r>
                </w:p>
                <w:p w14:paraId="03E757B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（t/a）</w:t>
                  </w:r>
                </w:p>
              </w:tc>
              <w:tc>
                <w:tcPr>
                  <w:tcW w:w="3420" w:type="dxa"/>
                  <w:tcBorders>
                    <w:top w:val="single" w:color="auto" w:sz="4" w:space="0"/>
                    <w:left w:val="single" w:color="auto" w:sz="4" w:space="0"/>
                    <w:bottom w:val="single" w:color="auto" w:sz="4" w:space="0"/>
                    <w:right w:val="single" w:color="auto" w:sz="4" w:space="0"/>
                  </w:tcBorders>
                  <w:vAlign w:val="center"/>
                </w:tcPr>
                <w:p w14:paraId="5D1CEA6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处理方式</w:t>
                  </w:r>
                </w:p>
              </w:tc>
            </w:tr>
            <w:tr w14:paraId="08778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19510D0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568" w:type="dxa"/>
                  <w:vMerge w:val="restart"/>
                  <w:tcBorders>
                    <w:top w:val="single" w:color="auto" w:sz="4" w:space="0"/>
                    <w:left w:val="single" w:color="auto" w:sz="4" w:space="0"/>
                    <w:bottom w:val="single" w:color="auto" w:sz="4" w:space="0"/>
                    <w:right w:val="single" w:color="auto" w:sz="4" w:space="0"/>
                  </w:tcBorders>
                  <w:vAlign w:val="center"/>
                </w:tcPr>
                <w:p w14:paraId="556D9ABC">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c>
                <w:tcPr>
                  <w:tcW w:w="856" w:type="dxa"/>
                  <w:vMerge w:val="restart"/>
                  <w:tcBorders>
                    <w:top w:val="single" w:color="auto" w:sz="4" w:space="0"/>
                    <w:left w:val="single" w:color="auto" w:sz="4" w:space="0"/>
                    <w:right w:val="single" w:color="auto" w:sz="4" w:space="0"/>
                  </w:tcBorders>
                  <w:vAlign w:val="center"/>
                </w:tcPr>
                <w:p w14:paraId="68D60C4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生产过程</w:t>
                  </w:r>
                </w:p>
              </w:tc>
              <w:tc>
                <w:tcPr>
                  <w:tcW w:w="1329" w:type="dxa"/>
                  <w:tcBorders>
                    <w:top w:val="single" w:color="auto" w:sz="4" w:space="0"/>
                    <w:left w:val="single" w:color="auto" w:sz="4" w:space="0"/>
                    <w:bottom w:val="single" w:color="auto" w:sz="4" w:space="0"/>
                    <w:right w:val="single" w:color="auto" w:sz="4" w:space="0"/>
                  </w:tcBorders>
                  <w:vAlign w:val="center"/>
                </w:tcPr>
                <w:p w14:paraId="76A2659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收集尘</w:t>
                  </w:r>
                </w:p>
              </w:tc>
              <w:tc>
                <w:tcPr>
                  <w:tcW w:w="787" w:type="dxa"/>
                  <w:tcBorders>
                    <w:top w:val="single" w:color="auto" w:sz="4" w:space="0"/>
                    <w:left w:val="single" w:color="auto" w:sz="4" w:space="0"/>
                    <w:bottom w:val="single" w:color="auto" w:sz="4" w:space="0"/>
                    <w:right w:val="single" w:color="auto" w:sz="4" w:space="0"/>
                  </w:tcBorders>
                  <w:vAlign w:val="center"/>
                </w:tcPr>
                <w:p w14:paraId="4F207BF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860" w:type="dxa"/>
                  <w:tcBorders>
                    <w:top w:val="single" w:color="auto" w:sz="4" w:space="0"/>
                    <w:left w:val="single" w:color="auto" w:sz="4" w:space="0"/>
                    <w:bottom w:val="single" w:color="auto" w:sz="4" w:space="0"/>
                    <w:right w:val="single" w:color="auto" w:sz="4" w:space="0"/>
                  </w:tcBorders>
                  <w:vAlign w:val="center"/>
                </w:tcPr>
                <w:p w14:paraId="2C3FB2F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14.256</w:t>
                  </w:r>
                </w:p>
              </w:tc>
              <w:tc>
                <w:tcPr>
                  <w:tcW w:w="3420" w:type="dxa"/>
                  <w:tcBorders>
                    <w:top w:val="single" w:color="auto" w:sz="4" w:space="0"/>
                    <w:left w:val="single" w:color="auto" w:sz="4" w:space="0"/>
                    <w:bottom w:val="single" w:color="auto" w:sz="4" w:space="0"/>
                    <w:right w:val="single" w:color="auto" w:sz="4" w:space="0"/>
                  </w:tcBorders>
                  <w:vAlign w:val="center"/>
                </w:tcPr>
                <w:p w14:paraId="22C2064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收集后回用于生产</w:t>
                  </w:r>
                </w:p>
              </w:tc>
            </w:tr>
            <w:tr w14:paraId="37282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6BEA3D9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w:t>
                  </w:r>
                </w:p>
              </w:tc>
              <w:tc>
                <w:tcPr>
                  <w:tcW w:w="568" w:type="dxa"/>
                  <w:vMerge w:val="continue"/>
                  <w:tcBorders>
                    <w:left w:val="single" w:color="auto" w:sz="4" w:space="0"/>
                    <w:right w:val="single" w:color="auto" w:sz="4" w:space="0"/>
                  </w:tcBorders>
                  <w:vAlign w:val="center"/>
                </w:tcPr>
                <w:p w14:paraId="144AB855">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856" w:type="dxa"/>
                  <w:vMerge w:val="continue"/>
                  <w:tcBorders>
                    <w:left w:val="single" w:color="auto" w:sz="4" w:space="0"/>
                    <w:right w:val="single" w:color="auto" w:sz="4" w:space="0"/>
                  </w:tcBorders>
                  <w:vAlign w:val="center"/>
                </w:tcPr>
                <w:p w14:paraId="118E57F1">
                  <w:pPr>
                    <w:pStyle w:val="30"/>
                    <w:kinsoku/>
                    <w:overflowPunct w:val="0"/>
                    <w:autoSpaceDE/>
                    <w:autoSpaceDN/>
                    <w:adjustRightInd/>
                    <w:snapToGrid/>
                    <w:jc w:val="center"/>
                    <w:rPr>
                      <w:rFonts w:ascii="Times New Roman" w:hAnsi="Times New Roman" w:eastAsia="宋体" w:cs="Times New Roman"/>
                      <w:color w:val="auto"/>
                      <w:sz w:val="21"/>
                      <w:szCs w:val="21"/>
                    </w:rPr>
                  </w:pPr>
                </w:p>
              </w:tc>
              <w:tc>
                <w:tcPr>
                  <w:tcW w:w="1329" w:type="dxa"/>
                  <w:tcBorders>
                    <w:top w:val="single" w:color="auto" w:sz="4" w:space="0"/>
                    <w:left w:val="single" w:color="auto" w:sz="4" w:space="0"/>
                    <w:bottom w:val="single" w:color="auto" w:sz="4" w:space="0"/>
                    <w:right w:val="single" w:color="auto" w:sz="4" w:space="0"/>
                  </w:tcBorders>
                  <w:vAlign w:val="center"/>
                </w:tcPr>
                <w:p w14:paraId="1CD081D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初期雨水收集池污泥</w:t>
                  </w:r>
                </w:p>
              </w:tc>
              <w:tc>
                <w:tcPr>
                  <w:tcW w:w="787" w:type="dxa"/>
                  <w:tcBorders>
                    <w:top w:val="single" w:color="auto" w:sz="4" w:space="0"/>
                    <w:left w:val="single" w:color="auto" w:sz="4" w:space="0"/>
                    <w:bottom w:val="single" w:color="auto" w:sz="4" w:space="0"/>
                    <w:right w:val="single" w:color="auto" w:sz="4" w:space="0"/>
                  </w:tcBorders>
                  <w:vAlign w:val="center"/>
                </w:tcPr>
                <w:p w14:paraId="0611949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860" w:type="dxa"/>
                  <w:tcBorders>
                    <w:top w:val="single" w:color="auto" w:sz="4" w:space="0"/>
                    <w:left w:val="single" w:color="auto" w:sz="4" w:space="0"/>
                    <w:bottom w:val="single" w:color="auto" w:sz="4" w:space="0"/>
                    <w:right w:val="single" w:color="auto" w:sz="4" w:space="0"/>
                  </w:tcBorders>
                  <w:vAlign w:val="center"/>
                </w:tcPr>
                <w:p w14:paraId="6B7DE7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rPr>
                    <w:t>1.</w:t>
                  </w:r>
                  <w:r>
                    <w:rPr>
                      <w:rFonts w:hint="eastAsia" w:ascii="Times New Roman" w:hAnsi="Times New Roman" w:eastAsia="宋体" w:cs="Times New Roman"/>
                      <w:color w:val="auto"/>
                      <w:lang w:eastAsia="zh-CN"/>
                    </w:rPr>
                    <w:t>18</w:t>
                  </w:r>
                </w:p>
              </w:tc>
              <w:tc>
                <w:tcPr>
                  <w:tcW w:w="3420" w:type="dxa"/>
                  <w:tcBorders>
                    <w:top w:val="single" w:color="auto" w:sz="4" w:space="0"/>
                    <w:left w:val="single" w:color="auto" w:sz="4" w:space="0"/>
                    <w:right w:val="single" w:color="auto" w:sz="4" w:space="0"/>
                  </w:tcBorders>
                  <w:vAlign w:val="center"/>
                </w:tcPr>
                <w:p w14:paraId="5828FAB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定期委托有资质单位清运处置</w:t>
                  </w:r>
                </w:p>
              </w:tc>
            </w:tr>
            <w:tr w14:paraId="61EF71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19A8092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3</w:t>
                  </w: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5E731BC4">
                  <w:pPr>
                    <w:kinsoku/>
                    <w:overflowPunct w:val="0"/>
                    <w:autoSpaceDE/>
                    <w:autoSpaceDN/>
                    <w:adjustRightInd/>
                    <w:snapToGrid/>
                    <w:jc w:val="center"/>
                    <w:rPr>
                      <w:rFonts w:ascii="Times New Roman" w:hAnsi="Times New Roman" w:eastAsia="宋体" w:cs="Times New Roman"/>
                      <w:color w:val="auto"/>
                    </w:rPr>
                  </w:pPr>
                </w:p>
              </w:tc>
              <w:tc>
                <w:tcPr>
                  <w:tcW w:w="856" w:type="dxa"/>
                  <w:vMerge w:val="restart"/>
                  <w:tcBorders>
                    <w:top w:val="single" w:color="auto" w:sz="4" w:space="0"/>
                    <w:left w:val="single" w:color="auto" w:sz="4" w:space="0"/>
                    <w:bottom w:val="single" w:color="auto" w:sz="4" w:space="0"/>
                    <w:right w:val="single" w:color="auto" w:sz="4" w:space="0"/>
                  </w:tcBorders>
                  <w:vAlign w:val="center"/>
                </w:tcPr>
                <w:p w14:paraId="00FD13C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员工</w:t>
                  </w:r>
                </w:p>
              </w:tc>
              <w:tc>
                <w:tcPr>
                  <w:tcW w:w="1329" w:type="dxa"/>
                  <w:tcBorders>
                    <w:top w:val="single" w:color="auto" w:sz="4" w:space="0"/>
                    <w:left w:val="single" w:color="auto" w:sz="4" w:space="0"/>
                    <w:bottom w:val="single" w:color="auto" w:sz="4" w:space="0"/>
                    <w:right w:val="single" w:color="auto" w:sz="4" w:space="0"/>
                  </w:tcBorders>
                  <w:vAlign w:val="center"/>
                </w:tcPr>
                <w:p w14:paraId="07EDAB5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787" w:type="dxa"/>
                  <w:tcBorders>
                    <w:top w:val="single" w:color="auto" w:sz="4" w:space="0"/>
                    <w:left w:val="single" w:color="auto" w:sz="4" w:space="0"/>
                    <w:bottom w:val="single" w:color="auto" w:sz="4" w:space="0"/>
                    <w:right w:val="single" w:color="auto" w:sz="4" w:space="0"/>
                  </w:tcBorders>
                  <w:vAlign w:val="center"/>
                </w:tcPr>
                <w:p w14:paraId="43D3ED5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w:t>
                  </w:r>
                </w:p>
              </w:tc>
              <w:tc>
                <w:tcPr>
                  <w:tcW w:w="860" w:type="dxa"/>
                  <w:tcBorders>
                    <w:top w:val="single" w:color="auto" w:sz="4" w:space="0"/>
                    <w:left w:val="single" w:color="auto" w:sz="4" w:space="0"/>
                    <w:bottom w:val="single" w:color="auto" w:sz="4" w:space="0"/>
                    <w:right w:val="single" w:color="auto" w:sz="4" w:space="0"/>
                  </w:tcBorders>
                  <w:vAlign w:val="center"/>
                </w:tcPr>
                <w:p w14:paraId="3445372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2.25</w:t>
                  </w:r>
                </w:p>
              </w:tc>
              <w:tc>
                <w:tcPr>
                  <w:tcW w:w="3420" w:type="dxa"/>
                  <w:tcBorders>
                    <w:left w:val="single" w:color="auto" w:sz="4" w:space="0"/>
                    <w:bottom w:val="single" w:color="auto" w:sz="4" w:space="0"/>
                    <w:right w:val="single" w:color="auto" w:sz="4" w:space="0"/>
                  </w:tcBorders>
                  <w:vAlign w:val="center"/>
                </w:tcPr>
                <w:p w14:paraId="5E619DC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lang w:eastAsia="zh-CN"/>
                    </w:rPr>
                    <w:t>收集后委托环卫部门定期清运处置</w:t>
                  </w:r>
                </w:p>
              </w:tc>
            </w:tr>
            <w:tr w14:paraId="75D3D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39E7E5A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4</w:t>
                  </w: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1061937B">
                  <w:pPr>
                    <w:kinsoku/>
                    <w:overflowPunct w:val="0"/>
                    <w:autoSpaceDE/>
                    <w:autoSpaceDN/>
                    <w:adjustRightInd/>
                    <w:snapToGrid/>
                    <w:jc w:val="center"/>
                    <w:rPr>
                      <w:rFonts w:ascii="Times New Roman" w:hAnsi="Times New Roman" w:eastAsia="宋体" w:cs="Times New Roman"/>
                      <w:color w:val="auto"/>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0A63936E">
                  <w:pPr>
                    <w:kinsoku/>
                    <w:overflowPunct w:val="0"/>
                    <w:autoSpaceDE/>
                    <w:autoSpaceDN/>
                    <w:adjustRightInd/>
                    <w:snapToGrid/>
                    <w:jc w:val="center"/>
                    <w:rPr>
                      <w:rFonts w:ascii="Times New Roman" w:hAnsi="Times New Roman" w:eastAsia="宋体" w:cs="Times New Roman"/>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291B89D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隔油池油污</w:t>
                  </w:r>
                </w:p>
              </w:tc>
              <w:tc>
                <w:tcPr>
                  <w:tcW w:w="787" w:type="dxa"/>
                  <w:tcBorders>
                    <w:top w:val="single" w:color="auto" w:sz="4" w:space="0"/>
                    <w:left w:val="single" w:color="auto" w:sz="4" w:space="0"/>
                    <w:bottom w:val="single" w:color="auto" w:sz="4" w:space="0"/>
                    <w:right w:val="single" w:color="auto" w:sz="4" w:space="0"/>
                  </w:tcBorders>
                  <w:vAlign w:val="center"/>
                </w:tcPr>
                <w:p w14:paraId="20842E1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液体</w:t>
                  </w:r>
                </w:p>
              </w:tc>
              <w:tc>
                <w:tcPr>
                  <w:tcW w:w="860" w:type="dxa"/>
                  <w:tcBorders>
                    <w:top w:val="single" w:color="auto" w:sz="4" w:space="0"/>
                    <w:left w:val="single" w:color="auto" w:sz="4" w:space="0"/>
                    <w:bottom w:val="single" w:color="auto" w:sz="4" w:space="0"/>
                    <w:right w:val="single" w:color="auto" w:sz="4" w:space="0"/>
                  </w:tcBorders>
                  <w:vAlign w:val="center"/>
                </w:tcPr>
                <w:p w14:paraId="09E8DD2F">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0.0219</w:t>
                  </w:r>
                </w:p>
              </w:tc>
              <w:tc>
                <w:tcPr>
                  <w:tcW w:w="3420" w:type="dxa"/>
                  <w:tcBorders>
                    <w:top w:val="single" w:color="auto" w:sz="4" w:space="0"/>
                    <w:left w:val="single" w:color="auto" w:sz="4" w:space="0"/>
                    <w:bottom w:val="single" w:color="auto" w:sz="4" w:space="0"/>
                    <w:right w:val="single" w:color="auto" w:sz="4" w:space="0"/>
                  </w:tcBorders>
                  <w:vAlign w:val="center"/>
                </w:tcPr>
                <w:p w14:paraId="457A09B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委托取得餐厨废弃物特许经营许可的单位定期清运处置</w:t>
                  </w:r>
                </w:p>
              </w:tc>
            </w:tr>
            <w:tr w14:paraId="770E6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5B64926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5</w:t>
                  </w:r>
                </w:p>
              </w:tc>
              <w:tc>
                <w:tcPr>
                  <w:tcW w:w="568" w:type="dxa"/>
                  <w:vMerge w:val="continue"/>
                  <w:tcBorders>
                    <w:top w:val="single" w:color="auto" w:sz="4" w:space="0"/>
                    <w:left w:val="single" w:color="auto" w:sz="4" w:space="0"/>
                    <w:bottom w:val="single" w:color="auto" w:sz="4" w:space="0"/>
                    <w:right w:val="single" w:color="auto" w:sz="4" w:space="0"/>
                  </w:tcBorders>
                  <w:vAlign w:val="center"/>
                </w:tcPr>
                <w:p w14:paraId="3C519F62">
                  <w:pPr>
                    <w:kinsoku/>
                    <w:overflowPunct w:val="0"/>
                    <w:autoSpaceDE/>
                    <w:autoSpaceDN/>
                    <w:adjustRightInd/>
                    <w:snapToGrid/>
                    <w:jc w:val="center"/>
                    <w:rPr>
                      <w:rFonts w:ascii="Times New Roman" w:hAnsi="Times New Roman" w:eastAsia="宋体" w:cs="Times New Roman"/>
                      <w:color w:val="auto"/>
                    </w:rPr>
                  </w:pPr>
                </w:p>
              </w:tc>
              <w:tc>
                <w:tcPr>
                  <w:tcW w:w="856" w:type="dxa"/>
                  <w:vMerge w:val="continue"/>
                  <w:tcBorders>
                    <w:top w:val="single" w:color="auto" w:sz="4" w:space="0"/>
                    <w:left w:val="single" w:color="auto" w:sz="4" w:space="0"/>
                    <w:bottom w:val="single" w:color="auto" w:sz="4" w:space="0"/>
                    <w:right w:val="single" w:color="auto" w:sz="4" w:space="0"/>
                  </w:tcBorders>
                  <w:vAlign w:val="center"/>
                </w:tcPr>
                <w:p w14:paraId="225C5941">
                  <w:pPr>
                    <w:kinsoku/>
                    <w:overflowPunct w:val="0"/>
                    <w:autoSpaceDE/>
                    <w:autoSpaceDN/>
                    <w:adjustRightInd/>
                    <w:snapToGrid/>
                    <w:jc w:val="center"/>
                    <w:rPr>
                      <w:rFonts w:ascii="Times New Roman" w:hAnsi="Times New Roman" w:eastAsia="宋体" w:cs="Times New Roman"/>
                      <w:color w:val="auto"/>
                    </w:rPr>
                  </w:pPr>
                </w:p>
              </w:tc>
              <w:tc>
                <w:tcPr>
                  <w:tcW w:w="1329" w:type="dxa"/>
                  <w:tcBorders>
                    <w:top w:val="single" w:color="auto" w:sz="4" w:space="0"/>
                    <w:left w:val="single" w:color="auto" w:sz="4" w:space="0"/>
                    <w:bottom w:val="single" w:color="auto" w:sz="4" w:space="0"/>
                    <w:right w:val="single" w:color="auto" w:sz="4" w:space="0"/>
                  </w:tcBorders>
                  <w:vAlign w:val="center"/>
                </w:tcPr>
                <w:p w14:paraId="4BD8E69C">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污水处理</w:t>
                  </w:r>
                  <w:r>
                    <w:rPr>
                      <w:rFonts w:ascii="Times New Roman" w:hAnsi="Times New Roman" w:eastAsia="宋体" w:cs="Times New Roman"/>
                      <w:color w:val="auto"/>
                    </w:rPr>
                    <w:t>污泥</w:t>
                  </w:r>
                </w:p>
              </w:tc>
              <w:tc>
                <w:tcPr>
                  <w:tcW w:w="787" w:type="dxa"/>
                  <w:tcBorders>
                    <w:top w:val="single" w:color="auto" w:sz="4" w:space="0"/>
                    <w:left w:val="single" w:color="auto" w:sz="4" w:space="0"/>
                    <w:bottom w:val="single" w:color="auto" w:sz="4" w:space="0"/>
                    <w:right w:val="single" w:color="auto" w:sz="4" w:space="0"/>
                  </w:tcBorders>
                  <w:vAlign w:val="center"/>
                </w:tcPr>
                <w:p w14:paraId="5B13B9E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固、液体</w:t>
                  </w:r>
                </w:p>
              </w:tc>
              <w:tc>
                <w:tcPr>
                  <w:tcW w:w="860" w:type="dxa"/>
                  <w:tcBorders>
                    <w:top w:val="single" w:color="auto" w:sz="4" w:space="0"/>
                    <w:left w:val="single" w:color="auto" w:sz="4" w:space="0"/>
                    <w:bottom w:val="single" w:color="auto" w:sz="4" w:space="0"/>
                    <w:right w:val="single" w:color="auto" w:sz="4" w:space="0"/>
                  </w:tcBorders>
                  <w:vAlign w:val="center"/>
                </w:tcPr>
                <w:p w14:paraId="1ECF947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0.2</w:t>
                  </w:r>
                </w:p>
              </w:tc>
              <w:tc>
                <w:tcPr>
                  <w:tcW w:w="3420" w:type="dxa"/>
                  <w:tcBorders>
                    <w:top w:val="single" w:color="auto" w:sz="4" w:space="0"/>
                    <w:left w:val="single" w:color="auto" w:sz="4" w:space="0"/>
                    <w:bottom w:val="single" w:color="auto" w:sz="4" w:space="0"/>
                    <w:right w:val="single" w:color="auto" w:sz="4" w:space="0"/>
                  </w:tcBorders>
                  <w:vAlign w:val="center"/>
                </w:tcPr>
                <w:p w14:paraId="1C800A0D">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定期</w:t>
                  </w:r>
                  <w:r>
                    <w:rPr>
                      <w:rFonts w:hint="eastAsia" w:ascii="Times New Roman" w:hAnsi="Times New Roman" w:eastAsia="宋体" w:cs="Times New Roman"/>
                      <w:color w:val="auto"/>
                      <w:lang w:eastAsia="zh-CN"/>
                    </w:rPr>
                    <w:t>委托环卫部门清运处置</w:t>
                  </w:r>
                </w:p>
              </w:tc>
            </w:tr>
            <w:tr w14:paraId="0245F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7E83A9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6</w:t>
                  </w:r>
                </w:p>
              </w:tc>
              <w:tc>
                <w:tcPr>
                  <w:tcW w:w="568" w:type="dxa"/>
                  <w:vMerge w:val="restart"/>
                  <w:tcBorders>
                    <w:top w:val="single" w:color="auto" w:sz="4" w:space="0"/>
                    <w:left w:val="single" w:color="auto" w:sz="4" w:space="0"/>
                    <w:right w:val="single" w:color="auto" w:sz="4" w:space="0"/>
                  </w:tcBorders>
                  <w:vAlign w:val="center"/>
                </w:tcPr>
                <w:p w14:paraId="1C11D387">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危险废物</w:t>
                  </w:r>
                </w:p>
              </w:tc>
              <w:tc>
                <w:tcPr>
                  <w:tcW w:w="856" w:type="dxa"/>
                  <w:tcBorders>
                    <w:top w:val="single" w:color="auto" w:sz="4" w:space="0"/>
                    <w:left w:val="single" w:color="auto" w:sz="4" w:space="0"/>
                    <w:bottom w:val="single" w:color="auto" w:sz="4" w:space="0"/>
                    <w:right w:val="single" w:color="auto" w:sz="4" w:space="0"/>
                  </w:tcBorders>
                  <w:vAlign w:val="center"/>
                </w:tcPr>
                <w:p w14:paraId="72ECAEF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设备维修</w:t>
                  </w:r>
                </w:p>
              </w:tc>
              <w:tc>
                <w:tcPr>
                  <w:tcW w:w="1329" w:type="dxa"/>
                  <w:tcBorders>
                    <w:top w:val="single" w:color="auto" w:sz="4" w:space="0"/>
                    <w:left w:val="single" w:color="auto" w:sz="4" w:space="0"/>
                    <w:bottom w:val="single" w:color="auto" w:sz="4" w:space="0"/>
                    <w:right w:val="single" w:color="auto" w:sz="4" w:space="0"/>
                  </w:tcBorders>
                  <w:vAlign w:val="center"/>
                </w:tcPr>
                <w:p w14:paraId="7D02350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w:t>
                  </w:r>
                </w:p>
              </w:tc>
              <w:tc>
                <w:tcPr>
                  <w:tcW w:w="787" w:type="dxa"/>
                  <w:tcBorders>
                    <w:top w:val="single" w:color="auto" w:sz="4" w:space="0"/>
                    <w:left w:val="single" w:color="auto" w:sz="4" w:space="0"/>
                    <w:bottom w:val="single" w:color="auto" w:sz="4" w:space="0"/>
                    <w:right w:val="single" w:color="auto" w:sz="4" w:space="0"/>
                  </w:tcBorders>
                  <w:vAlign w:val="center"/>
                </w:tcPr>
                <w:p w14:paraId="58B8C6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液体</w:t>
                  </w:r>
                </w:p>
              </w:tc>
              <w:tc>
                <w:tcPr>
                  <w:tcW w:w="860" w:type="dxa"/>
                  <w:tcBorders>
                    <w:top w:val="single" w:color="auto" w:sz="4" w:space="0"/>
                    <w:left w:val="single" w:color="auto" w:sz="4" w:space="0"/>
                    <w:bottom w:val="single" w:color="auto" w:sz="4" w:space="0"/>
                    <w:right w:val="single" w:color="auto" w:sz="4" w:space="0"/>
                  </w:tcBorders>
                  <w:vAlign w:val="center"/>
                </w:tcPr>
                <w:p w14:paraId="439B53F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0.1</w:t>
                  </w:r>
                </w:p>
              </w:tc>
              <w:tc>
                <w:tcPr>
                  <w:tcW w:w="3420" w:type="dxa"/>
                  <w:vMerge w:val="restart"/>
                  <w:tcBorders>
                    <w:top w:val="single" w:color="auto" w:sz="4" w:space="0"/>
                    <w:left w:val="single" w:color="auto" w:sz="4" w:space="0"/>
                    <w:right w:val="single" w:color="auto" w:sz="4" w:space="0"/>
                  </w:tcBorders>
                  <w:vAlign w:val="center"/>
                </w:tcPr>
                <w:p w14:paraId="38F0A06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定期委托有资质单位清运处置</w:t>
                  </w:r>
                </w:p>
              </w:tc>
            </w:tr>
            <w:tr w14:paraId="026E9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570" w:type="dxa"/>
                  <w:tcBorders>
                    <w:top w:val="single" w:color="auto" w:sz="4" w:space="0"/>
                    <w:left w:val="single" w:color="auto" w:sz="4" w:space="0"/>
                    <w:bottom w:val="single" w:color="auto" w:sz="4" w:space="0"/>
                    <w:right w:val="single" w:color="auto" w:sz="4" w:space="0"/>
                  </w:tcBorders>
                  <w:vAlign w:val="center"/>
                </w:tcPr>
                <w:p w14:paraId="509FE5B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7</w:t>
                  </w:r>
                </w:p>
              </w:tc>
              <w:tc>
                <w:tcPr>
                  <w:tcW w:w="568" w:type="dxa"/>
                  <w:vMerge w:val="continue"/>
                  <w:tcBorders>
                    <w:left w:val="single" w:color="auto" w:sz="4" w:space="0"/>
                    <w:bottom w:val="single" w:color="auto" w:sz="4" w:space="0"/>
                    <w:right w:val="single" w:color="auto" w:sz="4" w:space="0"/>
                  </w:tcBorders>
                  <w:vAlign w:val="center"/>
                </w:tcPr>
                <w:p w14:paraId="213B835C">
                  <w:pPr>
                    <w:kinsoku/>
                    <w:overflowPunct w:val="0"/>
                    <w:autoSpaceDE/>
                    <w:autoSpaceDN/>
                    <w:adjustRightInd/>
                    <w:snapToGrid/>
                    <w:jc w:val="center"/>
                    <w:rPr>
                      <w:rFonts w:ascii="Times New Roman" w:hAnsi="Times New Roman" w:eastAsia="宋体" w:cs="Times New Roman"/>
                      <w:color w:val="auto"/>
                      <w:lang w:eastAsia="zh-CN"/>
                    </w:rPr>
                  </w:pPr>
                </w:p>
              </w:tc>
              <w:tc>
                <w:tcPr>
                  <w:tcW w:w="856" w:type="dxa"/>
                  <w:tcBorders>
                    <w:top w:val="single" w:color="auto" w:sz="4" w:space="0"/>
                    <w:left w:val="single" w:color="auto" w:sz="4" w:space="0"/>
                    <w:bottom w:val="single" w:color="auto" w:sz="4" w:space="0"/>
                    <w:right w:val="single" w:color="auto" w:sz="4" w:space="0"/>
                  </w:tcBorders>
                  <w:vAlign w:val="center"/>
                </w:tcPr>
                <w:p w14:paraId="032B128E">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生产过程</w:t>
                  </w:r>
                </w:p>
              </w:tc>
              <w:tc>
                <w:tcPr>
                  <w:tcW w:w="1329" w:type="dxa"/>
                  <w:tcBorders>
                    <w:top w:val="single" w:color="auto" w:sz="4" w:space="0"/>
                    <w:left w:val="single" w:color="auto" w:sz="4" w:space="0"/>
                    <w:bottom w:val="single" w:color="auto" w:sz="4" w:space="0"/>
                    <w:right w:val="single" w:color="auto" w:sz="4" w:space="0"/>
                  </w:tcBorders>
                  <w:vAlign w:val="center"/>
                </w:tcPr>
                <w:p w14:paraId="2673728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废含油手套及抹布</w:t>
                  </w:r>
                </w:p>
              </w:tc>
              <w:tc>
                <w:tcPr>
                  <w:tcW w:w="787" w:type="dxa"/>
                  <w:tcBorders>
                    <w:top w:val="single" w:color="auto" w:sz="4" w:space="0"/>
                    <w:left w:val="single" w:color="auto" w:sz="4" w:space="0"/>
                    <w:bottom w:val="single" w:color="auto" w:sz="4" w:space="0"/>
                    <w:right w:val="single" w:color="auto" w:sz="4" w:space="0"/>
                  </w:tcBorders>
                  <w:vAlign w:val="center"/>
                </w:tcPr>
                <w:p w14:paraId="35FE886E">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固体</w:t>
                  </w:r>
                </w:p>
              </w:tc>
              <w:tc>
                <w:tcPr>
                  <w:tcW w:w="860" w:type="dxa"/>
                  <w:tcBorders>
                    <w:top w:val="single" w:color="auto" w:sz="4" w:space="0"/>
                    <w:left w:val="single" w:color="auto" w:sz="4" w:space="0"/>
                    <w:bottom w:val="single" w:color="auto" w:sz="4" w:space="0"/>
                    <w:right w:val="single" w:color="auto" w:sz="4" w:space="0"/>
                  </w:tcBorders>
                  <w:vAlign w:val="center"/>
                </w:tcPr>
                <w:p w14:paraId="00C4C27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0.01</w:t>
                  </w:r>
                </w:p>
              </w:tc>
              <w:tc>
                <w:tcPr>
                  <w:tcW w:w="3420" w:type="dxa"/>
                  <w:vMerge w:val="continue"/>
                  <w:tcBorders>
                    <w:left w:val="single" w:color="auto" w:sz="4" w:space="0"/>
                    <w:bottom w:val="single" w:color="auto" w:sz="4" w:space="0"/>
                    <w:right w:val="single" w:color="auto" w:sz="4" w:space="0"/>
                  </w:tcBorders>
                  <w:vAlign w:val="center"/>
                </w:tcPr>
                <w:p w14:paraId="17646B21">
                  <w:pPr>
                    <w:kinsoku/>
                    <w:overflowPunct w:val="0"/>
                    <w:autoSpaceDE/>
                    <w:autoSpaceDN/>
                    <w:adjustRightInd/>
                    <w:snapToGrid/>
                    <w:jc w:val="center"/>
                    <w:rPr>
                      <w:rFonts w:ascii="Times New Roman" w:hAnsi="Times New Roman" w:eastAsia="宋体" w:cs="Times New Roman"/>
                      <w:color w:val="auto"/>
                      <w:lang w:eastAsia="zh-CN"/>
                    </w:rPr>
                  </w:pPr>
                </w:p>
              </w:tc>
            </w:tr>
          </w:tbl>
          <w:p w14:paraId="66BF90A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lang w:eastAsia="zh-CN"/>
              </w:rPr>
            </w:pPr>
            <w:r>
              <w:rPr>
                <w:rFonts w:hint="eastAsia" w:ascii="Times New Roman" w:hAnsi="Times New Roman" w:eastAsia="宋体" w:cs="Times New Roman"/>
                <w:b/>
                <w:bCs/>
                <w:color w:val="auto"/>
                <w:sz w:val="24"/>
                <w:szCs w:val="24"/>
                <w:lang w:eastAsia="zh-CN"/>
              </w:rPr>
              <w:t>5.2 危险废物管理要求</w:t>
            </w:r>
          </w:p>
          <w:p w14:paraId="5E1E231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危废暂存间建设管理要求：</w:t>
            </w:r>
          </w:p>
          <w:p w14:paraId="4535012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根据《危险废物贮存污染控制标准》（GB 18597-2023）要求如下：</w:t>
            </w:r>
          </w:p>
          <w:p w14:paraId="1D7ACA5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（1）防渗标准及措施</w:t>
            </w:r>
          </w:p>
          <w:p w14:paraId="0AB0CE1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根据《危险废物贮存污染控制标准》（GB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18597-2023），危险废物暂存间地面和四周墙裙脚采用“至少1m厚黏土层（渗透系数不大于10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cm/s），或至少2mm厚高密度聚乙烯膜等人工防渗材料（渗透系数不大于10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cm/s），或其他防渗性能等效的材料”进行重点防渗处理，渗透系数≤10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cm/s，并按照要求设置规范的标识标牌。</w:t>
            </w:r>
          </w:p>
          <w:p w14:paraId="3BDEE61A">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（2）暂存</w:t>
            </w:r>
          </w:p>
          <w:p w14:paraId="712E518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①贮存设施应根据危险废物的形态、物理化学性质、包装形式和污染物迁移途径，采取必要的防风、防晒、防雨、防漏、防渗、防腐以及其他环境污染防治措施，不应露天堆放危险废物。</w:t>
            </w:r>
          </w:p>
          <w:p w14:paraId="18FB93D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②贮存设施应根据危险废物的类别、数量、形态、物理化学性质和污染防治等要求设置必要的贮存分区，避免不相容的危险废物接触、混合。</w:t>
            </w:r>
          </w:p>
          <w:p w14:paraId="0662B40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③贮存设施或贮存分区内地面、墙面裙脚、堵截泄漏的围堰、接触危险废物的隔板和墙体等应采用坚固的材料建造，表面无裂缝。</w:t>
            </w:r>
          </w:p>
          <w:p w14:paraId="13A1817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cm/s），或至少2mm厚高密度聚乙烯膜等人工防渗材料（渗透系数不大于10</w:t>
            </w:r>
            <w:r>
              <w:rPr>
                <w:rFonts w:hint="eastAsia" w:ascii="Times New Roman" w:hAnsi="Times New Roman" w:eastAsia="宋体" w:cs="Times New Roman"/>
                <w:color w:val="auto"/>
                <w:sz w:val="24"/>
                <w:szCs w:val="24"/>
                <w:vertAlign w:val="superscript"/>
                <w:lang w:eastAsia="zh-CN"/>
              </w:rPr>
              <w:t>-10</w:t>
            </w:r>
            <w:r>
              <w:rPr>
                <w:rFonts w:hint="eastAsia" w:ascii="Times New Roman" w:hAnsi="Times New Roman" w:eastAsia="宋体" w:cs="Times New Roman"/>
                <w:color w:val="auto"/>
                <w:sz w:val="24"/>
                <w:szCs w:val="24"/>
                <w:lang w:eastAsia="zh-CN"/>
              </w:rPr>
              <w:t>cm/s），或其他防渗性能等效的材料。</w:t>
            </w:r>
          </w:p>
          <w:p w14:paraId="35F0243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⑤同一贮存设施宜采用相同的防渗、防腐工艺（包括防渗、防腐结构或材料），防渗、防腐材料应覆盖所有可能与废物及其渗滤液、渗漏液等接触的构筑物表面；采用不同防渗、防腐工艺应分别建设贮存分区。</w:t>
            </w:r>
          </w:p>
          <w:p w14:paraId="58AA537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⑥贮存设施应采取技术和管理措施防止无关人员进入。</w:t>
            </w:r>
          </w:p>
          <w:p w14:paraId="1950848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（3）危废转移</w:t>
            </w:r>
          </w:p>
          <w:p w14:paraId="40F9CEE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危废转移过程应当严格遵守《危险废物转移管理办法》（部令 第23号）、《危险废物收集贮存运输技术规范》（HJ 2025-2012）相关要求，确保危险废物得到安全处置：</w:t>
            </w:r>
          </w:p>
          <w:p w14:paraId="4A83E1F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①做好危险废物转移手续，按照《危险废物转移管理办法》（部令 第23号）要求进行。建设单位在转移危险废物前，须按照国家有关规定报批危险废物转移计划；经批准后，产生单位应当向移出地环境保护行政主管部门申请领取联单。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40809D58">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②危险废物运输由持有危险废物经营许可证的单位按照其许可证的经营范围组织实施，承担危险废物运输单位应获得交通运输部门颁发的危险货物运输资质；</w:t>
            </w:r>
          </w:p>
          <w:p w14:paraId="2120FFE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危险废物在运输途中若发生被盗、丢失、流散、泄漏等情况时，公司及押运人员必须立即向当地环保部门、公安部门报告，并采取一切可能的警示措施。一旦发生危险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对事故造成的危害进行监测、处置，符合国家环境保护标准。</w:t>
            </w:r>
          </w:p>
          <w:p w14:paraId="0A070177">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5.3 磷石膏原料堆场管理要求</w:t>
            </w:r>
          </w:p>
          <w:p w14:paraId="49CFE7F4">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项目原料</w:t>
            </w:r>
            <w:r>
              <w:rPr>
                <w:rFonts w:hint="eastAsia" w:ascii="Times New Roman" w:hAnsi="Times New Roman" w:eastAsia="宋体" w:cs="Times New Roman"/>
                <w:color w:val="auto"/>
                <w:sz w:val="24"/>
                <w:szCs w:val="24"/>
                <w:lang w:eastAsia="zh-CN"/>
              </w:rPr>
              <w:t>改性</w:t>
            </w:r>
            <w:r>
              <w:rPr>
                <w:rFonts w:ascii="Times New Roman" w:hAnsi="Times New Roman" w:eastAsia="宋体" w:cs="Times New Roman"/>
                <w:color w:val="auto"/>
                <w:sz w:val="24"/>
                <w:szCs w:val="24"/>
                <w:lang w:eastAsia="zh-CN"/>
              </w:rPr>
              <w:t>磷石膏</w:t>
            </w:r>
            <w:r>
              <w:rPr>
                <w:rFonts w:hint="eastAsia" w:ascii="Times New Roman" w:hAnsi="Times New Roman" w:eastAsia="宋体" w:cs="Times New Roman"/>
                <w:color w:val="auto"/>
                <w:sz w:val="24"/>
                <w:szCs w:val="24"/>
                <w:lang w:eastAsia="zh-CN"/>
              </w:rPr>
              <w:t>属于第Ⅰ</w:t>
            </w:r>
            <w:r>
              <w:rPr>
                <w:rFonts w:ascii="Times New Roman" w:hAnsi="Times New Roman" w:eastAsia="宋体" w:cs="Times New Roman"/>
                <w:color w:val="auto"/>
                <w:sz w:val="24"/>
                <w:szCs w:val="24"/>
                <w:lang w:eastAsia="zh-CN"/>
              </w:rPr>
              <w:t>类一般工业固体废物，根据《一般工业固体废物贮存和填埋污染控制标准》（GB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18599-2020）要求，</w:t>
            </w:r>
            <w:r>
              <w:rPr>
                <w:rFonts w:hint="eastAsia" w:ascii="Times New Roman" w:hAnsi="Times New Roman" w:eastAsia="宋体" w:cs="Times New Roman"/>
                <w:color w:val="auto"/>
                <w:sz w:val="24"/>
                <w:szCs w:val="24"/>
                <w:lang w:eastAsia="zh-CN"/>
              </w:rPr>
              <w:t>原料堆场</w:t>
            </w:r>
            <w:r>
              <w:rPr>
                <w:rFonts w:ascii="Times New Roman" w:hAnsi="Times New Roman" w:eastAsia="宋体" w:cs="Times New Roman"/>
                <w:color w:val="auto"/>
                <w:sz w:val="24"/>
                <w:szCs w:val="24"/>
                <w:lang w:eastAsia="zh-CN"/>
              </w:rPr>
              <w:t>需采取相应的防渗措施以及管理要求。</w:t>
            </w:r>
          </w:p>
          <w:p w14:paraId="48025E8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1、贮存场所选择</w:t>
            </w:r>
          </w:p>
          <w:p w14:paraId="1DF1F1B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根据《一般工业固体废物贮存和填埋污染控制标准》（GB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18599-2020）要求，一般工业固体废物贮存场所选址不得选在生态保护红线区域、永久基本农田集中区域和其他需要特别保护的区域内</w:t>
            </w:r>
            <w:r>
              <w:rPr>
                <w:rFonts w:hint="eastAsia" w:ascii="Times New Roman" w:hAnsi="Times New Roman" w:eastAsia="宋体" w:cs="Times New Roman"/>
                <w:color w:val="auto"/>
                <w:sz w:val="24"/>
                <w:szCs w:val="24"/>
                <w:lang w:eastAsia="zh-CN"/>
              </w:rPr>
              <w:t>。根据“三区三线”查询结果（附件5），本项目用地不涉及永久基本农田、生态保护红线，不在城镇开发边界之内，满足选址要求。</w:t>
            </w:r>
          </w:p>
          <w:p w14:paraId="65D28637">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2</w:t>
            </w:r>
            <w:r>
              <w:rPr>
                <w:rFonts w:ascii="Times New Roman" w:hAnsi="Times New Roman" w:eastAsia="宋体" w:cs="Times New Roman"/>
                <w:color w:val="auto"/>
                <w:sz w:val="24"/>
                <w:szCs w:val="24"/>
                <w:lang w:eastAsia="zh-CN"/>
              </w:rPr>
              <w:t>、防渗要求</w:t>
            </w:r>
          </w:p>
          <w:p w14:paraId="5873E78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建设单位需要严格按照《一般工业固体废物贮存和填埋污染控制标准》（GB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18599-2020）</w:t>
            </w:r>
            <w:r>
              <w:rPr>
                <w:rFonts w:hint="eastAsia" w:ascii="Times New Roman" w:hAnsi="Times New Roman" w:eastAsia="宋体" w:cs="Times New Roman"/>
                <w:color w:val="auto"/>
                <w:sz w:val="24"/>
                <w:szCs w:val="24"/>
                <w:lang w:eastAsia="zh-CN"/>
              </w:rPr>
              <w:t>Ⅱ</w:t>
            </w:r>
            <w:r>
              <w:rPr>
                <w:rFonts w:ascii="Times New Roman" w:hAnsi="Times New Roman" w:eastAsia="宋体" w:cs="Times New Roman"/>
                <w:color w:val="auto"/>
                <w:sz w:val="24"/>
                <w:szCs w:val="24"/>
                <w:lang w:eastAsia="zh-CN"/>
              </w:rPr>
              <w:t>类</w:t>
            </w:r>
            <w:r>
              <w:rPr>
                <w:rFonts w:hint="eastAsia" w:ascii="Times New Roman" w:hAnsi="Times New Roman" w:eastAsia="宋体" w:cs="Times New Roman"/>
                <w:color w:val="auto"/>
                <w:sz w:val="24"/>
                <w:szCs w:val="24"/>
                <w:lang w:eastAsia="zh-CN"/>
              </w:rPr>
              <w:t>场</w:t>
            </w:r>
            <w:r>
              <w:rPr>
                <w:rFonts w:ascii="Times New Roman" w:hAnsi="Times New Roman" w:eastAsia="宋体" w:cs="Times New Roman"/>
                <w:color w:val="auto"/>
                <w:sz w:val="24"/>
                <w:szCs w:val="24"/>
                <w:lang w:eastAsia="zh-CN"/>
              </w:rPr>
              <w:t>要求对</w:t>
            </w:r>
            <w:r>
              <w:rPr>
                <w:rFonts w:hint="eastAsia" w:ascii="Times New Roman" w:hAnsi="Times New Roman" w:eastAsia="宋体" w:cs="Times New Roman"/>
                <w:color w:val="auto"/>
                <w:sz w:val="24"/>
                <w:szCs w:val="24"/>
                <w:lang w:eastAsia="zh-CN"/>
              </w:rPr>
              <w:t>生产区、原料堆场、成品仓库、废品仓库</w:t>
            </w:r>
            <w:r>
              <w:rPr>
                <w:rFonts w:ascii="Times New Roman" w:hAnsi="Times New Roman" w:eastAsia="宋体" w:cs="Times New Roman"/>
                <w:color w:val="auto"/>
                <w:sz w:val="24"/>
                <w:szCs w:val="24"/>
                <w:lang w:eastAsia="zh-CN"/>
              </w:rPr>
              <w:t>进行防渗处理：</w:t>
            </w:r>
          </w:p>
          <w:p w14:paraId="718660C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①</w:t>
            </w:r>
            <w:r>
              <w:rPr>
                <w:rFonts w:hint="eastAsia" w:ascii="Times New Roman" w:hAnsi="Times New Roman" w:eastAsia="宋体" w:cs="Times New Roman"/>
                <w:color w:val="auto"/>
                <w:sz w:val="24"/>
                <w:szCs w:val="24"/>
                <w:lang w:eastAsia="zh-CN"/>
              </w:rPr>
              <w:t>人工合成材料应采用高密度聚乙烯膜，厚度不小于1.5mm，并满足GB/T 17643规定的技术指标要求。采用其他人工合成材料的，其防渗性能至少相当于1.5mm高密度聚乙烯膜的防渗性能</w:t>
            </w:r>
            <w:r>
              <w:rPr>
                <w:rFonts w:ascii="Times New Roman" w:hAnsi="Times New Roman" w:eastAsia="宋体" w:cs="Times New Roman"/>
                <w:color w:val="auto"/>
                <w:sz w:val="24"/>
                <w:szCs w:val="24"/>
                <w:lang w:eastAsia="zh-CN"/>
              </w:rPr>
              <w:t>。</w:t>
            </w:r>
          </w:p>
          <w:p w14:paraId="4B3B0B8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②</w:t>
            </w:r>
            <w:r>
              <w:rPr>
                <w:rFonts w:hint="eastAsia" w:ascii="Times New Roman" w:hAnsi="Times New Roman" w:eastAsia="宋体" w:cs="Times New Roman"/>
                <w:color w:val="auto"/>
                <w:sz w:val="24"/>
                <w:szCs w:val="24"/>
                <w:lang w:eastAsia="zh-CN"/>
              </w:rPr>
              <w:t>粘土衬层厚度应不小于0.75m，且经压实、人工改性等措施处理后的饱和渗透系数不应大于1.0×10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cm/s。使用其他粘土类防渗衬层材料时，应具有同等以上隔水效力。</w:t>
            </w:r>
          </w:p>
          <w:p w14:paraId="3337240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项目场地现存的厂房地面已采用</w:t>
            </w:r>
            <w:r>
              <w:rPr>
                <w:rFonts w:ascii="Times New Roman" w:hAnsi="Times New Roman" w:eastAsia="宋体" w:cs="Times New Roman"/>
                <w:color w:val="auto"/>
                <w:sz w:val="24"/>
                <w:szCs w:val="24"/>
                <w:lang w:eastAsia="zh-CN"/>
              </w:rPr>
              <w:t>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cm/s）+混凝土（厚度150mm）的防渗措施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后续需补充建设</w:t>
            </w:r>
            <w:r>
              <w:rPr>
                <w:rFonts w:hint="eastAsia" w:ascii="Times New Roman" w:hAnsi="Times New Roman" w:eastAsia="宋体" w:cs="Times New Roman"/>
                <w:color w:val="auto"/>
                <w:sz w:val="24"/>
                <w:szCs w:val="24"/>
                <w:lang w:eastAsia="zh-CN"/>
              </w:rPr>
              <w:t>高密度聚乙烯膜（1.5mm，满足GB/T 17643规定的技术指标）。</w:t>
            </w:r>
            <w:r>
              <w:rPr>
                <w:rFonts w:hint="eastAsia" w:ascii="Times New Roman" w:hAnsi="Times New Roman" w:eastAsia="宋体" w:cs="Times New Roman"/>
                <w:color w:val="auto"/>
                <w:sz w:val="24"/>
                <w:szCs w:val="24"/>
                <w:lang w:val="en-US" w:eastAsia="zh-CN"/>
              </w:rPr>
              <w:t>建设完成后</w:t>
            </w:r>
            <w:r>
              <w:rPr>
                <w:rFonts w:hint="eastAsia" w:ascii="Times New Roman" w:hAnsi="Times New Roman" w:eastAsia="宋体" w:cs="Times New Roman"/>
                <w:color w:val="auto"/>
                <w:sz w:val="24"/>
                <w:szCs w:val="24"/>
                <w:lang w:eastAsia="zh-CN"/>
              </w:rPr>
              <w:t>可满足《一般工业固体废物贮存和填埋污染控制标准》（GB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18599-2020）要求Ⅱ类场的防渗技术要求。</w:t>
            </w:r>
          </w:p>
          <w:p w14:paraId="656DC10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建设单位需要严格按照《一般工业固体废物贮存和填埋污染控制标准》（GB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18599-2020）要求进行管理：磷石膏堆场在施工完毕后应保存施工报告、全套竣工图、所有材料的现场及实验室检测报告。采用高密度聚乙烯膜作为人工合成材料衬层的还应提交人工防渗衬层完整性检测报告。上述材料连同施工质量保证书作为竣工环境保护验收的依据。</w:t>
            </w:r>
          </w:p>
          <w:p w14:paraId="3E945635">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5</w:t>
            </w:r>
            <w:r>
              <w:rPr>
                <w:rFonts w:ascii="Times New Roman" w:hAnsi="Times New Roman" w:eastAsia="宋体" w:cs="Times New Roman"/>
                <w:b/>
                <w:bCs/>
                <w:color w:val="auto"/>
                <w:sz w:val="24"/>
                <w:szCs w:val="24"/>
                <w:lang w:eastAsia="zh-CN"/>
              </w:rPr>
              <w:t>.4结论</w:t>
            </w:r>
          </w:p>
          <w:p w14:paraId="5BBC0F7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综合上述分析结果后，环评认为在采取上述措施的前提下，项目运营期固体废物均能得到及时、妥善地处理和处置，不会对周围环境造成大的影响。</w:t>
            </w:r>
          </w:p>
          <w:p w14:paraId="58AA0466">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cs="Times New Roman"/>
                <w:b/>
                <w:bCs/>
                <w:color w:val="auto"/>
                <w:sz w:val="24"/>
                <w:szCs w:val="24"/>
                <w:lang w:val="en-US" w:eastAsia="zh-CN"/>
              </w:rPr>
              <w:t>六</w:t>
            </w:r>
            <w:r>
              <w:rPr>
                <w:rFonts w:ascii="Times New Roman" w:hAnsi="Times New Roman" w:eastAsia="宋体" w:cs="Times New Roman"/>
                <w:b/>
                <w:bCs/>
                <w:color w:val="auto"/>
                <w:sz w:val="24"/>
                <w:szCs w:val="24"/>
                <w:lang w:eastAsia="zh-CN"/>
              </w:rPr>
              <w:t>、地下水、土壤</w:t>
            </w:r>
          </w:p>
          <w:p w14:paraId="0D77916D">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（1）地下水、土壤影响途径</w:t>
            </w:r>
          </w:p>
          <w:p w14:paraId="3F12CA4E">
            <w:pPr>
              <w:pStyle w:val="30"/>
              <w:widowControl/>
              <w:kinsoku/>
              <w:overflowPunct w:val="0"/>
              <w:autoSpaceDE/>
              <w:autoSpaceDN/>
              <w:adjustRightInd/>
              <w:snapToGrid/>
              <w:spacing w:line="360" w:lineRule="auto"/>
              <w:ind w:right="103"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根据《建设项目环境影响报告编制技术指南》（污染影响类）（试行），土壤和地下水不设置专项评价，本项目对周边土壤环境和地下水环境影响的类型与影响途径见下表。</w:t>
            </w:r>
          </w:p>
          <w:p w14:paraId="4EE7E5A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表4-17 项目土壤、地下水环境影响类型与影响途径识别表</w:t>
            </w:r>
          </w:p>
          <w:tbl>
            <w:tblPr>
              <w:tblStyle w:val="29"/>
              <w:tblW w:w="83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476"/>
              <w:gridCol w:w="1973"/>
              <w:gridCol w:w="1973"/>
              <w:gridCol w:w="1973"/>
              <w:gridCol w:w="995"/>
            </w:tblGrid>
            <w:tr w14:paraId="375FBE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Merge w:val="restart"/>
                  <w:tcBorders>
                    <w:bottom w:val="nil"/>
                  </w:tcBorders>
                  <w:vAlign w:val="center"/>
                </w:tcPr>
                <w:p w14:paraId="3162374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时段</w:t>
                  </w:r>
                </w:p>
              </w:tc>
              <w:tc>
                <w:tcPr>
                  <w:tcW w:w="0" w:type="auto"/>
                  <w:gridSpan w:val="4"/>
                  <w:vAlign w:val="center"/>
                </w:tcPr>
                <w:p w14:paraId="1FEF38B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污染影响型</w:t>
                  </w:r>
                </w:p>
              </w:tc>
            </w:tr>
            <w:tr w14:paraId="09E03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Merge w:val="continue"/>
                  <w:tcBorders>
                    <w:top w:val="nil"/>
                  </w:tcBorders>
                  <w:vAlign w:val="center"/>
                </w:tcPr>
                <w:p w14:paraId="6F290955">
                  <w:pPr>
                    <w:kinsoku/>
                    <w:overflowPunct w:val="0"/>
                    <w:autoSpaceDE/>
                    <w:autoSpaceDN/>
                    <w:adjustRightInd/>
                    <w:snapToGrid/>
                    <w:jc w:val="center"/>
                    <w:rPr>
                      <w:rFonts w:ascii="Times New Roman" w:hAnsi="Times New Roman" w:eastAsia="宋体" w:cs="Times New Roman"/>
                      <w:color w:val="auto"/>
                      <w:lang w:eastAsia="zh-CN"/>
                    </w:rPr>
                  </w:pPr>
                </w:p>
              </w:tc>
              <w:tc>
                <w:tcPr>
                  <w:tcW w:w="0" w:type="auto"/>
                  <w:vAlign w:val="center"/>
                </w:tcPr>
                <w:p w14:paraId="1457E9C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大气沉降</w:t>
                  </w:r>
                </w:p>
              </w:tc>
              <w:tc>
                <w:tcPr>
                  <w:tcW w:w="0" w:type="auto"/>
                  <w:vAlign w:val="center"/>
                </w:tcPr>
                <w:p w14:paraId="0BB15B4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地面漫流</w:t>
                  </w:r>
                </w:p>
              </w:tc>
              <w:tc>
                <w:tcPr>
                  <w:tcW w:w="0" w:type="auto"/>
                  <w:vAlign w:val="center"/>
                </w:tcPr>
                <w:p w14:paraId="2E078BA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垂直入渗</w:t>
                  </w:r>
                </w:p>
              </w:tc>
              <w:tc>
                <w:tcPr>
                  <w:tcW w:w="0" w:type="auto"/>
                  <w:vAlign w:val="center"/>
                </w:tcPr>
                <w:p w14:paraId="728596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其他</w:t>
                  </w:r>
                </w:p>
              </w:tc>
            </w:tr>
            <w:tr w14:paraId="79EC45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0" w:type="auto"/>
                  <w:vAlign w:val="center"/>
                </w:tcPr>
                <w:p w14:paraId="78D7782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运营期</w:t>
                  </w:r>
                </w:p>
              </w:tc>
              <w:tc>
                <w:tcPr>
                  <w:tcW w:w="0" w:type="auto"/>
                  <w:vAlign w:val="center"/>
                </w:tcPr>
                <w:p w14:paraId="7D285D28">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108AB95A">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34F561E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c>
                <w:tcPr>
                  <w:tcW w:w="0" w:type="auto"/>
                  <w:vAlign w:val="center"/>
                </w:tcPr>
                <w:p w14:paraId="44B8A05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w:t>
                  </w:r>
                </w:p>
              </w:tc>
            </w:tr>
          </w:tbl>
          <w:p w14:paraId="7828CC89">
            <w:pPr>
              <w:pStyle w:val="30"/>
              <w:widowControl/>
              <w:kinsoku/>
              <w:overflowPunct w:val="0"/>
              <w:autoSpaceDE/>
              <w:autoSpaceDN/>
              <w:adjustRightInd/>
              <w:snapToGrid/>
              <w:spacing w:before="36" w:line="219" w:lineRule="auto"/>
              <w:ind w:left="599"/>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（2）地下水、土壤环境影响源及影响因子</w:t>
            </w:r>
          </w:p>
          <w:p w14:paraId="503B9762">
            <w:pPr>
              <w:pStyle w:val="30"/>
              <w:widowControl/>
              <w:kinsoku/>
              <w:overflowPunct w:val="0"/>
              <w:autoSpaceDE/>
              <w:autoSpaceDN/>
              <w:adjustRightInd/>
              <w:snapToGrid/>
              <w:spacing w:before="182" w:line="219" w:lineRule="auto"/>
              <w:ind w:left="588"/>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本项目对土壤、地下水环境的影响源及影响因子见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92B6EEF">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表4-18建设项目土壤、地下水环境影响源及影响因子识别表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58"/>
              <w:gridCol w:w="1654"/>
              <w:gridCol w:w="1247"/>
              <w:gridCol w:w="3303"/>
              <w:gridCol w:w="1228"/>
            </w:tblGrid>
            <w:tr w14:paraId="6CB9B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983" w:type="dxa"/>
                  <w:vAlign w:val="center"/>
                </w:tcPr>
                <w:p w14:paraId="324B829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污染源</w:t>
                  </w:r>
                </w:p>
              </w:tc>
              <w:tc>
                <w:tcPr>
                  <w:tcW w:w="1702" w:type="dxa"/>
                  <w:vAlign w:val="center"/>
                </w:tcPr>
                <w:p w14:paraId="15DEBF4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工艺流程/节点</w:t>
                  </w:r>
                </w:p>
              </w:tc>
              <w:tc>
                <w:tcPr>
                  <w:tcW w:w="1282" w:type="dxa"/>
                  <w:vAlign w:val="center"/>
                </w:tcPr>
                <w:p w14:paraId="1D5D563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污染途径</w:t>
                  </w:r>
                </w:p>
              </w:tc>
              <w:tc>
                <w:tcPr>
                  <w:tcW w:w="3400" w:type="dxa"/>
                  <w:vAlign w:val="center"/>
                </w:tcPr>
                <w:p w14:paraId="20C08D9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w:t>
                  </w:r>
                </w:p>
              </w:tc>
              <w:tc>
                <w:tcPr>
                  <w:tcW w:w="1262" w:type="dxa"/>
                  <w:vAlign w:val="center"/>
                </w:tcPr>
                <w:p w14:paraId="16058486">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备注</w:t>
                  </w:r>
                </w:p>
              </w:tc>
            </w:tr>
            <w:tr w14:paraId="226E6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983" w:type="dxa"/>
                  <w:vMerge w:val="restart"/>
                  <w:vAlign w:val="center"/>
                </w:tcPr>
                <w:p w14:paraId="2C90DAE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厂房</w:t>
                  </w:r>
                </w:p>
              </w:tc>
              <w:tc>
                <w:tcPr>
                  <w:tcW w:w="1702" w:type="dxa"/>
                  <w:vAlign w:val="center"/>
                </w:tcPr>
                <w:p w14:paraId="4C2AF33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生产过程</w:t>
                  </w:r>
                </w:p>
              </w:tc>
              <w:tc>
                <w:tcPr>
                  <w:tcW w:w="1282" w:type="dxa"/>
                  <w:vAlign w:val="center"/>
                </w:tcPr>
                <w:p w14:paraId="26C04A69">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大气沉降</w:t>
                  </w:r>
                </w:p>
              </w:tc>
              <w:tc>
                <w:tcPr>
                  <w:tcW w:w="3400" w:type="dxa"/>
                  <w:vAlign w:val="center"/>
                </w:tcPr>
                <w:p w14:paraId="39F36D0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1262" w:type="dxa"/>
                  <w:vAlign w:val="center"/>
                </w:tcPr>
                <w:p w14:paraId="4AAB231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正常状态</w:t>
                  </w:r>
                </w:p>
              </w:tc>
            </w:tr>
            <w:tr w14:paraId="0B1C1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983" w:type="dxa"/>
                  <w:vMerge w:val="continue"/>
                  <w:vAlign w:val="center"/>
                </w:tcPr>
                <w:p w14:paraId="00D9B5EC">
                  <w:pPr>
                    <w:kinsoku/>
                    <w:overflowPunct w:val="0"/>
                    <w:autoSpaceDE/>
                    <w:autoSpaceDN/>
                    <w:adjustRightInd/>
                    <w:snapToGrid/>
                    <w:jc w:val="center"/>
                    <w:rPr>
                      <w:rFonts w:ascii="Times New Roman" w:hAnsi="Times New Roman" w:eastAsia="宋体" w:cs="Times New Roman"/>
                      <w:color w:val="auto"/>
                    </w:rPr>
                  </w:pPr>
                </w:p>
              </w:tc>
              <w:tc>
                <w:tcPr>
                  <w:tcW w:w="1702" w:type="dxa"/>
                  <w:vAlign w:val="center"/>
                </w:tcPr>
                <w:p w14:paraId="3B24D38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原料堆场堆存</w:t>
                  </w:r>
                </w:p>
              </w:tc>
              <w:tc>
                <w:tcPr>
                  <w:tcW w:w="1282" w:type="dxa"/>
                  <w:vAlign w:val="center"/>
                </w:tcPr>
                <w:p w14:paraId="0ED4F0F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垂直入渗</w:t>
                  </w:r>
                </w:p>
              </w:tc>
              <w:tc>
                <w:tcPr>
                  <w:tcW w:w="3400" w:type="dxa"/>
                  <w:vAlign w:val="center"/>
                </w:tcPr>
                <w:p w14:paraId="1A2CF4C5">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pH值、高锰酸盐指数、硫酸盐、氨氮、氟化物、砷和总磷</w:t>
                  </w:r>
                </w:p>
              </w:tc>
              <w:tc>
                <w:tcPr>
                  <w:tcW w:w="1262" w:type="dxa"/>
                  <w:vAlign w:val="center"/>
                </w:tcPr>
                <w:p w14:paraId="49B6F68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事故状态</w:t>
                  </w:r>
                </w:p>
              </w:tc>
            </w:tr>
            <w:tr w14:paraId="4D785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983" w:type="dxa"/>
                  <w:vMerge w:val="continue"/>
                  <w:vAlign w:val="center"/>
                </w:tcPr>
                <w:p w14:paraId="4F52DC56">
                  <w:pPr>
                    <w:kinsoku/>
                    <w:overflowPunct w:val="0"/>
                    <w:autoSpaceDE/>
                    <w:autoSpaceDN/>
                    <w:adjustRightInd/>
                    <w:snapToGrid/>
                    <w:jc w:val="center"/>
                    <w:rPr>
                      <w:rFonts w:ascii="Times New Roman" w:hAnsi="Times New Roman" w:eastAsia="宋体" w:cs="Times New Roman"/>
                      <w:color w:val="auto"/>
                    </w:rPr>
                  </w:pPr>
                </w:p>
              </w:tc>
              <w:tc>
                <w:tcPr>
                  <w:tcW w:w="1702" w:type="dxa"/>
                  <w:vAlign w:val="center"/>
                </w:tcPr>
                <w:p w14:paraId="38DBA9C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成品堆场堆存</w:t>
                  </w:r>
                </w:p>
              </w:tc>
              <w:tc>
                <w:tcPr>
                  <w:tcW w:w="1282" w:type="dxa"/>
                  <w:vAlign w:val="center"/>
                </w:tcPr>
                <w:p w14:paraId="5E0C3B2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垂直入渗</w:t>
                  </w:r>
                </w:p>
              </w:tc>
              <w:tc>
                <w:tcPr>
                  <w:tcW w:w="3400" w:type="dxa"/>
                  <w:vAlign w:val="center"/>
                </w:tcPr>
                <w:p w14:paraId="1645886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pH值、高锰酸盐指数、硫酸盐、氨氮、氟化物、砷和总磷</w:t>
                  </w:r>
                </w:p>
              </w:tc>
              <w:tc>
                <w:tcPr>
                  <w:tcW w:w="1262" w:type="dxa"/>
                  <w:vAlign w:val="center"/>
                </w:tcPr>
                <w:p w14:paraId="048DC2D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事故状态</w:t>
                  </w:r>
                </w:p>
              </w:tc>
            </w:tr>
          </w:tbl>
          <w:p w14:paraId="1DC1439B">
            <w:pPr>
              <w:widowControl/>
              <w:kinsoku/>
              <w:overflowPunct w:val="0"/>
              <w:autoSpaceDE/>
              <w:autoSpaceDN/>
              <w:adjustRightInd/>
              <w:snapToGrid/>
              <w:spacing w:line="46" w:lineRule="auto"/>
              <w:rPr>
                <w:rFonts w:ascii="Times New Roman" w:hAnsi="Times New Roman" w:eastAsia="宋体" w:cs="Times New Roman"/>
                <w:color w:val="auto"/>
                <w:sz w:val="2"/>
                <w:lang w:eastAsia="zh-CN"/>
              </w:rPr>
            </w:pPr>
          </w:p>
          <w:p w14:paraId="1A4B5CB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（3）项目对土壤地下水的影响分析</w:t>
            </w:r>
          </w:p>
          <w:p w14:paraId="582F9B6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项目区</w:t>
            </w:r>
            <w:r>
              <w:rPr>
                <w:rFonts w:hint="eastAsia" w:ascii="Times New Roman" w:hAnsi="Times New Roman" w:eastAsia="宋体" w:cs="Times New Roman"/>
                <w:color w:val="auto"/>
                <w:sz w:val="24"/>
                <w:szCs w:val="24"/>
                <w:lang w:eastAsia="zh-CN"/>
              </w:rPr>
              <w:t>内</w:t>
            </w:r>
            <w:r>
              <w:rPr>
                <w:rFonts w:ascii="Times New Roman" w:hAnsi="Times New Roman" w:eastAsia="宋体" w:cs="Times New Roman"/>
                <w:color w:val="auto"/>
                <w:sz w:val="24"/>
                <w:szCs w:val="24"/>
                <w:lang w:eastAsia="zh-CN"/>
              </w:rPr>
              <w:t>没有水井，距离项目</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有一个水井，根据</w:t>
            </w:r>
            <w:r>
              <w:rPr>
                <w:rFonts w:hint="eastAsia" w:ascii="Times New Roman" w:hAnsi="Times New Roman" w:eastAsia="宋体" w:cs="Times New Roman"/>
                <w:color w:val="auto"/>
                <w:sz w:val="24"/>
                <w:szCs w:val="24"/>
                <w:lang w:eastAsia="zh-CN"/>
              </w:rPr>
              <w:t>水文地质图（附图9）可知该水井与本项目在同一水文地质单元，可以代表项目区地下水水质状况。</w:t>
            </w:r>
            <w:r>
              <w:rPr>
                <w:rFonts w:ascii="Times New Roman" w:hAnsi="Times New Roman" w:eastAsia="宋体" w:cs="Times New Roman"/>
                <w:color w:val="auto"/>
                <w:sz w:val="24"/>
                <w:szCs w:val="24"/>
                <w:lang w:eastAsia="zh-CN"/>
              </w:rPr>
              <w:t>当项目防渗被破坏，污染物会</w:t>
            </w:r>
            <w:r>
              <w:rPr>
                <w:rFonts w:hint="eastAsia" w:ascii="Times New Roman" w:hAnsi="Times New Roman" w:eastAsia="宋体" w:cs="Times New Roman"/>
                <w:color w:val="auto"/>
                <w:sz w:val="24"/>
                <w:szCs w:val="24"/>
                <w:lang w:eastAsia="zh-CN"/>
              </w:rPr>
              <w:t>渗入</w:t>
            </w:r>
            <w:r>
              <w:rPr>
                <w:rFonts w:ascii="Times New Roman" w:hAnsi="Times New Roman" w:eastAsia="宋体" w:cs="Times New Roman"/>
                <w:color w:val="auto"/>
                <w:sz w:val="24"/>
                <w:szCs w:val="24"/>
                <w:lang w:eastAsia="zh-CN"/>
              </w:rPr>
              <w:t>土壤和地下水中随着地下水的流向扩大污染。因此本项目在未建设之前开展现状调查以保留项目区土壤、地下水的背景值。根据现场调查和监测，项目区地下水监测指标均能达到《地下水环境质量标准》（GB/T</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14848-2017）</w:t>
            </w:r>
            <w:r>
              <w:rPr>
                <w:rFonts w:hint="eastAsia" w:ascii="Times New Roman" w:hAnsi="Times New Roman" w:eastAsia="宋体" w:cs="Times New Roman"/>
                <w:color w:val="auto"/>
                <w:sz w:val="24"/>
                <w:szCs w:val="24"/>
                <w:lang w:eastAsia="zh-CN"/>
              </w:rPr>
              <w:t>Ⅲ类</w:t>
            </w:r>
            <w:r>
              <w:rPr>
                <w:rFonts w:ascii="Times New Roman" w:hAnsi="Times New Roman" w:eastAsia="宋体" w:cs="Times New Roman"/>
                <w:color w:val="auto"/>
                <w:sz w:val="24"/>
                <w:szCs w:val="24"/>
                <w:lang w:eastAsia="zh-CN"/>
              </w:rPr>
              <w:t>标准要求；项目区地下水环境质量现状良好。项目区土壤监测指标均低于《土壤环境质量</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建设用地土壤污染风险管控标准》（GB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36600-2018）中的风险筛选值。项目区域土壤环境良好。</w:t>
            </w:r>
          </w:p>
          <w:p w14:paraId="356AE6D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项目对地下水和土壤主要影响为堆场的</w:t>
            </w:r>
            <w:r>
              <w:rPr>
                <w:rFonts w:hint="eastAsia" w:ascii="Times New Roman" w:hAnsi="Times New Roman" w:eastAsia="宋体" w:cs="Times New Roman"/>
                <w:color w:val="auto"/>
                <w:sz w:val="24"/>
                <w:szCs w:val="24"/>
                <w:lang w:eastAsia="zh-CN"/>
              </w:rPr>
              <w:t>pH值、高锰酸盐指数、硫酸盐、氨氮、氟化物、砷和总磷</w:t>
            </w:r>
            <w:r>
              <w:rPr>
                <w:rFonts w:hint="eastAsia" w:cs="Times New Roman"/>
                <w:color w:val="auto"/>
                <w:sz w:val="24"/>
                <w:szCs w:val="24"/>
                <w:lang w:eastAsia="zh-CN"/>
              </w:rPr>
              <w:t>。</w:t>
            </w:r>
            <w:r>
              <w:rPr>
                <w:rFonts w:hint="eastAsia" w:cs="Times New Roman"/>
                <w:color w:val="auto"/>
                <w:sz w:val="24"/>
                <w:szCs w:val="24"/>
                <w:lang w:val="en-US" w:eastAsia="zh-CN"/>
              </w:rPr>
              <w:t>项目建设用地土壤氟化物背景值较高，</w:t>
            </w:r>
            <w:r>
              <w:rPr>
                <w:rFonts w:ascii="Times New Roman" w:hAnsi="Times New Roman" w:eastAsia="宋体" w:cs="Times New Roman"/>
                <w:color w:val="auto"/>
                <w:sz w:val="24"/>
                <w:szCs w:val="24"/>
                <w:lang w:eastAsia="zh-CN"/>
              </w:rPr>
              <w:t>生产过</w:t>
            </w:r>
            <w:r>
              <w:rPr>
                <w:rFonts w:hint="eastAsia" w:ascii="Times New Roman" w:hAnsi="Times New Roman" w:eastAsia="宋体" w:cs="Times New Roman"/>
                <w:color w:val="auto"/>
                <w:sz w:val="24"/>
                <w:szCs w:val="24"/>
                <w:lang w:eastAsia="zh-CN"/>
              </w:rPr>
              <w:t>程中</w:t>
            </w:r>
            <w:r>
              <w:rPr>
                <w:rFonts w:ascii="Times New Roman" w:hAnsi="Times New Roman" w:eastAsia="宋体" w:cs="Times New Roman"/>
                <w:color w:val="auto"/>
                <w:sz w:val="24"/>
                <w:szCs w:val="24"/>
                <w:lang w:eastAsia="zh-CN"/>
              </w:rPr>
              <w:t>产生的颗粒物通过大气沉降进入地下水，</w:t>
            </w:r>
            <w:r>
              <w:rPr>
                <w:rFonts w:hint="eastAsia" w:cs="Times New Roman"/>
                <w:color w:val="auto"/>
                <w:sz w:val="24"/>
                <w:szCs w:val="24"/>
                <w:lang w:val="en-US" w:eastAsia="zh-CN"/>
              </w:rPr>
              <w:t>初期雨水回用于降尘可能对</w:t>
            </w:r>
            <w:r>
              <w:rPr>
                <w:rFonts w:ascii="Times New Roman" w:hAnsi="Times New Roman" w:eastAsia="宋体" w:cs="Times New Roman"/>
                <w:color w:val="auto"/>
                <w:sz w:val="24"/>
                <w:szCs w:val="24"/>
                <w:lang w:eastAsia="zh-CN"/>
              </w:rPr>
              <w:t>污染地下水水质和土壤环境</w:t>
            </w:r>
            <w:r>
              <w:rPr>
                <w:rFonts w:hint="eastAsia" w:cs="Times New Roman"/>
                <w:color w:val="auto"/>
                <w:sz w:val="24"/>
                <w:szCs w:val="24"/>
                <w:lang w:val="en-US" w:eastAsia="zh-CN"/>
              </w:rPr>
              <w:t>造成二次污染</w:t>
            </w:r>
            <w:r>
              <w:rPr>
                <w:rFonts w:ascii="Times New Roman" w:hAnsi="Times New Roman" w:eastAsia="宋体" w:cs="Times New Roman"/>
                <w:color w:val="auto"/>
                <w:sz w:val="24"/>
                <w:szCs w:val="24"/>
                <w:lang w:eastAsia="zh-CN"/>
              </w:rPr>
              <w:t>。</w:t>
            </w:r>
            <w:r>
              <w:rPr>
                <w:rFonts w:hint="eastAsia" w:cs="Times New Roman"/>
                <w:color w:val="auto"/>
                <w:sz w:val="24"/>
                <w:szCs w:val="24"/>
                <w:lang w:val="en-US" w:eastAsia="zh-CN"/>
              </w:rPr>
              <w:t>根据改性磷石膏产品合格证（附件9）其中可溶性氟含量为0.017%，本项目有组织+无组织年排放颗粒物总量为4.205t，根据产品工艺，其中20%为改性磷石膏，则其中的可溶性氟含量为0.143kg，本评价提出初期雨水收集后需加入PAC絮凝剂进行絮凝沉淀，处理后方可回用于厂区降尘及绿化。为避免污染物</w:t>
            </w:r>
            <w:r>
              <w:rPr>
                <w:rFonts w:ascii="Times New Roman" w:hAnsi="Times New Roman" w:eastAsia="宋体" w:cs="Times New Roman"/>
                <w:color w:val="auto"/>
                <w:sz w:val="24"/>
                <w:szCs w:val="24"/>
                <w:lang w:eastAsia="zh-CN"/>
              </w:rPr>
              <w:t>通过垂直下渗进入土壤和地下水，污染地下水水质</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根据《磷石膏利用和无害化贮存污染控制技术规范》（HJ 1415-2025）中6.</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.1 新建资源贮存场的设计应符合GB 18599中Ⅱ类场技术要求，库容应按照不超过3年磷石膏产生量设计的要求，</w:t>
            </w:r>
            <w:r>
              <w:rPr>
                <w:rFonts w:ascii="Times New Roman" w:hAnsi="Times New Roman" w:eastAsia="宋体" w:cs="Times New Roman"/>
                <w:color w:val="auto"/>
                <w:sz w:val="24"/>
                <w:szCs w:val="24"/>
                <w:lang w:eastAsia="zh-CN"/>
              </w:rPr>
              <w:t>本项目提出以下防渗措施：</w:t>
            </w:r>
          </w:p>
          <w:p w14:paraId="61258C35">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①2#原料</w:t>
            </w:r>
            <w:r>
              <w:rPr>
                <w:rFonts w:ascii="Times New Roman" w:hAnsi="Times New Roman" w:eastAsia="宋体" w:cs="Times New Roman"/>
                <w:color w:val="auto"/>
                <w:sz w:val="24"/>
                <w:szCs w:val="24"/>
                <w:lang w:eastAsia="zh-CN"/>
              </w:rPr>
              <w:t>堆场地面</w:t>
            </w:r>
            <w:r>
              <w:rPr>
                <w:rFonts w:hint="eastAsia" w:ascii="Times New Roman" w:hAnsi="Times New Roman" w:eastAsia="宋体" w:cs="Times New Roman"/>
                <w:color w:val="auto"/>
                <w:sz w:val="24"/>
                <w:szCs w:val="24"/>
                <w:lang w:eastAsia="zh-CN"/>
              </w:rPr>
              <w:t>已</w:t>
            </w:r>
            <w:r>
              <w:rPr>
                <w:rFonts w:ascii="Times New Roman" w:hAnsi="Times New Roman" w:eastAsia="宋体" w:cs="Times New Roman"/>
                <w:color w:val="auto"/>
                <w:sz w:val="24"/>
                <w:szCs w:val="24"/>
                <w:lang w:eastAsia="zh-CN"/>
              </w:rPr>
              <w:t>采用夯实粘土层（厚度0.75m，K≤1×10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cm/s）+混凝土（厚度150mm）的防渗措施</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后续需补充建设</w:t>
            </w:r>
            <w:r>
              <w:rPr>
                <w:rFonts w:hint="eastAsia" w:ascii="Times New Roman" w:hAnsi="Times New Roman" w:eastAsia="宋体" w:cs="Times New Roman"/>
                <w:color w:val="auto"/>
                <w:sz w:val="24"/>
                <w:szCs w:val="24"/>
                <w:lang w:eastAsia="zh-CN"/>
              </w:rPr>
              <w:t>高密度聚乙烯膜（1.5mm，满足GB/T 17643规定的技术指标）。</w:t>
            </w:r>
            <w:r>
              <w:rPr>
                <w:rFonts w:hint="eastAsia" w:ascii="Times New Roman" w:hAnsi="Times New Roman" w:eastAsia="宋体" w:cs="Times New Roman"/>
                <w:color w:val="auto"/>
                <w:sz w:val="24"/>
                <w:szCs w:val="24"/>
                <w:lang w:val="en-US" w:eastAsia="zh-CN"/>
              </w:rPr>
              <w:t>建设完成后</w:t>
            </w:r>
            <w:r>
              <w:rPr>
                <w:rFonts w:hint="eastAsia" w:ascii="Times New Roman" w:hAnsi="Times New Roman" w:eastAsia="宋体" w:cs="Times New Roman"/>
                <w:color w:val="auto"/>
                <w:sz w:val="24"/>
                <w:szCs w:val="24"/>
                <w:lang w:eastAsia="zh-CN"/>
              </w:rPr>
              <w:t>可满足《一般工业固体废物贮 存和填埋污染控制标准》（GB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18599-2020）要求Ⅱ类场的防渗技术要求</w:t>
            </w:r>
            <w:r>
              <w:rPr>
                <w:rFonts w:ascii="Times New Roman" w:hAnsi="Times New Roman" w:eastAsia="宋体" w:cs="Times New Roman"/>
                <w:color w:val="auto"/>
                <w:sz w:val="24"/>
                <w:szCs w:val="24"/>
                <w:lang w:eastAsia="zh-CN"/>
              </w:rPr>
              <w:t>。</w:t>
            </w:r>
          </w:p>
          <w:p w14:paraId="7880B481">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②生产区、1#原料堆场、成品仓库、废品仓库地面应采用</w:t>
            </w:r>
            <w:r>
              <w:rPr>
                <w:rFonts w:ascii="Times New Roman" w:hAnsi="Times New Roman" w:eastAsia="宋体" w:cs="Times New Roman"/>
                <w:color w:val="auto"/>
                <w:sz w:val="24"/>
                <w:szCs w:val="24"/>
                <w:lang w:eastAsia="zh-CN"/>
              </w:rPr>
              <w:t>夯实粘土层（厚度0.75m，K≤1×10</w:t>
            </w:r>
            <w:r>
              <w:rPr>
                <w:rFonts w:hint="eastAsia" w:ascii="Times New Roman" w:hAnsi="Times New Roman" w:eastAsia="宋体" w:cs="Times New Roman"/>
                <w:color w:val="auto"/>
                <w:sz w:val="24"/>
                <w:szCs w:val="24"/>
                <w:vertAlign w:val="superscript"/>
                <w:lang w:eastAsia="zh-CN"/>
              </w:rPr>
              <w:t>-</w:t>
            </w:r>
            <w:r>
              <w:rPr>
                <w:rFonts w:hint="eastAsia" w:ascii="Times New Roman" w:hAnsi="Times New Roman" w:eastAsia="宋体" w:cs="Times New Roman"/>
                <w:color w:val="auto"/>
                <w:sz w:val="24"/>
                <w:szCs w:val="24"/>
                <w:vertAlign w:val="superscript"/>
                <w:lang w:val="en-US" w:eastAsia="zh-CN"/>
              </w:rPr>
              <w:t>7</w:t>
            </w:r>
            <w:r>
              <w:rPr>
                <w:rFonts w:ascii="Times New Roman" w:hAnsi="Times New Roman" w:eastAsia="宋体" w:cs="Times New Roman"/>
                <w:color w:val="auto"/>
                <w:sz w:val="24"/>
                <w:szCs w:val="24"/>
                <w:lang w:eastAsia="zh-CN"/>
              </w:rPr>
              <w:t>cm/s）+混凝土（厚度150mm）</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eastAsia="zh-CN"/>
              </w:rPr>
              <w:t>高密度聚乙烯膜（1.5mm，满足GB/T 17643规定的技术指标）</w:t>
            </w:r>
            <w:r>
              <w:rPr>
                <w:rFonts w:ascii="Times New Roman" w:hAnsi="Times New Roman" w:eastAsia="宋体" w:cs="Times New Roman"/>
                <w:color w:val="auto"/>
                <w:sz w:val="24"/>
                <w:szCs w:val="24"/>
                <w:lang w:eastAsia="zh-CN"/>
              </w:rPr>
              <w:t>的防渗措施</w:t>
            </w:r>
            <w:r>
              <w:rPr>
                <w:rFonts w:hint="eastAsia" w:ascii="Times New Roman" w:hAnsi="Times New Roman" w:eastAsia="宋体" w:cs="Times New Roman"/>
                <w:color w:val="auto"/>
                <w:sz w:val="24"/>
                <w:szCs w:val="24"/>
                <w:lang w:eastAsia="zh-CN"/>
              </w:rPr>
              <w:t>，以满足《一般工业固体废物贮 存和填埋污染控制标准》（GB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18599-2020）要求Ⅱ类场的防渗技术要求</w:t>
            </w:r>
            <w:r>
              <w:rPr>
                <w:rFonts w:ascii="Times New Roman" w:hAnsi="Times New Roman" w:eastAsia="宋体" w:cs="Times New Roman"/>
                <w:color w:val="auto"/>
                <w:sz w:val="24"/>
                <w:szCs w:val="24"/>
                <w:lang w:eastAsia="zh-CN"/>
              </w:rPr>
              <w:t>。</w:t>
            </w:r>
          </w:p>
          <w:p w14:paraId="7C999E3D">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③初期雨水收集池</w:t>
            </w:r>
            <w:r>
              <w:rPr>
                <w:rFonts w:ascii="Times New Roman" w:hAnsi="Times New Roman" w:eastAsia="宋体" w:cs="Times New Roman"/>
                <w:color w:val="auto"/>
                <w:sz w:val="24"/>
                <w:szCs w:val="24"/>
                <w:lang w:eastAsia="zh-CN"/>
              </w:rPr>
              <w:t>、</w:t>
            </w:r>
            <w:r>
              <w:rPr>
                <w:rFonts w:hint="eastAsia" w:cs="Times New Roman"/>
                <w:color w:val="auto"/>
                <w:sz w:val="24"/>
                <w:szCs w:val="24"/>
                <w:lang w:val="en-US" w:eastAsia="zh-CN"/>
              </w:rPr>
              <w:t>中水池</w:t>
            </w:r>
            <w:r>
              <w:rPr>
                <w:rFonts w:hint="eastAsia" w:cs="Times New Roman"/>
                <w:color w:val="auto"/>
                <w:sz w:val="24"/>
                <w:szCs w:val="24"/>
                <w:lang w:eastAsia="zh-CN"/>
              </w:rPr>
              <w:t>、</w:t>
            </w:r>
            <w:r>
              <w:rPr>
                <w:rFonts w:hint="eastAsia" w:ascii="Times New Roman" w:hAnsi="Times New Roman" w:eastAsia="宋体" w:cs="Times New Roman"/>
                <w:color w:val="auto"/>
                <w:lang w:eastAsia="zh-CN"/>
              </w:rPr>
              <w:t>一体化污水处理设施</w:t>
            </w:r>
            <w:r>
              <w:rPr>
                <w:rFonts w:hint="eastAsia" w:cs="Times New Roman"/>
                <w:color w:val="auto"/>
                <w:sz w:val="24"/>
                <w:szCs w:val="24"/>
                <w:lang w:eastAsia="zh-CN"/>
              </w:rPr>
              <w:t>、</w:t>
            </w:r>
            <w:r>
              <w:rPr>
                <w:rFonts w:hint="eastAsia" w:ascii="Times New Roman" w:hAnsi="Times New Roman" w:eastAsia="宋体" w:cs="Times New Roman"/>
                <w:color w:val="auto"/>
                <w:sz w:val="24"/>
                <w:szCs w:val="24"/>
                <w:lang w:eastAsia="zh-CN"/>
              </w:rPr>
              <w:t>隔油池、化粪池进行一般防渗（等效黏土防渗层Mb≥1.5m，渗透系数K≤1x10</w:t>
            </w:r>
            <w:r>
              <w:rPr>
                <w:rFonts w:hint="eastAsia" w:ascii="Times New Roman" w:hAnsi="Times New Roman" w:eastAsia="宋体" w:cs="Times New Roman"/>
                <w:color w:val="auto"/>
                <w:sz w:val="24"/>
                <w:szCs w:val="24"/>
                <w:vertAlign w:val="superscript"/>
                <w:lang w:eastAsia="zh-CN"/>
              </w:rPr>
              <w:t>-7</w:t>
            </w:r>
            <w:r>
              <w:rPr>
                <w:rFonts w:hint="eastAsia" w:ascii="Times New Roman" w:hAnsi="Times New Roman" w:eastAsia="宋体" w:cs="Times New Roman"/>
                <w:color w:val="auto"/>
                <w:sz w:val="24"/>
                <w:szCs w:val="24"/>
                <w:lang w:eastAsia="zh-CN"/>
              </w:rPr>
              <w:t>cm/s</w:t>
            </w:r>
            <w:r>
              <w:rPr>
                <w:rFonts w:ascii="Times New Roman" w:hAnsi="Times New Roman" w:eastAsia="宋体" w:cs="Times New Roman"/>
                <w:color w:val="auto"/>
                <w:sz w:val="24"/>
                <w:szCs w:val="24"/>
                <w:lang w:eastAsia="zh-CN"/>
              </w:rPr>
              <w:t>）。</w:t>
            </w:r>
          </w:p>
          <w:p w14:paraId="2C58813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④厂区道路及其他地面进行硬化。</w:t>
            </w:r>
          </w:p>
          <w:p w14:paraId="5A62334F">
            <w:pPr>
              <w:pStyle w:val="30"/>
              <w:widowControl/>
              <w:kinsoku/>
              <w:overflowPunct w:val="0"/>
              <w:autoSpaceDE/>
              <w:autoSpaceDN/>
              <w:adjustRightInd/>
              <w:snapToGrid/>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⑤</w:t>
            </w:r>
            <w:r>
              <w:rPr>
                <w:rFonts w:hint="eastAsia" w:ascii="Times New Roman" w:hAnsi="Times New Roman" w:eastAsia="宋体" w:cs="Times New Roman"/>
                <w:color w:val="auto"/>
                <w:spacing w:val="0"/>
                <w:sz w:val="24"/>
                <w:szCs w:val="24"/>
                <w:lang w:val="en-US" w:eastAsia="zh-CN"/>
              </w:rPr>
              <w:t>根据《危险废物贮存污染控制标准》（GB18597-2023），危险废物暂存间地面和四周墙裙脚采用</w:t>
            </w:r>
            <w:r>
              <w:rPr>
                <w:rFonts w:hint="eastAsia"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val="en-US" w:eastAsia="zh-CN"/>
              </w:rPr>
              <w:t>至少 1m 厚黏土层（渗透系数不大于 10</w:t>
            </w:r>
            <w:r>
              <w:rPr>
                <w:rFonts w:hint="eastAsia" w:ascii="Times New Roman" w:hAnsi="Times New Roman" w:eastAsia="宋体" w:cs="Times New Roman"/>
                <w:color w:val="auto"/>
                <w:spacing w:val="0"/>
                <w:sz w:val="24"/>
                <w:szCs w:val="24"/>
                <w:vertAlign w:val="superscript"/>
                <w:lang w:val="en-US" w:eastAsia="zh-CN"/>
              </w:rPr>
              <w:t>-7</w:t>
            </w:r>
            <w:r>
              <w:rPr>
                <w:rFonts w:hint="eastAsia" w:ascii="Times New Roman" w:hAnsi="Times New Roman" w:eastAsia="宋体" w:cs="Times New Roman"/>
                <w:color w:val="auto"/>
                <w:spacing w:val="0"/>
                <w:sz w:val="24"/>
                <w:szCs w:val="24"/>
                <w:lang w:val="en-US" w:eastAsia="zh-CN"/>
              </w:rPr>
              <w:t>cm/s），或至少 2mm厚高密度聚乙烯膜等人工防渗材料（渗透系数不大于 10</w:t>
            </w:r>
            <w:r>
              <w:rPr>
                <w:rFonts w:hint="eastAsia" w:ascii="Times New Roman" w:hAnsi="Times New Roman" w:eastAsia="宋体" w:cs="Times New Roman"/>
                <w:color w:val="auto"/>
                <w:spacing w:val="0"/>
                <w:sz w:val="24"/>
                <w:szCs w:val="24"/>
                <w:vertAlign w:val="superscript"/>
                <w:lang w:val="en-US" w:eastAsia="zh-CN"/>
              </w:rPr>
              <w:t>-10</w:t>
            </w:r>
            <w:r>
              <w:rPr>
                <w:rFonts w:hint="eastAsia" w:ascii="Times New Roman" w:hAnsi="Times New Roman" w:eastAsia="宋体" w:cs="Times New Roman"/>
                <w:color w:val="auto"/>
                <w:spacing w:val="0"/>
                <w:sz w:val="24"/>
                <w:szCs w:val="24"/>
                <w:lang w:val="en-US" w:eastAsia="zh-CN"/>
              </w:rPr>
              <w:t>cm/s），或其他防渗性能等效的材料</w:t>
            </w:r>
            <w:r>
              <w:rPr>
                <w:rFonts w:hint="eastAsia" w:cs="Times New Roman"/>
                <w:color w:val="auto"/>
                <w:spacing w:val="0"/>
                <w:sz w:val="24"/>
                <w:szCs w:val="24"/>
                <w:lang w:val="en-US" w:eastAsia="zh-CN"/>
              </w:rPr>
              <w:t>”</w:t>
            </w:r>
            <w:r>
              <w:rPr>
                <w:rFonts w:hint="eastAsia" w:ascii="Times New Roman" w:hAnsi="Times New Roman" w:eastAsia="宋体" w:cs="Times New Roman"/>
                <w:color w:val="auto"/>
                <w:spacing w:val="0"/>
                <w:sz w:val="24"/>
                <w:szCs w:val="24"/>
                <w:lang w:val="en-US" w:eastAsia="zh-CN"/>
              </w:rPr>
              <w:t>进行重点防渗处理，渗透系数≤10</w:t>
            </w:r>
            <w:r>
              <w:rPr>
                <w:rFonts w:hint="eastAsia" w:ascii="Times New Roman" w:hAnsi="Times New Roman" w:eastAsia="宋体" w:cs="Times New Roman"/>
                <w:color w:val="auto"/>
                <w:spacing w:val="0"/>
                <w:sz w:val="24"/>
                <w:szCs w:val="24"/>
                <w:vertAlign w:val="superscript"/>
                <w:lang w:val="en-US" w:eastAsia="zh-CN"/>
              </w:rPr>
              <w:t>-10</w:t>
            </w:r>
            <w:r>
              <w:rPr>
                <w:rFonts w:hint="eastAsia" w:ascii="Times New Roman" w:hAnsi="Times New Roman" w:eastAsia="宋体" w:cs="Times New Roman"/>
                <w:color w:val="auto"/>
                <w:spacing w:val="0"/>
                <w:sz w:val="24"/>
                <w:szCs w:val="24"/>
                <w:lang w:val="en-US" w:eastAsia="zh-CN"/>
              </w:rPr>
              <w:t>cm/s，并按照要求设置规范的标识标牌。</w:t>
            </w:r>
          </w:p>
          <w:p w14:paraId="549FEA2F">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lang w:eastAsia="zh-CN"/>
              </w:rPr>
            </w:pPr>
            <w:r>
              <w:rPr>
                <w:rFonts w:hint="eastAsia" w:ascii="Times New Roman" w:hAnsi="Times New Roman" w:eastAsia="宋体" w:cs="Times New Roman"/>
                <w:b/>
                <w:bCs/>
                <w:color w:val="auto"/>
                <w:sz w:val="24"/>
                <w:lang w:eastAsia="zh-CN"/>
              </w:rPr>
              <w:t>表4-1</w:t>
            </w:r>
            <w:r>
              <w:rPr>
                <w:rFonts w:hint="eastAsia" w:cs="Times New Roman"/>
                <w:b/>
                <w:bCs/>
                <w:color w:val="auto"/>
                <w:sz w:val="24"/>
                <w:lang w:val="en-US" w:eastAsia="zh-CN"/>
              </w:rPr>
              <w:t>9分区防渗一览</w:t>
            </w:r>
            <w:r>
              <w:rPr>
                <w:rFonts w:hint="eastAsia" w:ascii="Times New Roman" w:hAnsi="Times New Roman" w:eastAsia="宋体" w:cs="Times New Roman"/>
                <w:b/>
                <w:bCs/>
                <w:color w:val="auto"/>
                <w:sz w:val="24"/>
                <w:lang w:eastAsia="zh-CN"/>
              </w:rPr>
              <w:t>表</w:t>
            </w:r>
          </w:p>
          <w:tbl>
            <w:tblPr>
              <w:tblStyle w:val="2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61"/>
              <w:gridCol w:w="2348"/>
              <w:gridCol w:w="4681"/>
            </w:tblGrid>
            <w:tr w14:paraId="3620B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 w:hRule="atLeast"/>
                <w:jc w:val="center"/>
              </w:trPr>
              <w:tc>
                <w:tcPr>
                  <w:tcW w:w="1361" w:type="dxa"/>
                  <w:vAlign w:val="center"/>
                </w:tcPr>
                <w:p w14:paraId="31A6B393">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hint="eastAsia" w:cs="Times New Roman"/>
                      <w:b/>
                      <w:bCs/>
                      <w:color w:val="auto"/>
                      <w:sz w:val="21"/>
                      <w:szCs w:val="21"/>
                      <w:lang w:val="en-US" w:eastAsia="zh-CN"/>
                    </w:rPr>
                    <w:t>类型</w:t>
                  </w:r>
                </w:p>
              </w:tc>
              <w:tc>
                <w:tcPr>
                  <w:tcW w:w="2348" w:type="dxa"/>
                  <w:vAlign w:val="center"/>
                </w:tcPr>
                <w:p w14:paraId="2F73DAC1">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hint="eastAsia" w:cs="Times New Roman"/>
                      <w:b/>
                      <w:bCs/>
                      <w:color w:val="auto"/>
                      <w:sz w:val="21"/>
                      <w:szCs w:val="21"/>
                      <w:lang w:val="en-US" w:eastAsia="zh-CN"/>
                    </w:rPr>
                    <w:t>区域</w:t>
                  </w:r>
                </w:p>
              </w:tc>
              <w:tc>
                <w:tcPr>
                  <w:tcW w:w="4681" w:type="dxa"/>
                  <w:vAlign w:val="center"/>
                </w:tcPr>
                <w:p w14:paraId="40D2C159">
                  <w:pPr>
                    <w:pStyle w:val="30"/>
                    <w:kinsoku/>
                    <w:overflowPunct w:val="0"/>
                    <w:autoSpaceDE/>
                    <w:autoSpaceDN/>
                    <w:adjustRightInd/>
                    <w:snapToGrid/>
                    <w:jc w:val="center"/>
                    <w:rPr>
                      <w:rFonts w:hint="eastAsia" w:ascii="Times New Roman" w:hAnsi="Times New Roman" w:eastAsia="宋体" w:cs="Times New Roman"/>
                      <w:color w:val="auto"/>
                      <w:sz w:val="21"/>
                      <w:szCs w:val="21"/>
                      <w:lang w:eastAsia="zh-CN"/>
                    </w:rPr>
                  </w:pPr>
                  <w:r>
                    <w:rPr>
                      <w:rFonts w:hint="eastAsia" w:cs="Times New Roman"/>
                      <w:b/>
                      <w:bCs/>
                      <w:color w:val="auto"/>
                      <w:sz w:val="21"/>
                      <w:szCs w:val="21"/>
                      <w:lang w:val="en-US" w:eastAsia="zh-CN"/>
                    </w:rPr>
                    <w:t>要求</w:t>
                  </w:r>
                </w:p>
              </w:tc>
            </w:tr>
            <w:tr w14:paraId="121B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361" w:type="dxa"/>
                  <w:vMerge w:val="restart"/>
                  <w:vAlign w:val="center"/>
                </w:tcPr>
                <w:p w14:paraId="685C1A97">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重点防渗</w:t>
                  </w:r>
                </w:p>
              </w:tc>
              <w:tc>
                <w:tcPr>
                  <w:tcW w:w="2348" w:type="dxa"/>
                  <w:vAlign w:val="center"/>
                </w:tcPr>
                <w:p w14:paraId="442C5E9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生产区、1#原料堆场、</w:t>
                  </w:r>
                  <w:r>
                    <w:rPr>
                      <w:rFonts w:hint="eastAsia" w:cs="Times New Roman"/>
                      <w:color w:val="auto"/>
                      <w:sz w:val="21"/>
                      <w:szCs w:val="21"/>
                      <w:lang w:val="en-US" w:eastAsia="zh-CN"/>
                    </w:rPr>
                    <w:t>2#原料堆场</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成品仓库、废品仓库</w:t>
                  </w:r>
                </w:p>
              </w:tc>
              <w:tc>
                <w:tcPr>
                  <w:tcW w:w="4681" w:type="dxa"/>
                  <w:vAlign w:val="center"/>
                </w:tcPr>
                <w:p w14:paraId="6A16551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lang w:eastAsia="zh-CN"/>
                    </w:rPr>
                    <w:t>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需</w:t>
                  </w:r>
                  <w:r>
                    <w:rPr>
                      <w:rFonts w:hint="eastAsia" w:ascii="Times New Roman" w:hAnsi="Times New Roman" w:eastAsia="宋体" w:cs="Times New Roman"/>
                      <w:color w:val="auto"/>
                      <w:sz w:val="21"/>
                      <w:szCs w:val="21"/>
                      <w:lang w:eastAsia="zh-CN"/>
                    </w:rPr>
                    <w:t>满足《一般工业固体废物贮 存和填埋污染控制标准》（GB</w:t>
                  </w:r>
                  <w:r>
                    <w:rPr>
                      <w:rFonts w:hint="eastAsia"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18599-2020）要求Ⅱ类场的防渗技术要求</w:t>
                  </w:r>
                </w:p>
              </w:tc>
            </w:tr>
            <w:tr w14:paraId="5D9A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361" w:type="dxa"/>
                  <w:vMerge w:val="continue"/>
                  <w:vAlign w:val="center"/>
                </w:tcPr>
                <w:p w14:paraId="3001AFD2">
                  <w:pPr>
                    <w:pStyle w:val="30"/>
                    <w:kinsoku/>
                    <w:overflowPunct w:val="0"/>
                    <w:autoSpaceDE/>
                    <w:autoSpaceDN/>
                    <w:adjustRightInd/>
                    <w:snapToGrid/>
                    <w:jc w:val="center"/>
                    <w:rPr>
                      <w:rFonts w:hint="eastAsia" w:cs="Times New Roman"/>
                      <w:color w:val="auto"/>
                      <w:sz w:val="21"/>
                      <w:szCs w:val="21"/>
                      <w:lang w:val="en-US" w:eastAsia="zh-CN"/>
                    </w:rPr>
                  </w:pPr>
                </w:p>
              </w:tc>
              <w:tc>
                <w:tcPr>
                  <w:tcW w:w="2348" w:type="dxa"/>
                  <w:vAlign w:val="center"/>
                </w:tcPr>
                <w:p w14:paraId="6281EB1D">
                  <w:pPr>
                    <w:pStyle w:val="30"/>
                    <w:kinsoku/>
                    <w:overflowPunct w:val="0"/>
                    <w:autoSpaceDE/>
                    <w:autoSpaceDN/>
                    <w:adjustRightInd/>
                    <w:snapToGrid/>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危废暂存间</w:t>
                  </w:r>
                </w:p>
              </w:tc>
              <w:tc>
                <w:tcPr>
                  <w:tcW w:w="4681" w:type="dxa"/>
                  <w:vAlign w:val="center"/>
                </w:tcPr>
                <w:p w14:paraId="4AF419B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参照GB 18597执行</w:t>
                  </w:r>
                </w:p>
              </w:tc>
            </w:tr>
            <w:tr w14:paraId="72435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361" w:type="dxa"/>
                  <w:vAlign w:val="center"/>
                </w:tcPr>
                <w:p w14:paraId="06A9AC22">
                  <w:pPr>
                    <w:pStyle w:val="30"/>
                    <w:kinsoku/>
                    <w:overflowPunct w:val="0"/>
                    <w:autoSpaceDE/>
                    <w:autoSpaceDN/>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一般防渗</w:t>
                  </w:r>
                </w:p>
              </w:tc>
              <w:tc>
                <w:tcPr>
                  <w:tcW w:w="2348" w:type="dxa"/>
                  <w:vAlign w:val="center"/>
                </w:tcPr>
                <w:p w14:paraId="4C42903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初期雨水收集池、中水池、一体化污水处理设施、隔油池、化粪池</w:t>
                  </w:r>
                </w:p>
              </w:tc>
              <w:tc>
                <w:tcPr>
                  <w:tcW w:w="4681" w:type="dxa"/>
                  <w:vAlign w:val="center"/>
                </w:tcPr>
                <w:p w14:paraId="6448846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rPr>
                    <w:t>等效黏土防渗层Mb≥1.5m，渗透系数K≤1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vertAlign w:val="superscript"/>
                    </w:rPr>
                    <w:t>-7</w:t>
                  </w:r>
                  <w:r>
                    <w:rPr>
                      <w:rFonts w:hint="eastAsia" w:ascii="Times New Roman" w:hAnsi="Times New Roman" w:eastAsia="宋体" w:cs="Times New Roman"/>
                      <w:color w:val="auto"/>
                      <w:sz w:val="21"/>
                      <w:szCs w:val="21"/>
                    </w:rPr>
                    <w:t>cm/s</w:t>
                  </w:r>
                  <w:r>
                    <w:rPr>
                      <w:rFonts w:hint="eastAsia" w:ascii="Times New Roman" w:hAnsi="Times New Roman" w:eastAsia="宋体" w:cs="Times New Roman"/>
                      <w:color w:val="auto"/>
                      <w:spacing w:val="0"/>
                      <w:sz w:val="21"/>
                      <w:szCs w:val="21"/>
                      <w:lang w:val="en-US" w:eastAsia="zh-CN"/>
                    </w:rPr>
                    <w:t>或参照GB 16889执行</w:t>
                  </w:r>
                </w:p>
              </w:tc>
            </w:tr>
            <w:tr w14:paraId="0447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3" w:hRule="atLeast"/>
                <w:jc w:val="center"/>
              </w:trPr>
              <w:tc>
                <w:tcPr>
                  <w:tcW w:w="1361" w:type="dxa"/>
                  <w:vAlign w:val="center"/>
                </w:tcPr>
                <w:p w14:paraId="16889CE0">
                  <w:pPr>
                    <w:pStyle w:val="30"/>
                    <w:kinsoku/>
                    <w:overflowPunct w:val="0"/>
                    <w:autoSpaceDE/>
                    <w:autoSpaceDN/>
                    <w:adjustRightInd/>
                    <w:snapToGrid/>
                    <w:jc w:val="center"/>
                    <w:rPr>
                      <w:rFonts w:hint="default" w:cs="Times New Roman"/>
                      <w:color w:val="auto"/>
                      <w:sz w:val="21"/>
                      <w:szCs w:val="21"/>
                      <w:lang w:val="en-US" w:eastAsia="zh-CN"/>
                    </w:rPr>
                  </w:pPr>
                  <w:r>
                    <w:rPr>
                      <w:rFonts w:hint="eastAsia" w:cs="Times New Roman"/>
                      <w:color w:val="auto"/>
                      <w:sz w:val="21"/>
                      <w:szCs w:val="21"/>
                      <w:lang w:val="en-US" w:eastAsia="zh-CN"/>
                    </w:rPr>
                    <w:t>简单防渗</w:t>
                  </w:r>
                </w:p>
              </w:tc>
              <w:tc>
                <w:tcPr>
                  <w:tcW w:w="2348" w:type="dxa"/>
                  <w:vAlign w:val="center"/>
                </w:tcPr>
                <w:p w14:paraId="195891D2">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厂区内除重点防渗区、一般防渗区及绿化区域以外的地面</w:t>
                  </w:r>
                </w:p>
              </w:tc>
              <w:tc>
                <w:tcPr>
                  <w:tcW w:w="4681" w:type="dxa"/>
                  <w:vAlign w:val="center"/>
                </w:tcPr>
                <w:p w14:paraId="57CC5CC0">
                  <w:pPr>
                    <w:pStyle w:val="30"/>
                    <w:kinsoku/>
                    <w:overflowPunct w:val="0"/>
                    <w:autoSpaceDE/>
                    <w:autoSpaceDN/>
                    <w:adjustRightInd/>
                    <w:snapToGrid/>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地面硬化</w:t>
                  </w:r>
                </w:p>
              </w:tc>
            </w:tr>
          </w:tbl>
          <w:p w14:paraId="4339BD1C">
            <w:pPr>
              <w:pStyle w:val="30"/>
              <w:widowControl/>
              <w:kinsoku/>
              <w:overflowPunct w:val="0"/>
              <w:autoSpaceDE/>
              <w:autoSpaceDN/>
              <w:adjustRightInd/>
              <w:snapToGrid/>
              <w:spacing w:line="360" w:lineRule="auto"/>
              <w:ind w:firstLine="480" w:firstLineChars="200"/>
              <w:jc w:val="both"/>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具体防渗布置见附图11。</w:t>
            </w:r>
          </w:p>
          <w:p w14:paraId="0457421B">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w:t>
            </w:r>
            <w:r>
              <w:rPr>
                <w:rFonts w:hint="eastAsia" w:ascii="Times New Roman" w:hAnsi="Times New Roman" w:eastAsia="宋体" w:cs="Times New Roman"/>
                <w:color w:val="auto"/>
                <w:sz w:val="24"/>
                <w:szCs w:val="24"/>
                <w:lang w:eastAsia="zh-CN"/>
              </w:rPr>
              <w:t>生产区、原料堆场、成品仓库、废品仓库</w:t>
            </w:r>
            <w:r>
              <w:rPr>
                <w:rFonts w:ascii="Times New Roman" w:hAnsi="Times New Roman" w:eastAsia="宋体" w:cs="Times New Roman"/>
                <w:color w:val="auto"/>
                <w:sz w:val="24"/>
                <w:szCs w:val="24"/>
                <w:lang w:eastAsia="zh-CN"/>
              </w:rPr>
              <w:t>防渗系统满足《一般工业固体废物贮存和填埋污染控制标准》（GB</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18599-2020）</w:t>
            </w:r>
            <w:r>
              <w:rPr>
                <w:rFonts w:hint="eastAsia" w:ascii="Times New Roman" w:hAnsi="Times New Roman" w:eastAsia="宋体" w:cs="Times New Roman"/>
                <w:color w:val="auto"/>
                <w:sz w:val="24"/>
                <w:szCs w:val="24"/>
                <w:lang w:eastAsia="zh-CN"/>
              </w:rPr>
              <w:t>Ⅱ</w:t>
            </w:r>
            <w:r>
              <w:rPr>
                <w:rFonts w:ascii="Times New Roman" w:hAnsi="Times New Roman" w:eastAsia="宋体" w:cs="Times New Roman"/>
                <w:color w:val="auto"/>
                <w:sz w:val="24"/>
                <w:szCs w:val="24"/>
                <w:lang w:eastAsia="zh-CN"/>
              </w:rPr>
              <w:t>类</w:t>
            </w:r>
            <w:r>
              <w:rPr>
                <w:rFonts w:hint="eastAsia" w:ascii="Times New Roman" w:hAnsi="Times New Roman" w:eastAsia="宋体" w:cs="Times New Roman"/>
                <w:color w:val="auto"/>
                <w:sz w:val="24"/>
                <w:szCs w:val="24"/>
                <w:lang w:eastAsia="zh-CN"/>
              </w:rPr>
              <w:t>场</w:t>
            </w:r>
            <w:r>
              <w:rPr>
                <w:rFonts w:ascii="Times New Roman" w:hAnsi="Times New Roman" w:eastAsia="宋体" w:cs="Times New Roman"/>
                <w:color w:val="auto"/>
                <w:sz w:val="24"/>
                <w:szCs w:val="24"/>
                <w:lang w:eastAsia="zh-CN"/>
              </w:rPr>
              <w:t>的防渗技术要求</w:t>
            </w:r>
            <w:r>
              <w:rPr>
                <w:rFonts w:hint="eastAsia" w:ascii="Times New Roman" w:hAnsi="Times New Roman" w:eastAsia="宋体" w:cs="Times New Roman"/>
                <w:color w:val="auto"/>
                <w:sz w:val="24"/>
                <w:szCs w:val="24"/>
                <w:lang w:eastAsia="zh-CN"/>
              </w:rPr>
              <w:t>，满足《磷石膏利用和无害化贮存污染控制技术规范》（HJ 1415-2025）要求，</w:t>
            </w:r>
            <w:r>
              <w:rPr>
                <w:rFonts w:ascii="Times New Roman" w:hAnsi="Times New Roman" w:eastAsia="宋体" w:cs="Times New Roman"/>
                <w:color w:val="auto"/>
                <w:sz w:val="24"/>
                <w:szCs w:val="24"/>
                <w:lang w:eastAsia="zh-CN"/>
              </w:rPr>
              <w:t>满足《环境影响技术评价导则</w:t>
            </w:r>
            <w:r>
              <w:rPr>
                <w:rFonts w:hint="eastAsia" w:ascii="Times New Roman" w:hAnsi="Times New Roman" w:eastAsia="宋体" w:cs="Times New Roman"/>
                <w:color w:val="auto"/>
                <w:sz w:val="24"/>
                <w:szCs w:val="24"/>
                <w:lang w:eastAsia="zh-CN"/>
              </w:rPr>
              <w:t xml:space="preserve"> </w:t>
            </w:r>
            <w:r>
              <w:rPr>
                <w:rFonts w:ascii="Times New Roman" w:hAnsi="Times New Roman" w:eastAsia="宋体" w:cs="Times New Roman"/>
                <w:color w:val="auto"/>
                <w:sz w:val="24"/>
                <w:szCs w:val="24"/>
                <w:lang w:eastAsia="zh-CN"/>
              </w:rPr>
              <w:t>地下水环境》HJ</w:t>
            </w:r>
            <w:r>
              <w:rPr>
                <w:rFonts w:hint="eastAsia" w:cs="Times New Roman"/>
                <w:color w:val="auto"/>
                <w:sz w:val="24"/>
                <w:szCs w:val="24"/>
                <w:lang w:val="en-US" w:eastAsia="zh-CN"/>
              </w:rPr>
              <w:t xml:space="preserve"> </w:t>
            </w:r>
            <w:r>
              <w:rPr>
                <w:rFonts w:ascii="Times New Roman" w:hAnsi="Times New Roman" w:eastAsia="宋体" w:cs="Times New Roman"/>
                <w:color w:val="auto"/>
                <w:sz w:val="24"/>
                <w:szCs w:val="24"/>
                <w:lang w:eastAsia="zh-CN"/>
              </w:rPr>
              <w:t>610-2016中分区防渗要求</w:t>
            </w:r>
            <w:r>
              <w:rPr>
                <w:rFonts w:hint="eastAsia" w:ascii="Times New Roman" w:hAnsi="Times New Roman" w:eastAsia="宋体" w:cs="Times New Roman"/>
                <w:color w:val="auto"/>
                <w:sz w:val="24"/>
                <w:szCs w:val="24"/>
                <w:lang w:eastAsia="zh-CN"/>
              </w:rPr>
              <w:t>，危废贮存库满足《危险废物贮存污染控制标准》（GB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18597-2023）要求</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sz w:val="24"/>
                <w:szCs w:val="24"/>
                <w:lang w:eastAsia="zh-CN"/>
              </w:rPr>
              <w:t>本项目正常工况下，对地下水、土壤影响小。</w:t>
            </w:r>
          </w:p>
          <w:p w14:paraId="228FC892">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在项目建设过程中，严格按照设计施工，确保堆场防渗系统正常运行，项目正常工况下堆场对区域地下水和土壤影响较小。环评提出，每批次产品必须经过厂家检测，检测结果达到产品质量标准后方可进入项目区，若产品质量不合格则重新返回生产厂家，生产合格后才可以利用。各物料中严禁</w:t>
            </w:r>
            <w:r>
              <w:rPr>
                <w:rFonts w:hint="eastAsia" w:ascii="Times New Roman" w:hAnsi="Times New Roman" w:eastAsia="宋体" w:cs="Times New Roman"/>
                <w:color w:val="auto"/>
                <w:sz w:val="24"/>
                <w:szCs w:val="24"/>
                <w:lang w:eastAsia="zh-CN"/>
              </w:rPr>
              <w:t>混入</w:t>
            </w:r>
            <w:r>
              <w:rPr>
                <w:rFonts w:ascii="Times New Roman" w:hAnsi="Times New Roman" w:eastAsia="宋体" w:cs="Times New Roman"/>
                <w:color w:val="auto"/>
                <w:sz w:val="24"/>
                <w:szCs w:val="24"/>
                <w:lang w:eastAsia="zh-CN"/>
              </w:rPr>
              <w:t>危险废物、放射性废物、生活垃圾性质相近的一般工业固体废物以及其他有机物含量超过5%的一般工业固体废物。</w:t>
            </w:r>
          </w:p>
          <w:p w14:paraId="2BDFB6B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根据项目区域地势及水文地质资料可知，</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val="en-US" w:eastAsia="zh-CN"/>
              </w:rPr>
              <w:t>虽然与本项目建设用地属于同一水文单元，可代表地下水现状水质，但此水文单元为周围地表径流入渗补水，最终汇入潘所海，所以</w:t>
            </w:r>
            <w:r>
              <w:rPr>
                <w:rFonts w:hint="eastAsia" w:ascii="Times New Roman" w:hAnsi="Times New Roman" w:eastAsia="宋体" w:cs="Times New Roman"/>
                <w:color w:val="auto"/>
                <w:sz w:val="24"/>
                <w:szCs w:val="24"/>
                <w:lang w:eastAsia="zh-CN"/>
              </w:rPr>
              <w:t>北侧320</w:t>
            </w:r>
            <w:r>
              <w:rPr>
                <w:rFonts w:ascii="Times New Roman" w:hAnsi="Times New Roman" w:eastAsia="宋体" w:cs="Times New Roman"/>
                <w:color w:val="auto"/>
                <w:sz w:val="24"/>
                <w:szCs w:val="24"/>
                <w:lang w:eastAsia="zh-CN"/>
              </w:rPr>
              <w:t>m的</w:t>
            </w:r>
            <w:r>
              <w:rPr>
                <w:rFonts w:hint="eastAsia" w:ascii="Times New Roman" w:hAnsi="Times New Roman" w:eastAsia="宋体" w:cs="Times New Roman"/>
                <w:color w:val="auto"/>
                <w:sz w:val="24"/>
                <w:szCs w:val="24"/>
                <w:lang w:eastAsia="zh-CN"/>
              </w:rPr>
              <w:t>泽铁社区</w:t>
            </w:r>
            <w:r>
              <w:rPr>
                <w:rFonts w:ascii="Times New Roman" w:hAnsi="Times New Roman" w:eastAsia="宋体" w:cs="Times New Roman"/>
                <w:color w:val="auto"/>
                <w:sz w:val="24"/>
                <w:szCs w:val="24"/>
                <w:lang w:eastAsia="zh-CN"/>
              </w:rPr>
              <w:t>水井</w:t>
            </w:r>
            <w:r>
              <w:rPr>
                <w:rFonts w:hint="eastAsia" w:ascii="Times New Roman" w:hAnsi="Times New Roman" w:eastAsia="宋体" w:cs="Times New Roman"/>
                <w:color w:val="auto"/>
                <w:sz w:val="24"/>
                <w:szCs w:val="24"/>
                <w:lang w:val="en-US" w:eastAsia="zh-CN"/>
              </w:rPr>
              <w:t>位于本项目建设用地水文单元上游，无法对本项目运营期渗漏及地下水污染情况进行监测。因此本评价建议在项目东南侧建设一个地下水监测井用于渗漏监控及后续跟踪监测。</w:t>
            </w:r>
          </w:p>
          <w:p w14:paraId="010E5CD0">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（4）跟踪</w:t>
            </w:r>
            <w:r>
              <w:rPr>
                <w:rFonts w:hint="eastAsia" w:ascii="Times New Roman" w:hAnsi="Times New Roman" w:eastAsia="宋体" w:cs="Times New Roman"/>
                <w:b/>
                <w:bCs/>
                <w:color w:val="auto"/>
                <w:sz w:val="24"/>
                <w:szCs w:val="24"/>
                <w:lang w:eastAsia="zh-CN"/>
              </w:rPr>
              <w:t>监</w:t>
            </w:r>
            <w:r>
              <w:rPr>
                <w:rFonts w:ascii="Times New Roman" w:hAnsi="Times New Roman" w:eastAsia="宋体" w:cs="Times New Roman"/>
                <w:b/>
                <w:bCs/>
                <w:color w:val="auto"/>
                <w:sz w:val="24"/>
                <w:szCs w:val="24"/>
                <w:lang w:eastAsia="zh-CN"/>
              </w:rPr>
              <w:t>测</w:t>
            </w:r>
          </w:p>
          <w:p w14:paraId="1F0B4DE3">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根据《一般工业固体废物贮存和填埋污染控制标准》（GB</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18599-2020）及《磷石膏利用和无害化贮存污染控制技术规范》（HJ</w:t>
            </w:r>
            <w:r>
              <w:rPr>
                <w:rFonts w:hint="eastAsia" w:cs="Times New Roman"/>
                <w:color w:val="auto"/>
                <w:sz w:val="24"/>
                <w:szCs w:val="24"/>
                <w:lang w:val="en-US" w:eastAsia="zh-CN"/>
              </w:rPr>
              <w:t xml:space="preserve"> </w:t>
            </w:r>
            <w:r>
              <w:rPr>
                <w:rFonts w:hint="eastAsia" w:ascii="Times New Roman" w:hAnsi="Times New Roman" w:eastAsia="宋体" w:cs="Times New Roman"/>
                <w:color w:val="auto"/>
                <w:sz w:val="24"/>
                <w:szCs w:val="24"/>
                <w:lang w:eastAsia="zh-CN"/>
              </w:rPr>
              <w:t>1415-2025）要求，项目需设置土壤、地下水跟踪监测点。具体监测计划见下表。</w:t>
            </w:r>
          </w:p>
          <w:p w14:paraId="0FB7CB65">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lang w:eastAsia="zh-CN"/>
              </w:rPr>
            </w:pPr>
            <w:r>
              <w:rPr>
                <w:rFonts w:ascii="Times New Roman" w:hAnsi="Times New Roman" w:eastAsia="宋体" w:cs="Times New Roman"/>
                <w:b/>
                <w:color w:val="auto"/>
                <w:sz w:val="24"/>
                <w:szCs w:val="24"/>
                <w:lang w:eastAsia="zh-CN"/>
              </w:rPr>
              <w:t>表</w:t>
            </w:r>
            <w:r>
              <w:rPr>
                <w:rFonts w:hint="eastAsia" w:ascii="Times New Roman" w:hAnsi="Times New Roman" w:eastAsia="宋体" w:cs="Times New Roman"/>
                <w:b/>
                <w:color w:val="auto"/>
                <w:sz w:val="24"/>
                <w:szCs w:val="24"/>
                <w:lang w:eastAsia="zh-CN"/>
              </w:rPr>
              <w:t>4-</w:t>
            </w:r>
            <w:r>
              <w:rPr>
                <w:rFonts w:hint="eastAsia" w:cs="Times New Roman"/>
                <w:b/>
                <w:color w:val="auto"/>
                <w:sz w:val="24"/>
                <w:szCs w:val="24"/>
                <w:lang w:val="en-US" w:eastAsia="zh-CN"/>
              </w:rPr>
              <w:t>20</w:t>
            </w:r>
            <w:r>
              <w:rPr>
                <w:rFonts w:ascii="Times New Roman" w:hAnsi="Times New Roman" w:eastAsia="宋体" w:cs="Times New Roman"/>
                <w:b/>
                <w:color w:val="auto"/>
                <w:sz w:val="24"/>
                <w:szCs w:val="24"/>
                <w:lang w:eastAsia="zh-CN"/>
              </w:rPr>
              <w:t xml:space="preserve"> 土壤及地下水环境跟踪监测</w:t>
            </w:r>
            <w:r>
              <w:rPr>
                <w:rFonts w:hint="eastAsia" w:ascii="Times New Roman" w:hAnsi="Times New Roman" w:eastAsia="宋体" w:cs="Times New Roman"/>
                <w:b/>
                <w:color w:val="auto"/>
                <w:sz w:val="24"/>
                <w:szCs w:val="24"/>
                <w:lang w:eastAsia="zh-CN"/>
              </w:rPr>
              <w:t>计划</w:t>
            </w:r>
            <w:r>
              <w:rPr>
                <w:rFonts w:ascii="Times New Roman" w:hAnsi="Times New Roman" w:eastAsia="宋体" w:cs="Times New Roman"/>
                <w:b/>
                <w:color w:val="auto"/>
                <w:sz w:val="24"/>
                <w:szCs w:val="24"/>
                <w:lang w:eastAsia="zh-CN"/>
              </w:rPr>
              <w:t>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706"/>
              <w:gridCol w:w="1716"/>
              <w:gridCol w:w="844"/>
              <w:gridCol w:w="3411"/>
            </w:tblGrid>
            <w:tr w14:paraId="0EABA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tcBorders>
                    <w:top w:val="single" w:color="auto" w:sz="4" w:space="0"/>
                    <w:left w:val="single" w:color="auto" w:sz="4" w:space="0"/>
                    <w:bottom w:val="single" w:color="auto" w:sz="4" w:space="0"/>
                    <w:right w:val="single" w:color="auto" w:sz="4" w:space="0"/>
                  </w:tcBorders>
                  <w:vAlign w:val="center"/>
                </w:tcPr>
                <w:p w14:paraId="19029D13">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要素</w:t>
                  </w:r>
                </w:p>
              </w:tc>
              <w:tc>
                <w:tcPr>
                  <w:tcW w:w="1706" w:type="dxa"/>
                  <w:tcBorders>
                    <w:top w:val="single" w:color="auto" w:sz="4" w:space="0"/>
                    <w:left w:val="single" w:color="auto" w:sz="4" w:space="0"/>
                    <w:bottom w:val="single" w:color="auto" w:sz="4" w:space="0"/>
                    <w:right w:val="single" w:color="auto" w:sz="4" w:space="0"/>
                  </w:tcBorders>
                  <w:vAlign w:val="center"/>
                </w:tcPr>
                <w:p w14:paraId="1450A6A7">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点位</w:t>
                  </w:r>
                </w:p>
              </w:tc>
              <w:tc>
                <w:tcPr>
                  <w:tcW w:w="1716" w:type="dxa"/>
                  <w:tcBorders>
                    <w:top w:val="single" w:color="auto" w:sz="4" w:space="0"/>
                    <w:left w:val="single" w:color="auto" w:sz="4" w:space="0"/>
                    <w:bottom w:val="single" w:color="auto" w:sz="4" w:space="0"/>
                    <w:right w:val="single" w:color="auto" w:sz="4" w:space="0"/>
                  </w:tcBorders>
                  <w:vAlign w:val="center"/>
                </w:tcPr>
                <w:p w14:paraId="75160E19">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项目</w:t>
                  </w:r>
                </w:p>
              </w:tc>
              <w:tc>
                <w:tcPr>
                  <w:tcW w:w="844" w:type="dxa"/>
                  <w:tcBorders>
                    <w:top w:val="single" w:color="auto" w:sz="4" w:space="0"/>
                    <w:left w:val="single" w:color="auto" w:sz="4" w:space="0"/>
                    <w:bottom w:val="single" w:color="auto" w:sz="4" w:space="0"/>
                    <w:right w:val="single" w:color="auto" w:sz="4" w:space="0"/>
                  </w:tcBorders>
                  <w:vAlign w:val="center"/>
                </w:tcPr>
                <w:p w14:paraId="6A27CAD4">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频次</w:t>
                  </w:r>
                </w:p>
              </w:tc>
              <w:tc>
                <w:tcPr>
                  <w:tcW w:w="3411" w:type="dxa"/>
                  <w:tcBorders>
                    <w:top w:val="single" w:color="auto" w:sz="4" w:space="0"/>
                    <w:left w:val="single" w:color="auto" w:sz="4" w:space="0"/>
                    <w:bottom w:val="single" w:color="auto" w:sz="4" w:space="0"/>
                    <w:right w:val="single" w:color="auto" w:sz="4" w:space="0"/>
                  </w:tcBorders>
                  <w:vAlign w:val="center"/>
                </w:tcPr>
                <w:p w14:paraId="139D2546">
                  <w:pPr>
                    <w:kinsoku/>
                    <w:overflowPunct w:val="0"/>
                    <w:autoSpaceDE/>
                    <w:autoSpaceDN/>
                    <w:adjustRightInd/>
                    <w:snapToGrid/>
                    <w:jc w:val="center"/>
                    <w:rPr>
                      <w:rFonts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标准</w:t>
                  </w:r>
                </w:p>
              </w:tc>
            </w:tr>
            <w:tr w14:paraId="6957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69CDEEA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w:t>
                  </w:r>
                </w:p>
              </w:tc>
              <w:tc>
                <w:tcPr>
                  <w:tcW w:w="1706" w:type="dxa"/>
                  <w:vAlign w:val="center"/>
                </w:tcPr>
                <w:p w14:paraId="1C4A9A6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厂区内原料堆棚旁，1个（表层土壤：0~0.5m）</w:t>
                  </w:r>
                </w:p>
              </w:tc>
              <w:tc>
                <w:tcPr>
                  <w:tcW w:w="1716" w:type="dxa"/>
                  <w:vAlign w:val="center"/>
                </w:tcPr>
                <w:p w14:paraId="7512FBD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pH、铬、锌、铊、磷酸盐、氟化物</w:t>
                  </w:r>
                </w:p>
              </w:tc>
              <w:tc>
                <w:tcPr>
                  <w:tcW w:w="844" w:type="dxa"/>
                  <w:vAlign w:val="center"/>
                </w:tcPr>
                <w:p w14:paraId="74539847">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4605D8B3">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《土壤环境质量建设用地土壤污染风险管控标准》（GB36600—2018）；不应高于初次监测的背景值</w:t>
                  </w:r>
                </w:p>
              </w:tc>
            </w:tr>
            <w:tr w14:paraId="5234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E0337C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w:t>
                  </w:r>
                </w:p>
              </w:tc>
              <w:tc>
                <w:tcPr>
                  <w:tcW w:w="1706" w:type="dxa"/>
                  <w:vAlign w:val="center"/>
                </w:tcPr>
                <w:p w14:paraId="6C7F608C">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东南侧地下水监测井</w:t>
                  </w:r>
                </w:p>
              </w:tc>
              <w:tc>
                <w:tcPr>
                  <w:tcW w:w="1716" w:type="dxa"/>
                  <w:vAlign w:val="center"/>
                </w:tcPr>
                <w:p w14:paraId="6DA7CED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bidi="ar"/>
                    </w:rPr>
                    <w:t>pH、总磷、氟化物、砷、铅、镉、汞、铬和硫酸盐</w:t>
                  </w:r>
                </w:p>
              </w:tc>
              <w:tc>
                <w:tcPr>
                  <w:tcW w:w="844" w:type="dxa"/>
                  <w:vAlign w:val="center"/>
                </w:tcPr>
                <w:p w14:paraId="59B73B90">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3411" w:type="dxa"/>
                  <w:vAlign w:val="center"/>
                </w:tcPr>
                <w:p w14:paraId="6574F055">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bCs/>
                      <w:color w:val="auto"/>
                      <w:spacing w:val="-10"/>
                      <w:lang w:eastAsia="zh-CN" w:bidi="ar"/>
                    </w:rPr>
                    <w:t>《地下水质量标准》（GB/T14848-2017）中的Ⅲ类标准；不应高于初次监测的背景值</w:t>
                  </w:r>
                </w:p>
              </w:tc>
            </w:tr>
          </w:tbl>
          <w:p w14:paraId="4F5EDF81">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b/>
                <w:bCs/>
                <w:color w:val="auto"/>
                <w:sz w:val="24"/>
                <w:szCs w:val="24"/>
                <w:lang w:eastAsia="zh-CN"/>
              </w:rPr>
              <w:t>七、环境风险</w:t>
            </w:r>
          </w:p>
          <w:p w14:paraId="05B13946">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环境风险评价或称事故风险环境评价，主要是指有毒、有害物质因突发事故，在很短时间内大剂量释放，给人和生态环境造成的激烈效应以及事故后期的长远效应的预测、分析和评估，从而为本项目设计提供较为明确的环境风险防范措施。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w:t>
            </w:r>
          </w:p>
          <w:p w14:paraId="7AEEEAF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（1）风险识别</w:t>
            </w:r>
          </w:p>
          <w:p w14:paraId="3ABA3E29">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建设项目环境风险评价技术导则》（HJ169-2018）相关规定：根据项目生产工艺流程，对企业原辅材料、燃料、中间产品、副产品、最终产品和三废所涉及的主要物质进行识别；如果某种物质具有有毒、有害、易燃易爆、易扩散等特性，在意外条件下可能对企业外部人群和环境造成伤害、污染，则定义此物质为环境风险物质。</w:t>
            </w:r>
          </w:p>
          <w:p w14:paraId="15EF78BF">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ascii="Times New Roman" w:hAnsi="Times New Roman" w:eastAsia="宋体" w:cs="Times New Roman"/>
                <w:color w:val="auto"/>
                <w:sz w:val="24"/>
                <w:szCs w:val="24"/>
                <w:lang w:eastAsia="zh-CN"/>
              </w:rPr>
              <w:t>据此原则，对项目内各环节涉及的主要物质进行识别，识别结果见</w:t>
            </w:r>
            <w:r>
              <w:rPr>
                <w:rFonts w:hint="eastAsia" w:ascii="Times New Roman" w:hAnsi="Times New Roman" w:eastAsia="宋体" w:cs="Times New Roman"/>
                <w:color w:val="auto"/>
                <w:sz w:val="24"/>
                <w:szCs w:val="24"/>
                <w:lang w:eastAsia="zh-CN"/>
              </w:rPr>
              <w:t>下</w:t>
            </w:r>
            <w:r>
              <w:rPr>
                <w:rFonts w:ascii="Times New Roman" w:hAnsi="Times New Roman" w:eastAsia="宋体" w:cs="Times New Roman"/>
                <w:color w:val="auto"/>
                <w:sz w:val="24"/>
                <w:szCs w:val="24"/>
                <w:lang w:eastAsia="zh-CN"/>
              </w:rPr>
              <w:t>表。</w:t>
            </w:r>
          </w:p>
          <w:p w14:paraId="1EF806AA">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表</w:t>
            </w:r>
            <w:r>
              <w:rPr>
                <w:rFonts w:hint="eastAsia" w:ascii="Times New Roman" w:hAnsi="Times New Roman" w:eastAsia="宋体" w:cs="Times New Roman"/>
                <w:b/>
                <w:color w:val="auto"/>
                <w:sz w:val="24"/>
                <w:szCs w:val="24"/>
                <w:lang w:eastAsia="zh-CN"/>
              </w:rPr>
              <w:t>4-2</w:t>
            </w:r>
            <w:r>
              <w:rPr>
                <w:rFonts w:hint="eastAsia" w:cs="Times New Roman"/>
                <w:b/>
                <w:color w:val="auto"/>
                <w:sz w:val="24"/>
                <w:szCs w:val="24"/>
                <w:lang w:val="en-US" w:eastAsia="zh-CN"/>
              </w:rPr>
              <w:t>1</w:t>
            </w:r>
            <w:r>
              <w:rPr>
                <w:rFonts w:ascii="Times New Roman" w:hAnsi="Times New Roman" w:eastAsia="宋体" w:cs="Times New Roman"/>
                <w:b/>
                <w:color w:val="auto"/>
                <w:sz w:val="24"/>
                <w:szCs w:val="24"/>
              </w:rPr>
              <w:t xml:space="preserve"> 环境风险物质识别表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1803"/>
              <w:gridCol w:w="2136"/>
              <w:gridCol w:w="1464"/>
              <w:gridCol w:w="1567"/>
            </w:tblGrid>
            <w:tr w14:paraId="00F83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op w:val="single" w:color="auto" w:sz="4" w:space="0"/>
                    <w:left w:val="single" w:color="auto" w:sz="4" w:space="0"/>
                    <w:bottom w:val="single" w:color="auto" w:sz="4" w:space="0"/>
                    <w:right w:val="single" w:color="auto" w:sz="4" w:space="0"/>
                  </w:tcBorders>
                  <w:vAlign w:val="center"/>
                </w:tcPr>
                <w:p w14:paraId="2C2461FB">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物质名称</w:t>
                  </w:r>
                </w:p>
              </w:tc>
              <w:tc>
                <w:tcPr>
                  <w:tcW w:w="0" w:type="auto"/>
                  <w:tcBorders>
                    <w:top w:val="single" w:color="auto" w:sz="4" w:space="0"/>
                    <w:left w:val="single" w:color="auto" w:sz="4" w:space="0"/>
                    <w:bottom w:val="single" w:color="auto" w:sz="4" w:space="0"/>
                    <w:right w:val="single" w:color="auto" w:sz="4" w:space="0"/>
                  </w:tcBorders>
                  <w:vAlign w:val="center"/>
                </w:tcPr>
                <w:p w14:paraId="0ACF92D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风险特性</w:t>
                  </w:r>
                </w:p>
              </w:tc>
              <w:tc>
                <w:tcPr>
                  <w:tcW w:w="0" w:type="auto"/>
                  <w:tcBorders>
                    <w:top w:val="single" w:color="auto" w:sz="4" w:space="0"/>
                    <w:left w:val="single" w:color="auto" w:sz="4" w:space="0"/>
                    <w:bottom w:val="single" w:color="auto" w:sz="4" w:space="0"/>
                    <w:right w:val="single" w:color="auto" w:sz="4" w:space="0"/>
                  </w:tcBorders>
                  <w:vAlign w:val="center"/>
                </w:tcPr>
                <w:p w14:paraId="5840B52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风险类型</w:t>
                  </w:r>
                </w:p>
              </w:tc>
              <w:tc>
                <w:tcPr>
                  <w:tcW w:w="0" w:type="auto"/>
                  <w:tcBorders>
                    <w:top w:val="single" w:color="auto" w:sz="4" w:space="0"/>
                    <w:left w:val="single" w:color="auto" w:sz="4" w:space="0"/>
                    <w:bottom w:val="single" w:color="auto" w:sz="4" w:space="0"/>
                    <w:right w:val="single" w:color="auto" w:sz="4" w:space="0"/>
                  </w:tcBorders>
                  <w:vAlign w:val="center"/>
                </w:tcPr>
                <w:p w14:paraId="44C3A5E4">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存放位置/所在装置</w:t>
                  </w:r>
                </w:p>
              </w:tc>
              <w:tc>
                <w:tcPr>
                  <w:tcW w:w="0" w:type="auto"/>
                  <w:tcBorders>
                    <w:top w:val="single" w:color="auto" w:sz="4" w:space="0"/>
                    <w:left w:val="single" w:color="auto" w:sz="4" w:space="0"/>
                    <w:bottom w:val="single" w:color="auto" w:sz="4" w:space="0"/>
                    <w:right w:val="single" w:color="auto" w:sz="4" w:space="0"/>
                  </w:tcBorders>
                  <w:vAlign w:val="center"/>
                </w:tcPr>
                <w:p w14:paraId="20C0012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是否为环境风险物质</w:t>
                  </w:r>
                </w:p>
              </w:tc>
            </w:tr>
            <w:tr w14:paraId="53F9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4E95F86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废机油</w:t>
                  </w:r>
                </w:p>
              </w:tc>
              <w:tc>
                <w:tcPr>
                  <w:tcW w:w="0" w:type="auto"/>
                  <w:vAlign w:val="center"/>
                </w:tcPr>
                <w:p w14:paraId="6A678EF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危险废物、可燃物质</w:t>
                  </w:r>
                </w:p>
              </w:tc>
              <w:tc>
                <w:tcPr>
                  <w:tcW w:w="0" w:type="auto"/>
                  <w:vAlign w:val="center"/>
                </w:tcPr>
                <w:p w14:paraId="21E46F3A">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泄漏</w:t>
                  </w:r>
                  <w:r>
                    <w:rPr>
                      <w:rFonts w:ascii="Times New Roman" w:hAnsi="Times New Roman" w:eastAsia="宋体" w:cs="Times New Roman"/>
                      <w:color w:val="auto"/>
                      <w:lang w:eastAsia="zh-CN"/>
                    </w:rPr>
                    <w:t>、未按规范要求使用</w:t>
                  </w:r>
                </w:p>
              </w:tc>
              <w:tc>
                <w:tcPr>
                  <w:tcW w:w="0" w:type="auto"/>
                  <w:vAlign w:val="center"/>
                </w:tcPr>
                <w:p w14:paraId="538BC13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w:t>
                  </w:r>
                </w:p>
              </w:tc>
              <w:tc>
                <w:tcPr>
                  <w:tcW w:w="0" w:type="auto"/>
                  <w:vAlign w:val="center"/>
                </w:tcPr>
                <w:p w14:paraId="338016D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是</w:t>
                  </w:r>
                </w:p>
              </w:tc>
            </w:tr>
            <w:tr w14:paraId="28D32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6D0C46A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1"/>
                      <w:szCs w:val="21"/>
                      <w:lang w:eastAsia="zh-CN"/>
                    </w:rPr>
                    <w:t>废含油手套及抹布</w:t>
                  </w:r>
                </w:p>
              </w:tc>
              <w:tc>
                <w:tcPr>
                  <w:tcW w:w="1803" w:type="dxa"/>
                  <w:vAlign w:val="center"/>
                </w:tcPr>
                <w:p w14:paraId="664C25B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危险废物、可燃物质</w:t>
                  </w:r>
                </w:p>
              </w:tc>
              <w:tc>
                <w:tcPr>
                  <w:tcW w:w="2136" w:type="dxa"/>
                  <w:vAlign w:val="center"/>
                </w:tcPr>
                <w:p w14:paraId="7F136E9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泄漏</w:t>
                  </w:r>
                </w:p>
              </w:tc>
              <w:tc>
                <w:tcPr>
                  <w:tcW w:w="0" w:type="auto"/>
                  <w:vAlign w:val="center"/>
                </w:tcPr>
                <w:p w14:paraId="7E7411B7">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w:t>
                  </w:r>
                </w:p>
              </w:tc>
              <w:tc>
                <w:tcPr>
                  <w:tcW w:w="0" w:type="auto"/>
                  <w:vAlign w:val="center"/>
                </w:tcPr>
                <w:p w14:paraId="24D6B1E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是</w:t>
                  </w:r>
                </w:p>
              </w:tc>
            </w:tr>
          </w:tbl>
          <w:p w14:paraId="21259B7E">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由上表可知，本项目主要环境风险物质为废机油</w:t>
            </w:r>
            <w:r>
              <w:rPr>
                <w:rFonts w:hint="eastAsia" w:ascii="Times New Roman" w:hAnsi="Times New Roman" w:eastAsia="宋体" w:cs="Times New Roman"/>
                <w:color w:val="auto"/>
                <w:sz w:val="24"/>
                <w:szCs w:val="24"/>
                <w:lang w:eastAsia="zh-CN"/>
              </w:rPr>
              <w:t>、废含油手套及抹布</w:t>
            </w:r>
            <w:r>
              <w:rPr>
                <w:rFonts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废机油</w:t>
            </w:r>
            <w:r>
              <w:rPr>
                <w:rFonts w:ascii="Times New Roman" w:hAnsi="Times New Roman" w:eastAsia="宋体" w:cs="Times New Roman"/>
                <w:color w:val="auto"/>
                <w:sz w:val="24"/>
                <w:szCs w:val="24"/>
                <w:lang w:eastAsia="zh-CN"/>
              </w:rPr>
              <w:t>主要理化性质及危险特性如下：</w:t>
            </w:r>
          </w:p>
          <w:p w14:paraId="3ACB0299">
            <w:pPr>
              <w:widowControl/>
              <w:kinsoku/>
              <w:overflowPunct w:val="0"/>
              <w:autoSpaceDE/>
              <w:autoSpaceDN/>
              <w:adjustRightInd/>
              <w:snapToGrid/>
              <w:spacing w:line="240" w:lineRule="auto"/>
              <w:ind w:leftChars="0" w:rightChars="0"/>
              <w:jc w:val="center"/>
              <w:rPr>
                <w:rFonts w:ascii="Times New Roman" w:hAnsi="Times New Roman" w:eastAsia="宋体" w:cs="Times New Roman"/>
                <w:b/>
                <w:color w:val="auto"/>
                <w:sz w:val="24"/>
                <w:szCs w:val="24"/>
                <w:lang w:eastAsia="zh-CN"/>
              </w:rPr>
            </w:pPr>
            <w:r>
              <w:rPr>
                <w:rFonts w:ascii="Times New Roman" w:hAnsi="Times New Roman" w:eastAsia="宋体" w:cs="Times New Roman"/>
                <w:b/>
                <w:color w:val="auto"/>
                <w:sz w:val="24"/>
                <w:szCs w:val="24"/>
                <w:lang w:eastAsia="zh-CN"/>
              </w:rPr>
              <w:t>表</w:t>
            </w:r>
            <w:r>
              <w:rPr>
                <w:rFonts w:hint="eastAsia" w:ascii="Times New Roman" w:hAnsi="Times New Roman" w:eastAsia="宋体" w:cs="Times New Roman"/>
                <w:b/>
                <w:color w:val="auto"/>
                <w:sz w:val="24"/>
                <w:szCs w:val="24"/>
                <w:lang w:eastAsia="zh-CN"/>
              </w:rPr>
              <w:t>4-2</w:t>
            </w:r>
            <w:r>
              <w:rPr>
                <w:rFonts w:hint="eastAsia" w:cs="Times New Roman"/>
                <w:b/>
                <w:color w:val="auto"/>
                <w:sz w:val="24"/>
                <w:szCs w:val="24"/>
                <w:lang w:val="en-US" w:eastAsia="zh-CN"/>
              </w:rPr>
              <w:t>2</w:t>
            </w:r>
            <w:r>
              <w:rPr>
                <w:rFonts w:ascii="Times New Roman" w:hAnsi="Times New Roman" w:eastAsia="宋体" w:cs="Times New Roman"/>
                <w:b/>
                <w:color w:val="auto"/>
                <w:sz w:val="24"/>
                <w:szCs w:val="24"/>
                <w:lang w:eastAsia="zh-CN"/>
              </w:rPr>
              <w:t>机油理化性质、危险特性一览表</w:t>
            </w:r>
          </w:p>
          <w:tbl>
            <w:tblPr>
              <w:tblStyle w:val="19"/>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345"/>
              <w:gridCol w:w="2170"/>
              <w:gridCol w:w="2122"/>
              <w:gridCol w:w="1688"/>
            </w:tblGrid>
            <w:tr w14:paraId="102B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Borders>
                    <w:top w:val="single" w:color="auto" w:sz="4" w:space="0"/>
                    <w:left w:val="single" w:color="auto" w:sz="4" w:space="0"/>
                    <w:bottom w:val="single" w:color="auto" w:sz="4" w:space="0"/>
                    <w:right w:val="single" w:color="auto" w:sz="4" w:space="0"/>
                  </w:tcBorders>
                  <w:vAlign w:val="center"/>
                </w:tcPr>
                <w:p w14:paraId="192F688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标识</w:t>
                  </w:r>
                </w:p>
              </w:tc>
              <w:tc>
                <w:tcPr>
                  <w:tcW w:w="1345" w:type="dxa"/>
                  <w:tcBorders>
                    <w:top w:val="single" w:color="auto" w:sz="4" w:space="0"/>
                    <w:left w:val="single" w:color="auto" w:sz="4" w:space="0"/>
                    <w:bottom w:val="single" w:color="auto" w:sz="4" w:space="0"/>
                    <w:right w:val="single" w:color="auto" w:sz="4" w:space="0"/>
                  </w:tcBorders>
                  <w:vAlign w:val="center"/>
                </w:tcPr>
                <w:p w14:paraId="4ACA88D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中文名</w:t>
                  </w:r>
                </w:p>
              </w:tc>
              <w:tc>
                <w:tcPr>
                  <w:tcW w:w="2167" w:type="dxa"/>
                  <w:tcBorders>
                    <w:top w:val="single" w:color="auto" w:sz="4" w:space="0"/>
                    <w:left w:val="single" w:color="auto" w:sz="4" w:space="0"/>
                    <w:bottom w:val="single" w:color="auto" w:sz="4" w:space="0"/>
                    <w:right w:val="single" w:color="auto" w:sz="4" w:space="0"/>
                  </w:tcBorders>
                  <w:vAlign w:val="center"/>
                </w:tcPr>
                <w:p w14:paraId="56F092F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机油；润滑油</w:t>
                  </w:r>
                </w:p>
              </w:tc>
              <w:tc>
                <w:tcPr>
                  <w:tcW w:w="0" w:type="auto"/>
                  <w:tcBorders>
                    <w:top w:val="single" w:color="auto" w:sz="4" w:space="0"/>
                    <w:left w:val="single" w:color="auto" w:sz="4" w:space="0"/>
                    <w:bottom w:val="single" w:color="auto" w:sz="4" w:space="0"/>
                    <w:right w:val="single" w:color="auto" w:sz="4" w:space="0"/>
                  </w:tcBorders>
                  <w:vAlign w:val="center"/>
                </w:tcPr>
                <w:p w14:paraId="66431F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英文名</w:t>
                  </w:r>
                </w:p>
              </w:tc>
              <w:tc>
                <w:tcPr>
                  <w:tcW w:w="0" w:type="auto"/>
                  <w:tcBorders>
                    <w:top w:val="single" w:color="auto" w:sz="4" w:space="0"/>
                    <w:left w:val="single" w:color="auto" w:sz="4" w:space="0"/>
                    <w:bottom w:val="single" w:color="auto" w:sz="4" w:space="0"/>
                    <w:right w:val="single" w:color="auto" w:sz="4" w:space="0"/>
                  </w:tcBorders>
                  <w:vAlign w:val="center"/>
                </w:tcPr>
                <w:p w14:paraId="38181D5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Lubricating oil</w:t>
                  </w:r>
                </w:p>
              </w:tc>
            </w:tr>
            <w:tr w14:paraId="5ABF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68D1388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理化性质</w:t>
                  </w:r>
                </w:p>
              </w:tc>
              <w:tc>
                <w:tcPr>
                  <w:tcW w:w="1345" w:type="dxa"/>
                  <w:tcBorders>
                    <w:top w:val="single" w:color="auto" w:sz="4" w:space="0"/>
                    <w:left w:val="single" w:color="auto" w:sz="4" w:space="0"/>
                    <w:bottom w:val="single" w:color="auto" w:sz="4" w:space="0"/>
                    <w:right w:val="single" w:color="auto" w:sz="4" w:space="0"/>
                  </w:tcBorders>
                  <w:vAlign w:val="center"/>
                </w:tcPr>
                <w:p w14:paraId="3D71DCC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外观与性状</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543044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淡黄色</w:t>
                  </w:r>
                  <w:r>
                    <w:rPr>
                      <w:rFonts w:hint="eastAsia" w:ascii="Times New Roman" w:hAnsi="Times New Roman" w:eastAsia="宋体" w:cs="Times New Roman"/>
                      <w:color w:val="auto"/>
                    </w:rPr>
                    <w:t>黏稠</w:t>
                  </w:r>
                  <w:r>
                    <w:rPr>
                      <w:rFonts w:ascii="Times New Roman" w:hAnsi="Times New Roman" w:eastAsia="宋体" w:cs="Times New Roman"/>
                      <w:color w:val="auto"/>
                    </w:rPr>
                    <w:t>液体</w:t>
                  </w:r>
                </w:p>
              </w:tc>
            </w:tr>
            <w:tr w14:paraId="559F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E817617">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479C56A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自燃点（℃）</w:t>
                  </w:r>
                </w:p>
              </w:tc>
              <w:tc>
                <w:tcPr>
                  <w:tcW w:w="2167" w:type="dxa"/>
                  <w:tcBorders>
                    <w:top w:val="single" w:color="auto" w:sz="4" w:space="0"/>
                    <w:left w:val="single" w:color="auto" w:sz="4" w:space="0"/>
                    <w:bottom w:val="single" w:color="auto" w:sz="4" w:space="0"/>
                    <w:right w:val="single" w:color="auto" w:sz="4" w:space="0"/>
                  </w:tcBorders>
                  <w:vAlign w:val="center"/>
                </w:tcPr>
                <w:p w14:paraId="53B4252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300~350</w:t>
                  </w:r>
                </w:p>
              </w:tc>
              <w:tc>
                <w:tcPr>
                  <w:tcW w:w="0" w:type="auto"/>
                  <w:tcBorders>
                    <w:top w:val="single" w:color="auto" w:sz="4" w:space="0"/>
                    <w:left w:val="single" w:color="auto" w:sz="4" w:space="0"/>
                    <w:bottom w:val="single" w:color="auto" w:sz="4" w:space="0"/>
                    <w:right w:val="single" w:color="auto" w:sz="4" w:space="0"/>
                  </w:tcBorders>
                  <w:vAlign w:val="center"/>
                </w:tcPr>
                <w:p w14:paraId="4101E14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沸点（℃）</w:t>
                  </w:r>
                </w:p>
              </w:tc>
              <w:tc>
                <w:tcPr>
                  <w:tcW w:w="0" w:type="auto"/>
                  <w:tcBorders>
                    <w:top w:val="single" w:color="auto" w:sz="4" w:space="0"/>
                    <w:left w:val="single" w:color="auto" w:sz="4" w:space="0"/>
                    <w:bottom w:val="single" w:color="auto" w:sz="4" w:space="0"/>
                    <w:right w:val="single" w:color="auto" w:sz="4" w:space="0"/>
                  </w:tcBorders>
                  <w:vAlign w:val="center"/>
                </w:tcPr>
                <w:p w14:paraId="002CE6D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-252.8</w:t>
                  </w:r>
                </w:p>
              </w:tc>
            </w:tr>
            <w:tr w14:paraId="7EDF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6CC8B8D0">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6B66F1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相对密度</w:t>
                  </w:r>
                  <w:r>
                    <w:rPr>
                      <w:rFonts w:hint="eastAsia" w:ascii="Times New Roman" w:hAnsi="Times New Roman" w:eastAsia="宋体" w:cs="Times New Roman"/>
                      <w:color w:val="auto"/>
                    </w:rPr>
                    <w:t>（</w:t>
                  </w:r>
                  <w:r>
                    <w:rPr>
                      <w:rFonts w:ascii="Times New Roman" w:hAnsi="Times New Roman" w:eastAsia="宋体" w:cs="Times New Roman"/>
                      <w:color w:val="auto"/>
                    </w:rPr>
                    <w:t>水=1</w:t>
                  </w:r>
                  <w:r>
                    <w:rPr>
                      <w:rFonts w:hint="eastAsia" w:ascii="Times New Roman" w:hAnsi="Times New Roman" w:eastAsia="宋体" w:cs="Times New Roman"/>
                      <w:color w:val="auto"/>
                    </w:rPr>
                    <w:t>）</w:t>
                  </w:r>
                </w:p>
              </w:tc>
              <w:tc>
                <w:tcPr>
                  <w:tcW w:w="2167" w:type="dxa"/>
                  <w:tcBorders>
                    <w:top w:val="single" w:color="auto" w:sz="4" w:space="0"/>
                    <w:left w:val="single" w:color="auto" w:sz="4" w:space="0"/>
                    <w:bottom w:val="single" w:color="auto" w:sz="4" w:space="0"/>
                    <w:right w:val="single" w:color="auto" w:sz="4" w:space="0"/>
                  </w:tcBorders>
                  <w:vAlign w:val="center"/>
                </w:tcPr>
                <w:p w14:paraId="673C883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934.8</w:t>
                  </w:r>
                </w:p>
              </w:tc>
              <w:tc>
                <w:tcPr>
                  <w:tcW w:w="0" w:type="auto"/>
                  <w:tcBorders>
                    <w:top w:val="single" w:color="auto" w:sz="4" w:space="0"/>
                    <w:left w:val="single" w:color="auto" w:sz="4" w:space="0"/>
                    <w:bottom w:val="single" w:color="auto" w:sz="4" w:space="0"/>
                    <w:right w:val="single" w:color="auto" w:sz="4" w:space="0"/>
                  </w:tcBorders>
                  <w:vAlign w:val="center"/>
                </w:tcPr>
                <w:p w14:paraId="1842F6C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相对密度</w:t>
                  </w:r>
                  <w:r>
                    <w:rPr>
                      <w:rFonts w:hint="eastAsia" w:ascii="Times New Roman" w:hAnsi="Times New Roman" w:eastAsia="宋体" w:cs="Times New Roman"/>
                      <w:color w:val="auto"/>
                    </w:rPr>
                    <w:t>（</w:t>
                  </w:r>
                  <w:r>
                    <w:rPr>
                      <w:rFonts w:ascii="Times New Roman" w:hAnsi="Times New Roman" w:eastAsia="宋体" w:cs="Times New Roman"/>
                      <w:color w:val="auto"/>
                    </w:rPr>
                    <w:t>空气=1</w:t>
                  </w:r>
                  <w:r>
                    <w:rPr>
                      <w:rFonts w:hint="eastAsia" w:ascii="Times New Roman" w:hAnsi="Times New Roman" w:eastAsia="宋体" w:cs="Times New Roman"/>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031F9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0.85</w:t>
                  </w:r>
                </w:p>
              </w:tc>
            </w:tr>
            <w:tr w14:paraId="4F00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6ACD4CB1">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61041D1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溶解性</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75DD89E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溶于苯、乙醇、乙醚、氯仿、丙酮等多数有机溶剂</w:t>
                  </w:r>
                </w:p>
              </w:tc>
            </w:tr>
            <w:tr w14:paraId="14F44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73598B8F">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燃烧爆炸危险性</w:t>
                  </w:r>
                </w:p>
              </w:tc>
              <w:tc>
                <w:tcPr>
                  <w:tcW w:w="1345" w:type="dxa"/>
                  <w:tcBorders>
                    <w:top w:val="single" w:color="auto" w:sz="4" w:space="0"/>
                    <w:left w:val="single" w:color="auto" w:sz="4" w:space="0"/>
                    <w:bottom w:val="single" w:color="auto" w:sz="4" w:space="0"/>
                    <w:right w:val="single" w:color="auto" w:sz="4" w:space="0"/>
                  </w:tcBorders>
                  <w:vAlign w:val="center"/>
                </w:tcPr>
                <w:p w14:paraId="4D4BDE6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闪点</w:t>
                  </w:r>
                  <w:r>
                    <w:rPr>
                      <w:rFonts w:hint="eastAsia" w:ascii="Times New Roman" w:hAnsi="Times New Roman" w:eastAsia="宋体" w:cs="Times New Roman"/>
                      <w:color w:val="auto"/>
                    </w:rPr>
                    <w:t>（</w:t>
                  </w:r>
                  <w:r>
                    <w:rPr>
                      <w:rFonts w:ascii="Times New Roman" w:hAnsi="Times New Roman" w:eastAsia="宋体" w:cs="Times New Roman"/>
                      <w:color w:val="auto"/>
                    </w:rPr>
                    <w:t>℃</w:t>
                  </w:r>
                  <w:r>
                    <w:rPr>
                      <w:rFonts w:hint="eastAsia" w:ascii="Times New Roman" w:hAnsi="Times New Roman" w:eastAsia="宋体" w:cs="Times New Roman"/>
                      <w:color w:val="auto"/>
                    </w:rPr>
                    <w:t>）</w:t>
                  </w:r>
                </w:p>
              </w:tc>
              <w:tc>
                <w:tcPr>
                  <w:tcW w:w="2167" w:type="dxa"/>
                  <w:tcBorders>
                    <w:top w:val="single" w:color="auto" w:sz="4" w:space="0"/>
                    <w:left w:val="single" w:color="auto" w:sz="4" w:space="0"/>
                    <w:bottom w:val="single" w:color="auto" w:sz="4" w:space="0"/>
                    <w:right w:val="single" w:color="auto" w:sz="4" w:space="0"/>
                  </w:tcBorders>
                  <w:vAlign w:val="center"/>
                </w:tcPr>
                <w:p w14:paraId="729F7C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120~340</w:t>
                  </w:r>
                </w:p>
              </w:tc>
              <w:tc>
                <w:tcPr>
                  <w:tcW w:w="0" w:type="auto"/>
                  <w:tcBorders>
                    <w:top w:val="single" w:color="auto" w:sz="4" w:space="0"/>
                    <w:left w:val="single" w:color="auto" w:sz="4" w:space="0"/>
                    <w:bottom w:val="single" w:color="auto" w:sz="4" w:space="0"/>
                    <w:right w:val="single" w:color="auto" w:sz="4" w:space="0"/>
                  </w:tcBorders>
                  <w:vAlign w:val="center"/>
                </w:tcPr>
                <w:p w14:paraId="6B76CEC6">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饱和蒸汽</w:t>
                  </w:r>
                  <w:r>
                    <w:rPr>
                      <w:rFonts w:ascii="Times New Roman" w:hAnsi="Times New Roman" w:eastAsia="宋体" w:cs="Times New Roman"/>
                      <w:color w:val="auto"/>
                      <w:lang w:eastAsia="zh-CN"/>
                    </w:rPr>
                    <w:t>压</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rPr>
                    <w:t>KPa</w:t>
                  </w:r>
                  <w:r>
                    <w:rPr>
                      <w:rFonts w:hint="eastAsia" w:ascii="Times New Roman" w:hAnsi="Times New Roman" w:eastAsia="宋体" w:cs="Times New Roman"/>
                      <w:color w:val="auto"/>
                      <w:lang w:eastAsia="zh-CN"/>
                    </w:rPr>
                    <w:t>）</w:t>
                  </w:r>
                </w:p>
              </w:tc>
              <w:tc>
                <w:tcPr>
                  <w:tcW w:w="0" w:type="auto"/>
                  <w:tcBorders>
                    <w:top w:val="single" w:color="auto" w:sz="4" w:space="0"/>
                    <w:left w:val="single" w:color="auto" w:sz="4" w:space="0"/>
                    <w:bottom w:val="single" w:color="auto" w:sz="4" w:space="0"/>
                    <w:right w:val="single" w:color="auto" w:sz="4" w:space="0"/>
                  </w:tcBorders>
                  <w:vAlign w:val="center"/>
                </w:tcPr>
                <w:p w14:paraId="47E7715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0.13/145.8℃</w:t>
                  </w:r>
                </w:p>
              </w:tc>
            </w:tr>
            <w:tr w14:paraId="34859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9710BEE">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00E392B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危险特性</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3581181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是一种可燃液体，火灾危险性为丙B类，遇明火、高热可燃</w:t>
                  </w:r>
                </w:p>
              </w:tc>
            </w:tr>
            <w:tr w14:paraId="7B6F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0358F33C">
                  <w:pPr>
                    <w:kinsoku/>
                    <w:overflowPunct w:val="0"/>
                    <w:autoSpaceDE/>
                    <w:autoSpaceDN/>
                    <w:adjustRightInd/>
                    <w:snapToGrid/>
                    <w:jc w:val="center"/>
                    <w:rPr>
                      <w:rFonts w:ascii="Times New Roman" w:hAnsi="Times New Roman" w:eastAsia="宋体" w:cs="Times New Roman"/>
                      <w:color w:val="auto"/>
                      <w:lang w:eastAsia="zh-CN"/>
                    </w:rPr>
                  </w:pPr>
                </w:p>
              </w:tc>
              <w:tc>
                <w:tcPr>
                  <w:tcW w:w="1345" w:type="dxa"/>
                  <w:tcBorders>
                    <w:top w:val="single" w:color="auto" w:sz="4" w:space="0"/>
                    <w:left w:val="single" w:color="auto" w:sz="4" w:space="0"/>
                    <w:bottom w:val="single" w:color="auto" w:sz="4" w:space="0"/>
                    <w:right w:val="single" w:color="auto" w:sz="4" w:space="0"/>
                  </w:tcBorders>
                  <w:vAlign w:val="center"/>
                </w:tcPr>
                <w:p w14:paraId="0677E5F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燃烧</w:t>
                  </w:r>
                  <w:r>
                    <w:rPr>
                      <w:rFonts w:hint="eastAsia" w:ascii="Times New Roman" w:hAnsi="Times New Roman" w:eastAsia="宋体" w:cs="Times New Roman"/>
                      <w:color w:val="auto"/>
                    </w:rPr>
                    <w:t>（</w:t>
                  </w:r>
                  <w:r>
                    <w:rPr>
                      <w:rFonts w:ascii="Times New Roman" w:hAnsi="Times New Roman" w:eastAsia="宋体" w:cs="Times New Roman"/>
                      <w:color w:val="auto"/>
                    </w:rPr>
                    <w:t>分解</w:t>
                  </w:r>
                  <w:r>
                    <w:rPr>
                      <w:rFonts w:hint="eastAsia" w:ascii="Times New Roman" w:hAnsi="Times New Roman" w:eastAsia="宋体" w:cs="Times New Roman"/>
                      <w:color w:val="auto"/>
                    </w:rPr>
                    <w:t>）</w:t>
                  </w:r>
                  <w:r>
                    <w:rPr>
                      <w:rFonts w:ascii="Times New Roman" w:hAnsi="Times New Roman" w:eastAsia="宋体" w:cs="Times New Roman"/>
                      <w:color w:val="auto"/>
                    </w:rPr>
                    <w:t>产物</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40BF06A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CO、CO</w:t>
                  </w:r>
                  <w:r>
                    <w:rPr>
                      <w:rFonts w:ascii="Times New Roman" w:hAnsi="Times New Roman" w:eastAsia="宋体" w:cs="Times New Roman"/>
                      <w:color w:val="auto"/>
                      <w:vertAlign w:val="subscript"/>
                    </w:rPr>
                    <w:t>2</w:t>
                  </w:r>
                  <w:r>
                    <w:rPr>
                      <w:rFonts w:ascii="Times New Roman" w:hAnsi="Times New Roman" w:eastAsia="宋体" w:cs="Times New Roman"/>
                      <w:color w:val="auto"/>
                    </w:rPr>
                    <w:t>等有毒有害气体</w:t>
                  </w:r>
                </w:p>
              </w:tc>
            </w:tr>
            <w:tr w14:paraId="4E16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7571537D">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179CE3D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稳定性</w:t>
                  </w:r>
                </w:p>
              </w:tc>
              <w:tc>
                <w:tcPr>
                  <w:tcW w:w="2167" w:type="dxa"/>
                  <w:tcBorders>
                    <w:top w:val="single" w:color="auto" w:sz="4" w:space="0"/>
                    <w:left w:val="single" w:color="auto" w:sz="4" w:space="0"/>
                    <w:bottom w:val="single" w:color="auto" w:sz="4" w:space="0"/>
                    <w:right w:val="single" w:color="auto" w:sz="4" w:space="0"/>
                  </w:tcBorders>
                  <w:vAlign w:val="center"/>
                </w:tcPr>
                <w:p w14:paraId="78DC70B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稳定</w:t>
                  </w:r>
                </w:p>
              </w:tc>
              <w:tc>
                <w:tcPr>
                  <w:tcW w:w="0" w:type="auto"/>
                  <w:tcBorders>
                    <w:top w:val="single" w:color="auto" w:sz="4" w:space="0"/>
                    <w:left w:val="single" w:color="auto" w:sz="4" w:space="0"/>
                    <w:bottom w:val="single" w:color="auto" w:sz="4" w:space="0"/>
                    <w:right w:val="single" w:color="auto" w:sz="4" w:space="0"/>
                  </w:tcBorders>
                  <w:vAlign w:val="center"/>
                </w:tcPr>
                <w:p w14:paraId="3BDCE14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禁忌物</w:t>
                  </w:r>
                </w:p>
              </w:tc>
              <w:tc>
                <w:tcPr>
                  <w:tcW w:w="0" w:type="auto"/>
                  <w:tcBorders>
                    <w:top w:val="single" w:color="auto" w:sz="4" w:space="0"/>
                    <w:left w:val="single" w:color="auto" w:sz="4" w:space="0"/>
                    <w:bottom w:val="single" w:color="auto" w:sz="4" w:space="0"/>
                    <w:right w:val="single" w:color="auto" w:sz="4" w:space="0"/>
                  </w:tcBorders>
                  <w:vAlign w:val="center"/>
                </w:tcPr>
                <w:p w14:paraId="23BABDF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硝酸等强氧化剂</w:t>
                  </w:r>
                </w:p>
              </w:tc>
            </w:tr>
            <w:tr w14:paraId="5429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3D4CE602">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4A209F5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灭火方法</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608E74F2">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消防人员需佩戴防毒面具、穿全身消防服，在上风向灭火。尽可能将容器从火场移至空旷处。喷水保持火场容器冷却，直至灭火结束。处在火场中的容器若已变色或从安全泄压装置中产生声音，必须立即撤离。灭火剂：雾状水、泡沫、干粉、二氧化碳、砂土。</w:t>
                  </w:r>
                </w:p>
              </w:tc>
            </w:tr>
            <w:tr w14:paraId="471F0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tcBorders>
                    <w:top w:val="single" w:color="auto" w:sz="4" w:space="0"/>
                    <w:left w:val="single" w:color="auto" w:sz="4" w:space="0"/>
                    <w:bottom w:val="single" w:color="auto" w:sz="4" w:space="0"/>
                    <w:right w:val="single" w:color="auto" w:sz="4" w:space="0"/>
                  </w:tcBorders>
                  <w:vAlign w:val="center"/>
                </w:tcPr>
                <w:p w14:paraId="5008610C">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bCs/>
                      <w:color w:val="auto"/>
                    </w:rPr>
                    <w:t>毒性危害</w:t>
                  </w:r>
                </w:p>
              </w:tc>
              <w:tc>
                <w:tcPr>
                  <w:tcW w:w="1345" w:type="dxa"/>
                  <w:tcBorders>
                    <w:top w:val="single" w:color="auto" w:sz="4" w:space="0"/>
                    <w:left w:val="single" w:color="auto" w:sz="4" w:space="0"/>
                    <w:bottom w:val="single" w:color="auto" w:sz="4" w:space="0"/>
                    <w:right w:val="single" w:color="auto" w:sz="4" w:space="0"/>
                  </w:tcBorders>
                  <w:vAlign w:val="center"/>
                </w:tcPr>
                <w:p w14:paraId="6C7FFAA6">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侵入途径</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04BFA4B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吸入</w:t>
                  </w:r>
                </w:p>
              </w:tc>
            </w:tr>
            <w:tr w14:paraId="5D68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tcBorders>
                    <w:top w:val="single" w:color="auto" w:sz="4" w:space="0"/>
                    <w:left w:val="single" w:color="auto" w:sz="4" w:space="0"/>
                    <w:bottom w:val="single" w:color="auto" w:sz="4" w:space="0"/>
                    <w:right w:val="single" w:color="auto" w:sz="4" w:space="0"/>
                  </w:tcBorders>
                  <w:vAlign w:val="center"/>
                </w:tcPr>
                <w:p w14:paraId="0D8672F0">
                  <w:pPr>
                    <w:kinsoku/>
                    <w:overflowPunct w:val="0"/>
                    <w:autoSpaceDE/>
                    <w:autoSpaceDN/>
                    <w:adjustRightInd/>
                    <w:snapToGrid/>
                    <w:jc w:val="center"/>
                    <w:rPr>
                      <w:rFonts w:ascii="Times New Roman" w:hAnsi="Times New Roman" w:eastAsia="宋体" w:cs="Times New Roman"/>
                      <w:color w:val="auto"/>
                    </w:rPr>
                  </w:pPr>
                </w:p>
              </w:tc>
              <w:tc>
                <w:tcPr>
                  <w:tcW w:w="1345" w:type="dxa"/>
                  <w:tcBorders>
                    <w:top w:val="single" w:color="auto" w:sz="4" w:space="0"/>
                    <w:left w:val="single" w:color="auto" w:sz="4" w:space="0"/>
                    <w:bottom w:val="single" w:color="auto" w:sz="4" w:space="0"/>
                    <w:right w:val="single" w:color="auto" w:sz="4" w:space="0"/>
                  </w:tcBorders>
                  <w:vAlign w:val="center"/>
                </w:tcPr>
                <w:p w14:paraId="79F40CB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健康危害</w:t>
                  </w:r>
                </w:p>
              </w:tc>
              <w:tc>
                <w:tcPr>
                  <w:tcW w:w="5980" w:type="dxa"/>
                  <w:gridSpan w:val="3"/>
                  <w:tcBorders>
                    <w:top w:val="single" w:color="auto" w:sz="4" w:space="0"/>
                    <w:left w:val="single" w:color="auto" w:sz="4" w:space="0"/>
                    <w:bottom w:val="single" w:color="auto" w:sz="4" w:space="0"/>
                    <w:right w:val="single" w:color="auto" w:sz="4" w:space="0"/>
                  </w:tcBorders>
                  <w:vAlign w:val="center"/>
                </w:tcPr>
                <w:p w14:paraId="2298DD24">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eastAsia="zh-CN"/>
                    </w:rPr>
                    <w:t>急性吸入，可出现乏力、头晕、头痛、恶心，严重者可引起油脂肺炎。慢接触者，暴露部位可发生油性痤疮和接触性皮炎。可引发神经衰弱综合</w:t>
                  </w:r>
                  <w:r>
                    <w:rPr>
                      <w:rFonts w:hint="eastAsia" w:ascii="Times New Roman" w:hAnsi="Times New Roman" w:eastAsia="宋体" w:cs="Times New Roman"/>
                      <w:color w:val="auto"/>
                      <w:lang w:eastAsia="zh-CN"/>
                    </w:rPr>
                    <w:t>症</w:t>
                  </w:r>
                  <w:r>
                    <w:rPr>
                      <w:rFonts w:ascii="Times New Roman" w:hAnsi="Times New Roman" w:eastAsia="宋体" w:cs="Times New Roman"/>
                      <w:color w:val="auto"/>
                      <w:lang w:eastAsia="zh-CN"/>
                    </w:rPr>
                    <w:t>，呼吸道和眼刺激症状及慢性油脂肺炎</w:t>
                  </w:r>
                </w:p>
              </w:tc>
            </w:tr>
          </w:tbl>
          <w:p w14:paraId="0A9B3D6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②</w:t>
            </w:r>
            <w:r>
              <w:rPr>
                <w:rFonts w:ascii="Times New Roman" w:hAnsi="Times New Roman" w:eastAsia="宋体" w:cs="Times New Roman"/>
                <w:color w:val="auto"/>
                <w:sz w:val="24"/>
                <w:szCs w:val="24"/>
                <w:lang w:eastAsia="zh-CN"/>
              </w:rPr>
              <w:t>环境风险设施</w:t>
            </w:r>
          </w:p>
          <w:p w14:paraId="0090666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b/>
                <w:color w:val="auto"/>
                <w:sz w:val="24"/>
                <w:lang w:eastAsia="zh-CN"/>
              </w:rPr>
            </w:pPr>
            <w:r>
              <w:rPr>
                <w:rFonts w:ascii="Times New Roman" w:hAnsi="Times New Roman" w:eastAsia="宋体" w:cs="Times New Roman"/>
                <w:color w:val="auto"/>
                <w:sz w:val="24"/>
                <w:szCs w:val="24"/>
                <w:lang w:eastAsia="zh-CN"/>
              </w:rPr>
              <w:t>根据本项目工艺特点和主要存在的环境风险物质，识别出本项目主要环境风险设施主要为</w:t>
            </w:r>
            <w:r>
              <w:rPr>
                <w:rFonts w:hint="eastAsia" w:ascii="Times New Roman" w:hAnsi="Times New Roman" w:eastAsia="宋体" w:cs="Times New Roman"/>
                <w:color w:val="auto"/>
                <w:sz w:val="24"/>
                <w:szCs w:val="24"/>
                <w:lang w:eastAsia="zh-CN"/>
              </w:rPr>
              <w:t>危废贮存库</w:t>
            </w:r>
            <w:r>
              <w:rPr>
                <w:rFonts w:ascii="Times New Roman" w:hAnsi="Times New Roman" w:eastAsia="宋体" w:cs="Times New Roman"/>
                <w:color w:val="auto"/>
                <w:sz w:val="24"/>
                <w:szCs w:val="24"/>
                <w:lang w:eastAsia="zh-CN"/>
              </w:rPr>
              <w:t>。</w:t>
            </w:r>
          </w:p>
          <w:p w14:paraId="3EB43A4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bCs/>
                <w:color w:val="auto"/>
                <w:sz w:val="24"/>
                <w:lang w:eastAsia="zh-CN"/>
              </w:rPr>
            </w:pPr>
            <w:r>
              <w:rPr>
                <w:rFonts w:ascii="Times New Roman" w:hAnsi="Times New Roman" w:eastAsia="宋体" w:cs="Times New Roman"/>
                <w:bCs/>
                <w:color w:val="auto"/>
                <w:sz w:val="24"/>
                <w:lang w:eastAsia="zh-CN"/>
              </w:rPr>
              <w:t>（2）环境风险潜势初判及评价等级</w:t>
            </w:r>
          </w:p>
          <w:p w14:paraId="232D9C7A">
            <w:pPr>
              <w:pStyle w:val="17"/>
              <w:widowControl/>
              <w:kinsoku/>
              <w:overflowPunct w:val="0"/>
              <w:autoSpaceDE/>
              <w:autoSpaceDN/>
              <w:adjustRightInd/>
              <w:snapToGrid/>
              <w:spacing w:line="360" w:lineRule="auto"/>
              <w:ind w:firstLine="444" w:firstLineChars="185"/>
              <w:jc w:val="both"/>
              <w:rPr>
                <w:rFonts w:ascii="Times New Roman" w:hAnsi="Times New Roman" w:eastAsia="宋体" w:cs="Times New Roman"/>
                <w:bCs/>
                <w:color w:val="auto"/>
                <w:lang w:eastAsia="zh-CN"/>
              </w:rPr>
            </w:pPr>
            <w:r>
              <w:rPr>
                <w:rFonts w:ascii="Times New Roman" w:hAnsi="Times New Roman" w:eastAsia="宋体" w:cs="Times New Roman"/>
                <w:color w:val="auto"/>
                <w:lang w:eastAsia="zh-CN"/>
              </w:rPr>
              <w:t>根据《建设项目环境风险评价技术导则》（HJ169-2018）</w:t>
            </w:r>
            <w:r>
              <w:rPr>
                <w:rFonts w:ascii="Times New Roman" w:hAnsi="Times New Roman" w:eastAsia="宋体" w:cs="Times New Roman"/>
                <w:bCs/>
                <w:color w:val="auto"/>
                <w:lang w:eastAsia="zh-CN"/>
              </w:rPr>
              <w:t>，环境风险评价工作等级见</w:t>
            </w:r>
            <w:r>
              <w:rPr>
                <w:rFonts w:hint="eastAsia" w:ascii="Times New Roman" w:hAnsi="Times New Roman" w:eastAsia="宋体" w:cs="Times New Roman"/>
                <w:bCs/>
                <w:color w:val="auto"/>
                <w:lang w:eastAsia="zh-CN"/>
              </w:rPr>
              <w:t>下</w:t>
            </w:r>
            <w:r>
              <w:rPr>
                <w:rFonts w:ascii="Times New Roman" w:hAnsi="Times New Roman" w:eastAsia="宋体" w:cs="Times New Roman"/>
                <w:bCs/>
                <w:color w:val="auto"/>
                <w:lang w:eastAsia="zh-CN"/>
              </w:rPr>
              <w:t>表</w:t>
            </w:r>
            <w:r>
              <w:rPr>
                <w:rFonts w:hint="eastAsia" w:ascii="Times New Roman" w:hAnsi="Times New Roman" w:eastAsia="宋体" w:cs="Times New Roman"/>
                <w:bCs/>
                <w:color w:val="auto"/>
                <w:lang w:eastAsia="zh-CN"/>
              </w:rPr>
              <w:t>：</w:t>
            </w:r>
          </w:p>
          <w:p w14:paraId="27D8C6F8">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24"/>
              </w:rPr>
            </w:pPr>
            <w:r>
              <w:rPr>
                <w:rFonts w:ascii="Times New Roman" w:hAnsi="Times New Roman" w:eastAsia="宋体" w:cs="Times New Roman"/>
                <w:b/>
                <w:bCs/>
                <w:color w:val="auto"/>
                <w:sz w:val="24"/>
                <w:szCs w:val="24"/>
              </w:rPr>
              <w:t>表4</w:t>
            </w:r>
            <w:r>
              <w:rPr>
                <w:rFonts w:hint="eastAsia" w:ascii="Times New Roman" w:hAnsi="Times New Roman" w:eastAsia="宋体" w:cs="Times New Roman"/>
                <w:b/>
                <w:bCs/>
                <w:color w:val="auto"/>
                <w:sz w:val="24"/>
                <w:szCs w:val="24"/>
                <w:lang w:eastAsia="zh-CN"/>
              </w:rPr>
              <w:t>-2</w:t>
            </w:r>
            <w:r>
              <w:rPr>
                <w:rFonts w:hint="eastAsia" w:cs="Times New Roman"/>
                <w:b/>
                <w:bCs/>
                <w:color w:val="auto"/>
                <w:sz w:val="24"/>
                <w:szCs w:val="24"/>
                <w:lang w:val="en-US" w:eastAsia="zh-CN"/>
              </w:rPr>
              <w:t>3</w:t>
            </w:r>
            <w:r>
              <w:rPr>
                <w:rFonts w:hint="eastAsia" w:ascii="Times New Roman" w:hAnsi="Times New Roman" w:eastAsia="宋体" w:cs="Times New Roman"/>
                <w:b/>
                <w:bCs/>
                <w:color w:val="auto"/>
                <w:sz w:val="24"/>
                <w:szCs w:val="24"/>
                <w:lang w:eastAsia="zh-CN"/>
              </w:rPr>
              <w:t xml:space="preserve"> </w:t>
            </w:r>
            <w:r>
              <w:rPr>
                <w:rFonts w:ascii="Times New Roman" w:hAnsi="Times New Roman" w:eastAsia="宋体" w:cs="Times New Roman"/>
                <w:b/>
                <w:bCs/>
                <w:color w:val="auto"/>
                <w:sz w:val="24"/>
                <w:szCs w:val="24"/>
              </w:rPr>
              <w:t>评价工作等级划分</w:t>
            </w:r>
          </w:p>
          <w:tbl>
            <w:tblPr>
              <w:tblStyle w:val="20"/>
              <w:tblW w:w="8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1428"/>
              <w:gridCol w:w="1676"/>
              <w:gridCol w:w="1678"/>
              <w:gridCol w:w="1684"/>
            </w:tblGrid>
            <w:tr w14:paraId="57056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4255D8FB">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环境风险潜势</w:t>
                  </w:r>
                </w:p>
              </w:tc>
              <w:tc>
                <w:tcPr>
                  <w:tcW w:w="1368" w:type="dxa"/>
                </w:tcPr>
                <w:p w14:paraId="7271FA8F">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Ⅳ+、</w:t>
                  </w:r>
                  <w:r>
                    <w:rPr>
                      <w:rFonts w:hint="eastAsia" w:cs="Times New Roman"/>
                      <w:b/>
                      <w:bCs/>
                      <w:color w:val="auto"/>
                      <w:lang w:eastAsia="zh-CN"/>
                    </w:rPr>
                    <w:t>IV</w:t>
                  </w:r>
                </w:p>
              </w:tc>
              <w:tc>
                <w:tcPr>
                  <w:tcW w:w="1605" w:type="dxa"/>
                </w:tcPr>
                <w:p w14:paraId="19A636F0">
                  <w:pPr>
                    <w:pStyle w:val="44"/>
                    <w:widowControl/>
                    <w:kinsoku/>
                    <w:overflowPunct w:val="0"/>
                    <w:autoSpaceDE/>
                    <w:autoSpaceDN/>
                    <w:adjustRightInd/>
                    <w:snapToGrid/>
                    <w:spacing w:line="240" w:lineRule="auto"/>
                    <w:ind w:leftChars="0" w:rightChars="0"/>
                    <w:rPr>
                      <w:rFonts w:ascii="Times New Roman" w:hAnsi="Times New Roman" w:eastAsia="宋体" w:cs="Times New Roman"/>
                      <w:b/>
                      <w:bCs/>
                      <w:color w:val="auto"/>
                    </w:rPr>
                  </w:pPr>
                  <w:r>
                    <w:rPr>
                      <w:rFonts w:ascii="Times New Roman" w:hAnsi="Times New Roman" w:eastAsia="宋体" w:cs="Times New Roman"/>
                      <w:b/>
                      <w:bCs/>
                      <w:color w:val="auto"/>
                    </w:rPr>
                    <w:t>Ⅲ</w:t>
                  </w:r>
                </w:p>
              </w:tc>
              <w:tc>
                <w:tcPr>
                  <w:tcW w:w="1607" w:type="dxa"/>
                </w:tcPr>
                <w:p w14:paraId="189659C0">
                  <w:pPr>
                    <w:pStyle w:val="44"/>
                    <w:widowControl/>
                    <w:kinsoku/>
                    <w:overflowPunct w:val="0"/>
                    <w:autoSpaceDE/>
                    <w:autoSpaceDN/>
                    <w:adjustRightInd/>
                    <w:snapToGrid/>
                    <w:spacing w:line="240" w:lineRule="auto"/>
                    <w:ind w:leftChars="0" w:right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Ⅱ</w:t>
                  </w:r>
                </w:p>
              </w:tc>
              <w:tc>
                <w:tcPr>
                  <w:tcW w:w="1612" w:type="dxa"/>
                </w:tcPr>
                <w:p w14:paraId="5AFDD5F1">
                  <w:pPr>
                    <w:pStyle w:val="44"/>
                    <w:widowControl/>
                    <w:kinsoku/>
                    <w:overflowPunct w:val="0"/>
                    <w:autoSpaceDE/>
                    <w:autoSpaceDN/>
                    <w:adjustRightInd/>
                    <w:snapToGrid/>
                    <w:spacing w:line="240" w:lineRule="auto"/>
                    <w:ind w:leftChars="0" w:rightChars="0"/>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lang w:eastAsia="zh-CN"/>
                    </w:rPr>
                    <w:t>Ⅰ</w:t>
                  </w:r>
                </w:p>
              </w:tc>
            </w:tr>
            <w:tr w14:paraId="1A41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3" w:type="dxa"/>
                </w:tcPr>
                <w:p w14:paraId="05F6E52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评价工作等级</w:t>
                  </w:r>
                </w:p>
              </w:tc>
              <w:tc>
                <w:tcPr>
                  <w:tcW w:w="1368" w:type="dxa"/>
                </w:tcPr>
                <w:p w14:paraId="6BC1D79E">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一</w:t>
                  </w:r>
                </w:p>
              </w:tc>
              <w:tc>
                <w:tcPr>
                  <w:tcW w:w="1605" w:type="dxa"/>
                </w:tcPr>
                <w:p w14:paraId="0679A90F">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二</w:t>
                  </w:r>
                </w:p>
              </w:tc>
              <w:tc>
                <w:tcPr>
                  <w:tcW w:w="1607" w:type="dxa"/>
                </w:tcPr>
                <w:p w14:paraId="04576438">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三</w:t>
                  </w:r>
                </w:p>
              </w:tc>
              <w:tc>
                <w:tcPr>
                  <w:tcW w:w="1612" w:type="dxa"/>
                </w:tcPr>
                <w:p w14:paraId="27AC5B9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简单分析</w:t>
                  </w:r>
                  <w:r>
                    <w:rPr>
                      <w:rFonts w:ascii="Times New Roman" w:hAnsi="Times New Roman" w:eastAsia="宋体" w:cs="Times New Roman"/>
                      <w:color w:val="auto"/>
                      <w:vertAlign w:val="superscript"/>
                    </w:rPr>
                    <w:t>a</w:t>
                  </w:r>
                </w:p>
              </w:tc>
            </w:tr>
            <w:tr w14:paraId="3B2D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35" w:type="dxa"/>
                  <w:gridSpan w:val="5"/>
                </w:tcPr>
                <w:p w14:paraId="59CD7C7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a是相对于详细评价工作内容而言，在描述危险物质、环境风险影响途径、环境危害后果、风险防范措施等方面给出定性的说明，见附录A</w:t>
                  </w:r>
                </w:p>
              </w:tc>
            </w:tr>
          </w:tbl>
          <w:p w14:paraId="58634412">
            <w:pPr>
              <w:pStyle w:val="17"/>
              <w:widowControl/>
              <w:kinsoku/>
              <w:overflowPunct w:val="0"/>
              <w:autoSpaceDE/>
              <w:autoSpaceDN/>
              <w:adjustRightInd/>
              <w:snapToGrid/>
              <w:spacing w:line="360" w:lineRule="auto"/>
              <w:ind w:firstLine="444" w:firstLineChars="185"/>
              <w:jc w:val="both"/>
              <w:rPr>
                <w:rFonts w:ascii="Times New Roman" w:hAnsi="Times New Roman" w:eastAsia="宋体" w:cs="Times New Roman"/>
                <w:bCs/>
                <w:color w:val="auto"/>
                <w:lang w:eastAsia="zh-CN"/>
              </w:rPr>
            </w:pPr>
            <w:r>
              <w:rPr>
                <w:rFonts w:ascii="Times New Roman" w:hAnsi="Times New Roman" w:eastAsia="宋体" w:cs="Times New Roman"/>
                <w:color w:val="auto"/>
                <w:lang w:eastAsia="zh-CN"/>
              </w:rPr>
              <w:t>根据《建设项目环境风险评价技术导则》（HJ169-2018）</w:t>
            </w:r>
            <w:r>
              <w:rPr>
                <w:rFonts w:ascii="Times New Roman" w:hAnsi="Times New Roman" w:eastAsia="宋体" w:cs="Times New Roman"/>
                <w:bCs/>
                <w:color w:val="auto"/>
                <w:lang w:eastAsia="zh-CN"/>
              </w:rPr>
              <w:t>附录B</w:t>
            </w:r>
            <w:r>
              <w:rPr>
                <w:rFonts w:hint="eastAsia" w:ascii="Times New Roman" w:hAnsi="Times New Roman" w:eastAsia="宋体" w:cs="Times New Roman"/>
                <w:bCs/>
                <w:color w:val="auto"/>
                <w:lang w:eastAsia="zh-CN"/>
              </w:rPr>
              <w:t>，</w:t>
            </w:r>
            <w:r>
              <w:rPr>
                <w:rFonts w:ascii="Times New Roman" w:hAnsi="Times New Roman" w:eastAsia="宋体" w:cs="Times New Roman"/>
                <w:bCs/>
                <w:color w:val="auto"/>
                <w:lang w:eastAsia="zh-CN"/>
              </w:rPr>
              <w:t>确定本次项目涉及的危险物质，并且以危险物质使用情况通过和贮存情况为基础，根据导则附录C进行危险物质存在量（如存在量呈动态变化，则按年度内最大存在量计算）与临界量比值（Q）的定量估算。</w:t>
            </w:r>
          </w:p>
          <w:p w14:paraId="733747B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当只涉及一种危险物质时，计算该物质的总量与其临界量比值，当存在多种危险物质时，按下列公式计算Q值：</w:t>
            </w:r>
          </w:p>
          <w:p w14:paraId="2AC74E3D">
            <w:pPr>
              <w:widowControl/>
              <w:kinsoku/>
              <w:overflowPunct w:val="0"/>
              <w:autoSpaceDE/>
              <w:autoSpaceDN/>
              <w:adjustRightInd/>
              <w:snapToGrid/>
              <w:spacing w:line="360" w:lineRule="auto"/>
              <w:jc w:val="center"/>
              <w:rPr>
                <w:rFonts w:ascii="Times New Roman" w:hAnsi="Times New Roman" w:eastAsia="宋体" w:cs="Times New Roman"/>
                <w:color w:val="auto"/>
                <w:sz w:val="24"/>
              </w:rPr>
            </w:pPr>
            <w:r>
              <w:rPr>
                <w:rFonts w:ascii="Times New Roman" w:hAnsi="Times New Roman" w:eastAsia="宋体" w:cs="Times New Roman"/>
                <w:color w:val="auto"/>
                <w:position w:val="-16"/>
                <w:sz w:val="28"/>
                <w:szCs w:val="24"/>
              </w:rPr>
              <w:object>
                <v:shape id="_x0000_i1033" o:spt="75" type="#_x0000_t75" style="height:35.45pt;width:106.4pt;" o:ole="t" filled="f" o:preferrelative="t" stroked="f" coordsize="21600,21600">
                  <v:path/>
                  <v:fill on="f" focussize="0,0"/>
                  <v:stroke on="f" joinstyle="miter"/>
                  <v:imagedata r:id="rId39" o:title=""/>
                  <o:lock v:ext="edit" aspectratio="t"/>
                  <w10:wrap type="none"/>
                  <w10:anchorlock/>
                </v:shape>
                <o:OLEObject Type="Embed" ProgID="Equation.KSEE3" ShapeID="_x0000_i1033" DrawAspect="Content" ObjectID="_1468075733" r:id="rId38">
                  <o:LockedField>false</o:LockedField>
                </o:OLEObject>
              </w:object>
            </w:r>
          </w:p>
          <w:p w14:paraId="3B113F52">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式中：q</w:t>
            </w:r>
            <w:r>
              <w:rPr>
                <w:rFonts w:ascii="Times New Roman" w:hAnsi="Times New Roman" w:eastAsia="宋体" w:cs="Times New Roman"/>
                <w:color w:val="auto"/>
                <w:sz w:val="24"/>
                <w:vertAlign w:val="subscript"/>
                <w:lang w:eastAsia="zh-CN"/>
              </w:rPr>
              <w:t>1</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2</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n</w:t>
            </w:r>
            <w:r>
              <w:rPr>
                <w:rFonts w:ascii="Times New Roman" w:hAnsi="Times New Roman" w:eastAsia="宋体" w:cs="Times New Roman"/>
                <w:color w:val="auto"/>
                <w:sz w:val="24"/>
                <w:lang w:eastAsia="zh-CN"/>
              </w:rPr>
              <w:t>—每种危险物质的最大存在总量，t；</w:t>
            </w:r>
          </w:p>
          <w:p w14:paraId="1FB6F95E">
            <w:pPr>
              <w:widowControl/>
              <w:kinsoku/>
              <w:overflowPunct w:val="0"/>
              <w:autoSpaceDE/>
              <w:autoSpaceDN/>
              <w:adjustRightInd/>
              <w:snapToGrid/>
              <w:spacing w:line="360" w:lineRule="auto"/>
              <w:ind w:firstLine="1200" w:firstLineChars="5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1</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2</w:t>
            </w:r>
            <w:r>
              <w:rPr>
                <w:rFonts w:ascii="Times New Roman" w:hAnsi="Times New Roman" w:eastAsia="宋体" w:cs="Times New Roman"/>
                <w:color w:val="auto"/>
                <w:sz w:val="24"/>
                <w:lang w:eastAsia="zh-CN"/>
              </w:rPr>
              <w:t>，…Q</w:t>
            </w:r>
            <w:r>
              <w:rPr>
                <w:rFonts w:ascii="Times New Roman" w:hAnsi="Times New Roman" w:eastAsia="宋体" w:cs="Times New Roman"/>
                <w:color w:val="auto"/>
                <w:sz w:val="24"/>
                <w:vertAlign w:val="subscript"/>
                <w:lang w:eastAsia="zh-CN"/>
              </w:rPr>
              <w:t>n</w:t>
            </w:r>
            <w:r>
              <w:rPr>
                <w:rFonts w:ascii="Times New Roman" w:hAnsi="Times New Roman" w:eastAsia="宋体" w:cs="Times New Roman"/>
                <w:color w:val="auto"/>
                <w:sz w:val="24"/>
                <w:lang w:eastAsia="zh-CN"/>
              </w:rPr>
              <w:t>—每种物质的临界量，t。</w:t>
            </w:r>
          </w:p>
          <w:p w14:paraId="4989570D">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当Q＜1时，该项目环境风险潜势为</w:t>
            </w:r>
            <w:r>
              <w:rPr>
                <w:rFonts w:hint="eastAsia" w:ascii="Times New Roman" w:hAnsi="Times New Roman" w:eastAsia="宋体" w:cs="Times New Roman"/>
                <w:color w:val="auto"/>
                <w:sz w:val="24"/>
                <w:lang w:eastAsia="zh-CN"/>
              </w:rPr>
              <w:t>Ⅰ</w:t>
            </w:r>
            <w:r>
              <w:rPr>
                <w:rFonts w:ascii="Times New Roman" w:hAnsi="Times New Roman" w:eastAsia="宋体" w:cs="Times New Roman"/>
                <w:color w:val="auto"/>
                <w:sz w:val="24"/>
                <w:lang w:eastAsia="zh-CN"/>
              </w:rPr>
              <w:t>。</w:t>
            </w:r>
          </w:p>
          <w:p w14:paraId="34DD67A3">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lang w:eastAsia="zh-CN"/>
              </w:rPr>
              <w:t>当Q≥1时，将Q值划分为：（1）1≤Q＜10；（2）10≤Q＜100；（3）Q≥100</w:t>
            </w:r>
            <w:r>
              <w:rPr>
                <w:rFonts w:hint="eastAsia" w:ascii="Times New Roman" w:hAnsi="Times New Roman" w:eastAsia="宋体" w:cs="Times New Roman"/>
                <w:color w:val="auto"/>
                <w:sz w:val="24"/>
                <w:lang w:eastAsia="zh-CN"/>
              </w:rPr>
              <w:t>，</w:t>
            </w:r>
            <w:r>
              <w:rPr>
                <w:rFonts w:ascii="Times New Roman" w:hAnsi="Times New Roman" w:eastAsia="宋体" w:cs="Times New Roman"/>
                <w:color w:val="auto"/>
                <w:sz w:val="24"/>
                <w:szCs w:val="24"/>
                <w:lang w:eastAsia="zh-CN"/>
              </w:rPr>
              <w:t>并进一步结合项目行业及生产工艺（M）、危险物质及工艺系统危险性（P）、环境敏感程度（E）对项目环境风险潜势进行判断。</w:t>
            </w:r>
          </w:p>
          <w:p w14:paraId="2CDDB0DB">
            <w:pPr>
              <w:widowControl/>
              <w:kinsoku/>
              <w:overflowPunct w:val="0"/>
              <w:autoSpaceDE/>
              <w:autoSpaceDN/>
              <w:adjustRightInd/>
              <w:snapToGrid/>
              <w:spacing w:line="360" w:lineRule="auto"/>
              <w:ind w:firstLine="480" w:firstLineChars="200"/>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本项目原辅材料、产品均不涉及危险物质，不存在重大危险源</w:t>
            </w:r>
            <w:r>
              <w:rPr>
                <w:rFonts w:hint="eastAsia" w:ascii="Times New Roman" w:hAnsi="Times New Roman" w:eastAsia="宋体" w:cs="Times New Roman"/>
                <w:color w:val="auto"/>
                <w:sz w:val="24"/>
                <w:szCs w:val="24"/>
                <w:lang w:eastAsia="zh-CN"/>
              </w:rPr>
              <w:t>。</w:t>
            </w:r>
          </w:p>
          <w:p w14:paraId="4FD696D4">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24"/>
                <w:lang w:eastAsia="zh-CN"/>
              </w:rPr>
            </w:pPr>
            <w:r>
              <w:rPr>
                <w:rFonts w:ascii="Times New Roman" w:hAnsi="Times New Roman" w:eastAsia="宋体" w:cs="Times New Roman"/>
                <w:b/>
                <w:bCs/>
                <w:color w:val="auto"/>
                <w:sz w:val="24"/>
                <w:szCs w:val="24"/>
                <w:lang w:eastAsia="zh-CN"/>
              </w:rPr>
              <w:t>表</w:t>
            </w:r>
            <w:r>
              <w:rPr>
                <w:rFonts w:hint="eastAsia" w:ascii="Times New Roman" w:hAnsi="Times New Roman" w:eastAsia="宋体" w:cs="Times New Roman"/>
                <w:b/>
                <w:bCs/>
                <w:color w:val="auto"/>
                <w:sz w:val="24"/>
                <w:szCs w:val="24"/>
                <w:lang w:eastAsia="zh-CN"/>
              </w:rPr>
              <w:t>4-2</w:t>
            </w:r>
            <w:r>
              <w:rPr>
                <w:rFonts w:hint="eastAsia" w:cs="Times New Roman"/>
                <w:b/>
                <w:bCs/>
                <w:color w:val="auto"/>
                <w:sz w:val="24"/>
                <w:szCs w:val="24"/>
                <w:lang w:val="en-US" w:eastAsia="zh-CN"/>
              </w:rPr>
              <w:t>4</w:t>
            </w:r>
            <w:r>
              <w:rPr>
                <w:rFonts w:ascii="Times New Roman" w:hAnsi="Times New Roman" w:eastAsia="宋体" w:cs="Times New Roman"/>
                <w:b/>
                <w:bCs/>
                <w:color w:val="auto"/>
                <w:sz w:val="24"/>
                <w:szCs w:val="24"/>
                <w:lang w:eastAsia="zh-CN"/>
              </w:rPr>
              <w:t xml:space="preserve"> 项目危险物质数量与临界量比值表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0"/>
              <w:gridCol w:w="948"/>
              <w:gridCol w:w="2433"/>
              <w:gridCol w:w="1445"/>
              <w:gridCol w:w="1234"/>
            </w:tblGrid>
            <w:tr w14:paraId="061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0" w:type="dxa"/>
                  <w:vAlign w:val="center"/>
                </w:tcPr>
                <w:p w14:paraId="7665119D">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物质名称</w:t>
                  </w:r>
                </w:p>
              </w:tc>
              <w:tc>
                <w:tcPr>
                  <w:tcW w:w="948" w:type="dxa"/>
                  <w:vAlign w:val="center"/>
                </w:tcPr>
                <w:p w14:paraId="1E61A2A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CAS号</w:t>
                  </w:r>
                </w:p>
              </w:tc>
              <w:tc>
                <w:tcPr>
                  <w:tcW w:w="2433" w:type="dxa"/>
                  <w:vAlign w:val="center"/>
                </w:tcPr>
                <w:p w14:paraId="22A8D83A">
                  <w:pPr>
                    <w:kinsoku/>
                    <w:overflowPunct w:val="0"/>
                    <w:autoSpaceDE/>
                    <w:autoSpaceDN/>
                    <w:adjustRightInd/>
                    <w:snapToGrid/>
                    <w:jc w:val="center"/>
                    <w:rPr>
                      <w:rFonts w:ascii="Times New Roman" w:hAnsi="Times New Roman" w:eastAsia="宋体" w:cs="Times New Roman"/>
                      <w:b/>
                      <w:bCs/>
                      <w:color w:val="auto"/>
                      <w:lang w:eastAsia="zh-CN"/>
                    </w:rPr>
                  </w:pPr>
                  <w:r>
                    <w:rPr>
                      <w:rFonts w:ascii="Times New Roman" w:hAnsi="Times New Roman" w:eastAsia="宋体" w:cs="Times New Roman"/>
                      <w:b/>
                      <w:bCs/>
                      <w:color w:val="auto"/>
                      <w:lang w:eastAsia="zh-CN"/>
                    </w:rPr>
                    <w:t>项目内最大存放量（t）</w:t>
                  </w:r>
                </w:p>
              </w:tc>
              <w:tc>
                <w:tcPr>
                  <w:tcW w:w="1445" w:type="dxa"/>
                  <w:vAlign w:val="center"/>
                </w:tcPr>
                <w:p w14:paraId="427BE576">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临界量（t）</w:t>
                  </w:r>
                </w:p>
              </w:tc>
              <w:tc>
                <w:tcPr>
                  <w:tcW w:w="1234" w:type="dxa"/>
                  <w:vAlign w:val="center"/>
                </w:tcPr>
                <w:p w14:paraId="261EC92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Q</w:t>
                  </w:r>
                </w:p>
              </w:tc>
            </w:tr>
            <w:tr w14:paraId="33E16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0" w:type="dxa"/>
                  <w:vAlign w:val="center"/>
                </w:tcPr>
                <w:p w14:paraId="46C332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废机油</w:t>
                  </w:r>
                </w:p>
              </w:tc>
              <w:tc>
                <w:tcPr>
                  <w:tcW w:w="948" w:type="dxa"/>
                  <w:vAlign w:val="center"/>
                </w:tcPr>
                <w:p w14:paraId="4973CDE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433" w:type="dxa"/>
                  <w:vAlign w:val="center"/>
                </w:tcPr>
                <w:p w14:paraId="7AAF0C7A">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0.1</w:t>
                  </w:r>
                </w:p>
              </w:tc>
              <w:tc>
                <w:tcPr>
                  <w:tcW w:w="1445" w:type="dxa"/>
                  <w:vAlign w:val="center"/>
                </w:tcPr>
                <w:p w14:paraId="287EA44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2500</w:t>
                  </w:r>
                </w:p>
              </w:tc>
              <w:tc>
                <w:tcPr>
                  <w:tcW w:w="1234" w:type="dxa"/>
                  <w:vAlign w:val="center"/>
                </w:tcPr>
                <w:p w14:paraId="1D71DABE">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0.0000</w:t>
                  </w:r>
                  <w:r>
                    <w:rPr>
                      <w:rFonts w:hint="eastAsia" w:ascii="Times New Roman" w:hAnsi="Times New Roman" w:eastAsia="宋体" w:cs="Times New Roman"/>
                      <w:color w:val="auto"/>
                    </w:rPr>
                    <w:t>4</w:t>
                  </w:r>
                </w:p>
              </w:tc>
            </w:tr>
            <w:tr w14:paraId="14E5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0" w:type="dxa"/>
                  <w:vAlign w:val="center"/>
                </w:tcPr>
                <w:p w14:paraId="5A3854D9">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sz w:val="21"/>
                      <w:szCs w:val="21"/>
                      <w:lang w:eastAsia="zh-CN"/>
                    </w:rPr>
                    <w:t>废含油手套及抹布</w:t>
                  </w:r>
                </w:p>
              </w:tc>
              <w:tc>
                <w:tcPr>
                  <w:tcW w:w="948" w:type="dxa"/>
                  <w:vAlign w:val="center"/>
                </w:tcPr>
                <w:p w14:paraId="637B12C8">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c>
                <w:tcPr>
                  <w:tcW w:w="2433" w:type="dxa"/>
                  <w:vAlign w:val="center"/>
                </w:tcPr>
                <w:p w14:paraId="02BA8FCF">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0.01</w:t>
                  </w:r>
                </w:p>
              </w:tc>
              <w:tc>
                <w:tcPr>
                  <w:tcW w:w="1445" w:type="dxa"/>
                  <w:vAlign w:val="center"/>
                </w:tcPr>
                <w:p w14:paraId="6C687893">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2500</w:t>
                  </w:r>
                </w:p>
              </w:tc>
              <w:tc>
                <w:tcPr>
                  <w:tcW w:w="1234" w:type="dxa"/>
                  <w:vAlign w:val="center"/>
                </w:tcPr>
                <w:p w14:paraId="6AA3178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0.0000</w:t>
                  </w:r>
                  <w:r>
                    <w:rPr>
                      <w:rFonts w:hint="eastAsia" w:cs="Times New Roman"/>
                      <w:color w:val="auto"/>
                      <w:lang w:val="en-US" w:eastAsia="zh-CN"/>
                    </w:rPr>
                    <w:t>0</w:t>
                  </w:r>
                  <w:r>
                    <w:rPr>
                      <w:rFonts w:hint="eastAsia" w:ascii="Times New Roman" w:hAnsi="Times New Roman" w:eastAsia="宋体" w:cs="Times New Roman"/>
                      <w:color w:val="auto"/>
                    </w:rPr>
                    <w:t>4</w:t>
                  </w:r>
                </w:p>
              </w:tc>
            </w:tr>
            <w:tr w14:paraId="52470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330" w:type="dxa"/>
                  <w:vAlign w:val="center"/>
                </w:tcPr>
                <w:p w14:paraId="69BC319B">
                  <w:pPr>
                    <w:pStyle w:val="8"/>
                    <w:widowControl/>
                    <w:kinsoku/>
                    <w:overflowPunct w:val="0"/>
                    <w:autoSpaceDE/>
                    <w:autoSpaceDN/>
                    <w:adjustRightInd/>
                    <w:snapToGrid/>
                    <w:jc w:val="center"/>
                    <w:rPr>
                      <w:rFonts w:ascii="Times New Roman" w:hAnsi="Times New Roman" w:eastAsia="宋体" w:cs="Times New Roman"/>
                      <w:color w:val="auto"/>
                      <w:szCs w:val="21"/>
                    </w:rPr>
                  </w:pPr>
                  <w:r>
                    <w:rPr>
                      <w:rFonts w:ascii="Times New Roman" w:hAnsi="Times New Roman" w:eastAsia="宋体" w:cs="Times New Roman"/>
                      <w:color w:val="auto"/>
                      <w:szCs w:val="21"/>
                    </w:rPr>
                    <w:t>合计</w:t>
                  </w:r>
                </w:p>
              </w:tc>
              <w:tc>
                <w:tcPr>
                  <w:tcW w:w="948" w:type="dxa"/>
                  <w:vAlign w:val="center"/>
                </w:tcPr>
                <w:p w14:paraId="73C803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433" w:type="dxa"/>
                  <w:vAlign w:val="center"/>
                </w:tcPr>
                <w:p w14:paraId="5B4DE45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445" w:type="dxa"/>
                  <w:vAlign w:val="center"/>
                </w:tcPr>
                <w:p w14:paraId="563DB8F1">
                  <w:pPr>
                    <w:kinsoku/>
                    <w:overflowPunct w:val="0"/>
                    <w:autoSpaceDE/>
                    <w:autoSpaceDN/>
                    <w:adjustRightInd/>
                    <w:snapToGrid/>
                    <w:jc w:val="center"/>
                    <w:rPr>
                      <w:rFonts w:ascii="Times New Roman" w:hAnsi="Times New Roman" w:eastAsia="宋体" w:cs="Times New Roman"/>
                      <w:color w:val="auto"/>
                      <w:lang w:bidi="ar"/>
                    </w:rPr>
                  </w:pPr>
                  <w:r>
                    <w:rPr>
                      <w:rFonts w:ascii="Times New Roman" w:hAnsi="Times New Roman" w:eastAsia="宋体" w:cs="Times New Roman"/>
                      <w:color w:val="auto"/>
                    </w:rPr>
                    <w:t>—</w:t>
                  </w:r>
                </w:p>
              </w:tc>
              <w:tc>
                <w:tcPr>
                  <w:tcW w:w="1234" w:type="dxa"/>
                  <w:vAlign w:val="center"/>
                </w:tcPr>
                <w:p w14:paraId="18ECDF81">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0.0000</w:t>
                  </w:r>
                  <w:r>
                    <w:rPr>
                      <w:rFonts w:hint="eastAsia" w:ascii="Times New Roman" w:hAnsi="Times New Roman" w:eastAsia="宋体" w:cs="Times New Roman"/>
                      <w:color w:val="auto"/>
                      <w:lang w:val="en-US" w:eastAsia="zh-CN"/>
                    </w:rPr>
                    <w:t>4</w:t>
                  </w:r>
                  <w:r>
                    <w:rPr>
                      <w:rFonts w:hint="eastAsia" w:ascii="Times New Roman" w:hAnsi="Times New Roman" w:eastAsia="宋体" w:cs="Times New Roman"/>
                      <w:color w:val="auto"/>
                    </w:rPr>
                    <w:t>4</w:t>
                  </w:r>
                </w:p>
              </w:tc>
            </w:tr>
            <w:tr w14:paraId="3956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390" w:type="dxa"/>
                  <w:gridSpan w:val="5"/>
                  <w:vAlign w:val="center"/>
                </w:tcPr>
                <w:p w14:paraId="099F24E3">
                  <w:pPr>
                    <w:kinsoku/>
                    <w:overflowPunct w:val="0"/>
                    <w:autoSpaceDE/>
                    <w:autoSpaceDN/>
                    <w:adjustRightInd/>
                    <w:snapToGrid/>
                    <w:rPr>
                      <w:rFonts w:ascii="Times New Roman" w:hAnsi="Times New Roman" w:eastAsia="宋体" w:cs="Times New Roman"/>
                      <w:color w:val="auto"/>
                      <w:lang w:eastAsia="zh-CN"/>
                    </w:rPr>
                  </w:pPr>
                  <w:r>
                    <w:rPr>
                      <w:rFonts w:ascii="Times New Roman" w:hAnsi="Times New Roman" w:eastAsia="宋体" w:cs="Times New Roman"/>
                      <w:color w:val="auto"/>
                      <w:lang w:val="zh-CN" w:eastAsia="zh-CN"/>
                    </w:rPr>
                    <w:t>注：风险物质临界量（W）数据引用</w:t>
                  </w:r>
                  <w:r>
                    <w:rPr>
                      <w:rFonts w:ascii="Times New Roman" w:hAnsi="Times New Roman" w:eastAsia="宋体" w:cs="Times New Roman"/>
                      <w:color w:val="auto"/>
                      <w:lang w:eastAsia="zh-CN"/>
                    </w:rPr>
                    <w:t>《企业突发环境事件风险分级方法》（HJ941-2018）</w:t>
                  </w:r>
                  <w:r>
                    <w:rPr>
                      <w:rFonts w:ascii="Times New Roman" w:hAnsi="Times New Roman" w:eastAsia="宋体" w:cs="Times New Roman"/>
                      <w:color w:val="auto"/>
                      <w:lang w:val="zh-CN" w:eastAsia="zh-CN"/>
                    </w:rPr>
                    <w:t>附录A中“突发环境事件风险物质及临界量清单”。</w:t>
                  </w:r>
                </w:p>
              </w:tc>
            </w:tr>
          </w:tbl>
          <w:p w14:paraId="50AFBBA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根据上表可知，项目危险物质数量与临界量比值Q为0.</w:t>
            </w:r>
            <w:r>
              <w:rPr>
                <w:rFonts w:hint="eastAsia" w:ascii="Times New Roman" w:hAnsi="Times New Roman" w:eastAsia="宋体" w:cs="Times New Roman"/>
                <w:color w:val="auto"/>
                <w:sz w:val="24"/>
                <w:szCs w:val="24"/>
                <w:lang w:eastAsia="zh-CN"/>
              </w:rPr>
              <w:t>00</w:t>
            </w:r>
            <w:r>
              <w:rPr>
                <w:rFonts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eastAsia="zh-CN"/>
              </w:rPr>
              <w:t>0</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4</w:t>
            </w:r>
            <w:r>
              <w:rPr>
                <w:rFonts w:ascii="Times New Roman" w:hAnsi="Times New Roman" w:eastAsia="宋体" w:cs="Times New Roman"/>
                <w:color w:val="auto"/>
                <w:sz w:val="24"/>
                <w:szCs w:val="24"/>
                <w:lang w:eastAsia="zh-CN"/>
              </w:rPr>
              <w:t>，即Q＜1，则本项目环境风险潜势为I，按照评价等级分类要求，本项目评价等级属于</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简单分析</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，不再对行业及生产工艺（M）及环境敏感程度（E）进行判定。</w:t>
            </w:r>
          </w:p>
          <w:p w14:paraId="00BF9579">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（3）风险事故类型及危害后果</w:t>
            </w:r>
          </w:p>
          <w:p w14:paraId="50D5EA3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根据项目特点、结合技术导则要求，并调研同类型项目的事故类型，确定本项目环境风险事故主要为：火灾、爆炸引发的伴生/次生环境污染事故。废机油储罐密封不严或破损遇火后造成火灾甚至爆炸</w:t>
            </w:r>
            <w:r>
              <w:rPr>
                <w:rFonts w:hint="eastAsia" w:ascii="Times New Roman" w:hAnsi="Times New Roman" w:eastAsia="宋体" w:cs="Times New Roman"/>
                <w:color w:val="auto"/>
                <w:sz w:val="24"/>
                <w:szCs w:val="24"/>
                <w:lang w:eastAsia="zh-CN"/>
              </w:rPr>
              <w:t>、废含油手套及抹布</w:t>
            </w:r>
            <w:r>
              <w:rPr>
                <w:rFonts w:hint="eastAsia" w:ascii="Times New Roman" w:hAnsi="Times New Roman" w:eastAsia="宋体" w:cs="Times New Roman"/>
                <w:color w:val="auto"/>
                <w:sz w:val="24"/>
                <w:szCs w:val="24"/>
                <w:lang w:val="en-US" w:eastAsia="zh-CN"/>
              </w:rPr>
              <w:t>未及时收集遇火后造成火灾</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lang w:eastAsia="zh-CN"/>
              </w:rPr>
              <w:t>会对周围人群、建筑物及财产造成一定影响。</w:t>
            </w:r>
          </w:p>
          <w:p w14:paraId="39874714">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eastAsia="zh-CN"/>
              </w:rPr>
              <w:t>4</w:t>
            </w:r>
            <w:r>
              <w:rPr>
                <w:rFonts w:ascii="Times New Roman" w:hAnsi="Times New Roman" w:eastAsia="宋体" w:cs="Times New Roman"/>
                <w:color w:val="auto"/>
                <w:sz w:val="24"/>
                <w:lang w:eastAsia="zh-CN"/>
              </w:rPr>
              <w:t>）风险防范措施</w:t>
            </w:r>
          </w:p>
          <w:p w14:paraId="15BE9C5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①</w:t>
            </w:r>
            <w:r>
              <w:rPr>
                <w:rFonts w:hint="eastAsia" w:ascii="Times New Roman" w:hAnsi="Times New Roman" w:eastAsia="宋体" w:cs="Times New Roman"/>
                <w:color w:val="auto"/>
                <w:sz w:val="24"/>
                <w:lang w:eastAsia="zh-CN"/>
              </w:rPr>
              <w:t>定期检查废机油储存罐体是否完好，如出现损坏需及时更换和维修；</w:t>
            </w:r>
            <w:r>
              <w:rPr>
                <w:rFonts w:hint="eastAsia" w:ascii="Times New Roman" w:hAnsi="Times New Roman" w:eastAsia="宋体" w:cs="Times New Roman"/>
                <w:color w:val="auto"/>
                <w:sz w:val="24"/>
                <w:lang w:val="en-US" w:eastAsia="zh-CN"/>
              </w:rPr>
              <w:t>及时收集废含油手套及抹布</w:t>
            </w:r>
            <w:r>
              <w:rPr>
                <w:rFonts w:hint="eastAsia" w:ascii="Times New Roman" w:hAnsi="Times New Roman" w:eastAsia="宋体" w:cs="Times New Roman"/>
                <w:color w:val="auto"/>
                <w:sz w:val="24"/>
                <w:lang w:eastAsia="zh-CN"/>
              </w:rPr>
              <w:t>。</w:t>
            </w:r>
          </w:p>
          <w:p w14:paraId="4C7F7EEE">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②</w:t>
            </w:r>
            <w:r>
              <w:rPr>
                <w:rFonts w:hint="eastAsia" w:ascii="Times New Roman" w:hAnsi="Times New Roman" w:eastAsia="宋体" w:cs="Times New Roman"/>
                <w:color w:val="auto"/>
                <w:sz w:val="24"/>
                <w:lang w:eastAsia="zh-CN"/>
              </w:rPr>
              <w:t>定期检查危废贮存库地面及围堰是否完好，如出现破损需及时修补，以保证达到重点防渗要求。</w:t>
            </w:r>
          </w:p>
          <w:p w14:paraId="5235507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③加强火源管理，杜绝火种，严禁闲杂人员入内；设置醒目的防火、禁止吸烟及明火标志，</w:t>
            </w:r>
            <w:r>
              <w:rPr>
                <w:rFonts w:hint="eastAsia" w:ascii="Times New Roman" w:hAnsi="Times New Roman" w:eastAsia="宋体" w:cs="Times New Roman"/>
                <w:color w:val="auto"/>
                <w:sz w:val="24"/>
                <w:lang w:eastAsia="zh-CN"/>
              </w:rPr>
              <w:t>危废贮存库</w:t>
            </w:r>
            <w:r>
              <w:rPr>
                <w:rFonts w:ascii="Times New Roman" w:hAnsi="Times New Roman" w:eastAsia="宋体" w:cs="Times New Roman"/>
                <w:color w:val="auto"/>
                <w:sz w:val="24"/>
                <w:lang w:eastAsia="zh-CN"/>
              </w:rPr>
              <w:t>禁止一切火源（包括高热源）。</w:t>
            </w:r>
          </w:p>
          <w:p w14:paraId="625BF30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④在场内区内配备相应的灭火器材，且确保数量和质量上过关。</w:t>
            </w:r>
          </w:p>
          <w:p w14:paraId="7C87A75D">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⑤工作人员要熟练掌握操作技术和防火安全管理规定。</w:t>
            </w:r>
          </w:p>
          <w:p w14:paraId="7B2C87B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⑥制定灭火和应急疏散预案，同时设置安全疏散通道。灭火器应布置在明显便于取用的地方，并定期维护检查，确保能正常使用。</w:t>
            </w:r>
          </w:p>
          <w:p w14:paraId="765FEEF7">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⑦制定和落实防火安全责任制及消防安全规章制度，除加强对员工的消防知识培训，对消防安全责任人及员工也定期进行消防知识培训，消防安全管理人员持证上岗。</w:t>
            </w:r>
          </w:p>
          <w:p w14:paraId="595F786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⑧如果发生火灾，应迅速撤离人员至上风处，禁止无关人员进入污染区。</w:t>
            </w:r>
          </w:p>
          <w:p w14:paraId="3E9C1A2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（5）突发环境事件应急预案</w:t>
            </w:r>
          </w:p>
          <w:p w14:paraId="05A4569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为了在发生突发环境事件时，能够及时、有序、高效地实施抢险救援工作，最大限度地减少人员伤亡和财产损失，尽快恢复正常生产、工作秩序，建设单位企业应按照《建设项目环境风险评价技术导则》的要求及时修订突发环境事件应急预案，并按《企业事</w:t>
            </w:r>
            <w:r>
              <w:rPr>
                <w:rFonts w:ascii="Times New Roman" w:hAnsi="Times New Roman" w:eastAsia="宋体" w:cs="Times New Roman"/>
                <w:color w:val="auto"/>
                <w:sz w:val="24"/>
                <w:lang w:eastAsia="zh-CN"/>
              </w:rPr>
              <w:t>业单位突发环境事件应急预案备案管理办法（试行）》（环发〔2015〕4号）的规定向生态环境局备案。企业突发环境事件应急预案应体现分级响应、区域联动的原则，与地方政府突发环境事件应急预案相衔接，明确分级响应程序。</w:t>
            </w:r>
          </w:p>
          <w:p w14:paraId="0C9A7B1B">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根据应急预案编制要求，至少每三年对环境应急预案进行一次回顾性评估。有下列情形之一的，及时修订：</w:t>
            </w:r>
          </w:p>
          <w:p w14:paraId="1D7180A5">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①面临的环境风险发生重大变化，需要重新进行环境风险评估的；</w:t>
            </w:r>
          </w:p>
          <w:p w14:paraId="2660F882">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②应急管理组织指挥体系与职责发生重大变化的；</w:t>
            </w:r>
          </w:p>
          <w:p w14:paraId="712A606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③环境应急监测预警及报告机制、应对流程和措施、应急保障措施发生重大变化的；</w:t>
            </w:r>
          </w:p>
          <w:p w14:paraId="01C12CB5">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④重要应急资源发生重大变化的；</w:t>
            </w:r>
          </w:p>
          <w:p w14:paraId="6ADCD4C6">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⑤在突发事件实际应对和应急演练中发现问题，需要对环境应急预案作出重大调整的；</w:t>
            </w:r>
          </w:p>
          <w:p w14:paraId="34DB928A">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⑥其他需要修订的情况。</w:t>
            </w:r>
          </w:p>
          <w:p w14:paraId="6691842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如</w:t>
            </w:r>
            <w:r>
              <w:rPr>
                <w:rFonts w:ascii="Times New Roman" w:hAnsi="Times New Roman" w:eastAsia="宋体" w:cs="Times New Roman"/>
                <w:color w:val="auto"/>
                <w:sz w:val="24"/>
                <w:lang w:eastAsia="zh-CN"/>
              </w:rPr>
              <w:t>环境应急预案</w:t>
            </w:r>
            <w:r>
              <w:rPr>
                <w:rFonts w:hint="eastAsia" w:ascii="Times New Roman" w:hAnsi="Times New Roman" w:eastAsia="宋体" w:cs="Times New Roman"/>
                <w:color w:val="auto"/>
                <w:sz w:val="24"/>
                <w:lang w:eastAsia="zh-CN"/>
              </w:rPr>
              <w:t>需</w:t>
            </w:r>
            <w:r>
              <w:rPr>
                <w:rFonts w:ascii="Times New Roman" w:hAnsi="Times New Roman" w:eastAsia="宋体" w:cs="Times New Roman"/>
                <w:color w:val="auto"/>
                <w:sz w:val="24"/>
                <w:lang w:eastAsia="zh-CN"/>
              </w:rPr>
              <w:t>进行重大修订，修订工作参照环境应急预案制定步骤进行。</w:t>
            </w:r>
            <w:r>
              <w:rPr>
                <w:rFonts w:hint="eastAsia" w:ascii="Times New Roman" w:hAnsi="Times New Roman" w:eastAsia="宋体" w:cs="Times New Roman"/>
                <w:color w:val="auto"/>
                <w:sz w:val="24"/>
                <w:lang w:eastAsia="zh-CN"/>
              </w:rPr>
              <w:t>如仅对</w:t>
            </w:r>
            <w:r>
              <w:rPr>
                <w:rFonts w:ascii="Times New Roman" w:hAnsi="Times New Roman" w:eastAsia="宋体" w:cs="Times New Roman"/>
                <w:color w:val="auto"/>
                <w:sz w:val="24"/>
                <w:lang w:eastAsia="zh-CN"/>
              </w:rPr>
              <w:t>环境应急预案个别内容进行调整，修订工作可适当简化。</w:t>
            </w:r>
            <w:r>
              <w:rPr>
                <w:rFonts w:hint="eastAsia" w:ascii="Times New Roman" w:hAnsi="Times New Roman" w:eastAsia="宋体" w:cs="Times New Roman"/>
                <w:color w:val="auto"/>
                <w:sz w:val="24"/>
                <w:lang w:eastAsia="zh-CN"/>
              </w:rPr>
              <w:t>建设单位</w:t>
            </w:r>
            <w:r>
              <w:rPr>
                <w:rFonts w:ascii="Times New Roman" w:hAnsi="Times New Roman" w:eastAsia="宋体" w:cs="Times New Roman"/>
                <w:color w:val="auto"/>
                <w:sz w:val="24"/>
                <w:lang w:eastAsia="zh-CN"/>
              </w:rPr>
              <w:t>应及时编制及更新《突发环境事件应急预案》，并报予行政主管部门进行备案。</w:t>
            </w:r>
          </w:p>
          <w:p w14:paraId="7788E6E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（6）环境风险分析结论</w:t>
            </w:r>
          </w:p>
          <w:p w14:paraId="5A0FE27F">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本项目环境风险潜势为I级，根据《建设项目环境风险评价技术导则》（HJ/T169-2018）环境风险评价工作级别划分的判据，确定本工程环境风险评价工作级别为简单分析。具体见下表：</w:t>
            </w:r>
          </w:p>
          <w:p w14:paraId="2E70F83B">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ascii="Times New Roman" w:hAnsi="Times New Roman" w:eastAsia="宋体" w:cs="Times New Roman"/>
                <w:b/>
                <w:bCs/>
                <w:color w:val="auto"/>
                <w:sz w:val="24"/>
                <w:szCs w:val="32"/>
                <w:lang w:eastAsia="zh-CN"/>
              </w:rPr>
              <w:t>表4-</w:t>
            </w:r>
            <w:r>
              <w:rPr>
                <w:rFonts w:hint="eastAsia" w:ascii="Times New Roman" w:hAnsi="Times New Roman" w:eastAsia="宋体" w:cs="Times New Roman"/>
                <w:b/>
                <w:bCs/>
                <w:color w:val="auto"/>
                <w:sz w:val="24"/>
                <w:szCs w:val="32"/>
                <w:lang w:eastAsia="zh-CN"/>
              </w:rPr>
              <w:t>2</w:t>
            </w:r>
            <w:r>
              <w:rPr>
                <w:rFonts w:hint="eastAsia" w:cs="Times New Roman"/>
                <w:b/>
                <w:bCs/>
                <w:color w:val="auto"/>
                <w:sz w:val="24"/>
                <w:szCs w:val="32"/>
                <w:lang w:val="en-US" w:eastAsia="zh-CN"/>
              </w:rPr>
              <w:t>5</w:t>
            </w:r>
            <w:r>
              <w:rPr>
                <w:rFonts w:hint="eastAsia" w:ascii="Times New Roman" w:hAnsi="Times New Roman" w:eastAsia="宋体" w:cs="Times New Roman"/>
                <w:b/>
                <w:bCs/>
                <w:color w:val="auto"/>
                <w:sz w:val="24"/>
                <w:szCs w:val="32"/>
                <w:lang w:eastAsia="zh-CN"/>
              </w:rPr>
              <w:t xml:space="preserve"> </w:t>
            </w:r>
            <w:r>
              <w:rPr>
                <w:rFonts w:ascii="Times New Roman" w:hAnsi="Times New Roman" w:eastAsia="宋体" w:cs="Times New Roman"/>
                <w:b/>
                <w:bCs/>
                <w:color w:val="auto"/>
                <w:sz w:val="24"/>
                <w:szCs w:val="32"/>
                <w:lang w:eastAsia="zh-CN"/>
              </w:rPr>
              <w:t>建设项目环境风险简单分析内容表</w:t>
            </w:r>
          </w:p>
          <w:tbl>
            <w:tblPr>
              <w:tblStyle w:val="20"/>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0"/>
              <w:gridCol w:w="6970"/>
            </w:tblGrid>
            <w:tr w14:paraId="4563C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46" w:type="pct"/>
                  <w:vAlign w:val="center"/>
                </w:tcPr>
                <w:p w14:paraId="3EEFBDF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建设项目名称</w:t>
                  </w:r>
                </w:p>
              </w:tc>
              <w:tc>
                <w:tcPr>
                  <w:tcW w:w="4153" w:type="pct"/>
                  <w:vAlign w:val="center"/>
                </w:tcPr>
                <w:p w14:paraId="0E5747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云南赛农农业科技有限公司改性磷石膏综合利用项目</w:t>
                  </w:r>
                </w:p>
              </w:tc>
            </w:tr>
            <w:tr w14:paraId="186B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46" w:type="pct"/>
                  <w:vAlign w:val="center"/>
                </w:tcPr>
                <w:p w14:paraId="20C98B5A">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地理坐标</w:t>
                  </w:r>
                </w:p>
              </w:tc>
              <w:tc>
                <w:tcPr>
                  <w:tcW w:w="4153" w:type="pct"/>
                  <w:vAlign w:val="center"/>
                </w:tcPr>
                <w:p w14:paraId="6EF3C220">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东经103°11′11.131″，北纬25°31′24.737″</w:t>
                  </w:r>
                </w:p>
              </w:tc>
            </w:tr>
            <w:tr w14:paraId="577C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46" w:type="pct"/>
                  <w:vAlign w:val="center"/>
                </w:tcPr>
                <w:p w14:paraId="64E738D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主要危险物质分布</w:t>
                  </w:r>
                </w:p>
              </w:tc>
              <w:tc>
                <w:tcPr>
                  <w:tcW w:w="4153" w:type="pct"/>
                  <w:vAlign w:val="center"/>
                </w:tcPr>
                <w:p w14:paraId="157C2AA2">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危废贮存库：废机油、</w:t>
                  </w:r>
                  <w:r>
                    <w:rPr>
                      <w:rFonts w:ascii="Times New Roman" w:hAnsi="Times New Roman" w:eastAsia="宋体" w:cs="Times New Roman"/>
                      <w:color w:val="auto"/>
                      <w:sz w:val="21"/>
                      <w:szCs w:val="21"/>
                      <w:lang w:eastAsia="zh-CN"/>
                    </w:rPr>
                    <w:t>废含油手套及抹布</w:t>
                  </w:r>
                </w:p>
              </w:tc>
            </w:tr>
            <w:tr w14:paraId="3FE0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jc w:val="center"/>
              </w:trPr>
              <w:tc>
                <w:tcPr>
                  <w:tcW w:w="846" w:type="pct"/>
                  <w:vAlign w:val="center"/>
                </w:tcPr>
                <w:p w14:paraId="55DDE045">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环境影响途径及危害后果</w:t>
                  </w:r>
                </w:p>
              </w:tc>
              <w:tc>
                <w:tcPr>
                  <w:tcW w:w="4153" w:type="pct"/>
                  <w:vAlign w:val="center"/>
                </w:tcPr>
                <w:p w14:paraId="3BF1A1FD">
                  <w:pPr>
                    <w:widowControl/>
                    <w:kinsoku/>
                    <w:overflowPunct w:val="0"/>
                    <w:autoSpaceDE/>
                    <w:autoSpaceDN/>
                    <w:adjustRightInd/>
                    <w:snapToGrid/>
                    <w:spacing w:line="240" w:lineRule="auto"/>
                    <w:ind w:leftChars="0" w:rightChars="0" w:firstLine="420" w:firstLineChars="20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废机油储罐</w:t>
                  </w:r>
                  <w:r>
                    <w:rPr>
                      <w:rFonts w:ascii="Times New Roman" w:hAnsi="Times New Roman" w:eastAsia="宋体" w:cs="Times New Roman"/>
                      <w:color w:val="auto"/>
                      <w:lang w:eastAsia="zh-CN"/>
                    </w:rPr>
                    <w:t>密封不严或破损遇火后造成火灾甚至爆炸</w:t>
                  </w:r>
                  <w:r>
                    <w:rPr>
                      <w:rFonts w:hint="eastAsia" w:ascii="Times New Roman" w:hAnsi="Times New Roman" w:eastAsia="宋体" w:cs="Times New Roman"/>
                      <w:color w:val="auto"/>
                      <w:lang w:eastAsia="zh-CN"/>
                    </w:rPr>
                    <w:t>、废含油手套及抹布</w:t>
                  </w:r>
                  <w:r>
                    <w:rPr>
                      <w:rFonts w:hint="eastAsia" w:ascii="Times New Roman" w:hAnsi="Times New Roman" w:eastAsia="宋体" w:cs="Times New Roman"/>
                      <w:color w:val="auto"/>
                      <w:lang w:val="en-US" w:eastAsia="zh-CN"/>
                    </w:rPr>
                    <w:t>未及时收集遇火后造成火灾</w:t>
                  </w:r>
                  <w:r>
                    <w:rPr>
                      <w:rFonts w:ascii="Times New Roman" w:hAnsi="Times New Roman" w:eastAsia="宋体" w:cs="Times New Roman"/>
                      <w:color w:val="auto"/>
                      <w:lang w:eastAsia="zh-CN"/>
                    </w:rPr>
                    <w:t>，会对周围人群、建筑物及财产造成一定影响。</w:t>
                  </w:r>
                </w:p>
              </w:tc>
            </w:tr>
            <w:tr w14:paraId="2837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46" w:type="pct"/>
                  <w:vAlign w:val="center"/>
                </w:tcPr>
                <w:p w14:paraId="1A48EA1B">
                  <w:pPr>
                    <w:widowControl/>
                    <w:kinsoku/>
                    <w:overflowPunct w:val="0"/>
                    <w:autoSpaceDE/>
                    <w:autoSpaceDN/>
                    <w:adjustRightInd/>
                    <w:snapToGrid/>
                    <w:spacing w:line="240" w:lineRule="auto"/>
                    <w:ind w:leftChars="0" w:rightChars="0"/>
                    <w:jc w:val="center"/>
                    <w:rPr>
                      <w:rFonts w:ascii="Times New Roman" w:hAnsi="Times New Roman" w:eastAsia="宋体" w:cs="Times New Roman"/>
                      <w:color w:val="auto"/>
                    </w:rPr>
                  </w:pPr>
                  <w:r>
                    <w:rPr>
                      <w:rFonts w:ascii="Times New Roman" w:hAnsi="Times New Roman" w:eastAsia="宋体" w:cs="Times New Roman"/>
                      <w:color w:val="auto"/>
                    </w:rPr>
                    <w:t>风险防范措施要求</w:t>
                  </w:r>
                </w:p>
              </w:tc>
              <w:tc>
                <w:tcPr>
                  <w:tcW w:w="4153" w:type="pct"/>
                  <w:vAlign w:val="center"/>
                </w:tcPr>
                <w:p w14:paraId="7A49BE5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①定期检查废机油储存罐体是否完好，如出现损坏需及时更换和维修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及时收集废含油手套及抹布</w:t>
                  </w:r>
                  <w:r>
                    <w:rPr>
                      <w:rFonts w:ascii="Times New Roman" w:hAnsi="Times New Roman" w:eastAsia="宋体" w:cs="Times New Roman"/>
                      <w:color w:val="auto"/>
                      <w:lang w:eastAsia="zh-CN"/>
                    </w:rPr>
                    <w:t>。</w:t>
                  </w:r>
                </w:p>
                <w:p w14:paraId="7A18C43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②定期检查危废贮存库地面及</w:t>
                  </w:r>
                  <w:r>
                    <w:rPr>
                      <w:rFonts w:hint="eastAsia" w:ascii="Times New Roman" w:hAnsi="Times New Roman" w:eastAsia="宋体" w:cs="Times New Roman"/>
                      <w:color w:val="auto"/>
                      <w:lang w:eastAsia="zh-CN"/>
                    </w:rPr>
                    <w:t>围堰</w:t>
                  </w:r>
                  <w:r>
                    <w:rPr>
                      <w:rFonts w:ascii="Times New Roman" w:hAnsi="Times New Roman" w:eastAsia="宋体" w:cs="Times New Roman"/>
                      <w:color w:val="auto"/>
                      <w:lang w:eastAsia="zh-CN"/>
                    </w:rPr>
                    <w:t>是否完好，如出现破损需及时修补，以保证达到重点防渗要求。</w:t>
                  </w:r>
                </w:p>
                <w:p w14:paraId="232D1288">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③加强火源管理，杜绝火种，严禁闲杂人员入内；设置醒目的防火、禁止吸烟及明火标志，危废贮存库禁止一切火源（包括高热源）。</w:t>
                  </w:r>
                </w:p>
                <w:p w14:paraId="132CB211">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④在场内区内配备相应的灭火器材，且确保数量和质量上过关。</w:t>
                  </w:r>
                </w:p>
                <w:p w14:paraId="34B7F4A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⑤工作人员要熟练掌握操作技术和防火安全管理规定。</w:t>
                  </w:r>
                </w:p>
                <w:p w14:paraId="10320A55">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⑥制定灭火和应急疏散预案，同时设置安全疏散通道。灭火器应布置在明显便于取用的地方，并定期维护检查，确保能正常使用。</w:t>
                  </w:r>
                </w:p>
                <w:p w14:paraId="6AC319E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⑦制定和落实防火安全责任制及消防安全规章制度，除加强对员工的消防知识培训，对消防安全责任人及员工也定期进行消防知识培训，消防安全管理人员持证上岗。</w:t>
                  </w:r>
                </w:p>
                <w:p w14:paraId="59C651AB">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⑧如果发生火灾，应迅速撤离人员至上风处，禁止无关人员进入污染区。</w:t>
                  </w:r>
                </w:p>
              </w:tc>
            </w:tr>
            <w:tr w14:paraId="644D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5000" w:type="pct"/>
                  <w:gridSpan w:val="2"/>
                  <w:vAlign w:val="center"/>
                </w:tcPr>
                <w:p w14:paraId="047053DC">
                  <w:pPr>
                    <w:widowControl/>
                    <w:kinsoku/>
                    <w:overflowPunct w:val="0"/>
                    <w:autoSpaceDE/>
                    <w:autoSpaceDN/>
                    <w:adjustRightInd/>
                    <w:snapToGrid/>
                    <w:spacing w:line="240" w:lineRule="auto"/>
                    <w:ind w:leftChars="0" w:rightChars="0"/>
                    <w:rPr>
                      <w:rFonts w:ascii="Times New Roman" w:hAnsi="Times New Roman" w:eastAsia="宋体" w:cs="Times New Roman"/>
                      <w:color w:val="auto"/>
                      <w:lang w:eastAsia="zh-CN"/>
                    </w:rPr>
                  </w:pPr>
                  <w:r>
                    <w:rPr>
                      <w:rFonts w:ascii="Times New Roman" w:hAnsi="Times New Roman" w:eastAsia="宋体" w:cs="Times New Roman"/>
                      <w:color w:val="auto"/>
                      <w:lang w:eastAsia="zh-CN"/>
                    </w:rPr>
                    <w:t>填表说明：根据本项目污染物特性，本项目应建立环境风险应急预案，并报地方生态环境主管部门备案</w:t>
                  </w:r>
                </w:p>
              </w:tc>
            </w:tr>
          </w:tbl>
          <w:p w14:paraId="1AA12CCE">
            <w:pPr>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b/>
                <w:bCs/>
                <w:color w:val="auto"/>
                <w:sz w:val="24"/>
                <w:lang w:eastAsia="zh-CN"/>
              </w:rPr>
              <w:t>八、环境管理和环境监测计划</w:t>
            </w:r>
          </w:p>
          <w:p w14:paraId="344092BC">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（1）环境管理</w:t>
            </w:r>
          </w:p>
          <w:p w14:paraId="2C49FD1B">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根据《排污单位环境管理台账及排污许可证执行报告技术规范总则（试行）》（H1944-2018）、《关于做好环境影响评价制度与排污许可制衔接相关工作的通知》（环办环评〔2017〕84号）、《排污许可管理条例》（2021年3月1日）、《危险废物识别标志设置技术规范》（HJ1276-2022）和国家环境保护总局关于开展排放口规范化整治工作的通知（环发〔1999〕24号）的相关要求，对环境质量进行管理，按照要求进行①排污许可申请、②环境管理台账、③规范化污染物排放口、④自行监测等。</w:t>
            </w:r>
          </w:p>
          <w:p w14:paraId="2D7FC13D">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（2）排污口规范化设置</w:t>
            </w:r>
          </w:p>
          <w:p w14:paraId="1924FF21">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排污口是项目运营期污染物进入环境、污染环境的通道，强化排污口管理是实施污染物总量控制的基础工作之一，也是环境管理逐步实现污染物科学化、定量化的主要手段。项目排放口设置满足以下要求：污染物排放口，应按国家的规定，设置国家环保总局统一制作的环境保护图形标志牌；本项目废气排放口应设置相应标志，并进行专人管理。污染物排放口的环境保护图形标志牌应设置在靠近采样点的醒目处，标志牌设置高度为其上缘距地面2m，排污口附近1m范围内有建筑物的，设平面式标志牌，无建筑物的设立式标志牌。公司应遵照国家对排污口规范的要求，在“三废”及部分噪声排放点设置标志，标志的设置应按照《环境保护图形标志排放口（源）》（GB15562.1-1995）、《环境保护图形标志 固体废物贮存（处置）场》（GB15562.2-1995）修改单的有关规定执行。</w:t>
            </w:r>
          </w:p>
          <w:p w14:paraId="3B5C50C8">
            <w:pPr>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（3）环境监测计划</w:t>
            </w:r>
          </w:p>
          <w:p w14:paraId="5F93E08C">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建设单位应</w:t>
            </w:r>
            <w:r>
              <w:rPr>
                <w:rFonts w:ascii="Times New Roman" w:hAnsi="Times New Roman" w:eastAsia="宋体" w:cs="Times New Roman"/>
                <w:color w:val="auto"/>
                <w:sz w:val="24"/>
                <w:lang w:eastAsia="zh-CN"/>
              </w:rPr>
              <w:t>根据《排污单位自行监测技术指南 总则》（HJ819-2017）、《排污许可证申请与核发技术规范</w:t>
            </w:r>
            <w:r>
              <w:rPr>
                <w:rFonts w:hint="eastAsia" w:ascii="Times New Roman" w:hAnsi="Times New Roman" w:eastAsia="宋体" w:cs="Times New Roman"/>
                <w:color w:val="auto"/>
                <w:sz w:val="24"/>
                <w:lang w:eastAsia="zh-CN"/>
              </w:rPr>
              <w:t xml:space="preserve"> </w:t>
            </w:r>
            <w:r>
              <w:rPr>
                <w:rFonts w:ascii="Times New Roman" w:hAnsi="Times New Roman" w:eastAsia="宋体" w:cs="Times New Roman"/>
                <w:color w:val="auto"/>
                <w:sz w:val="24"/>
                <w:lang w:eastAsia="zh-CN"/>
              </w:rPr>
              <w:t>总则》（HJ942-2018）开展自行监测，建议本项目对污染源进行以下监测。</w:t>
            </w:r>
          </w:p>
          <w:p w14:paraId="471A372C">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表4-2</w:t>
            </w:r>
            <w:r>
              <w:rPr>
                <w:rFonts w:hint="eastAsia" w:cs="Times New Roman"/>
                <w:b/>
                <w:bCs/>
                <w:color w:val="auto"/>
                <w:sz w:val="24"/>
                <w:szCs w:val="32"/>
                <w:lang w:val="en-US" w:eastAsia="zh-CN"/>
              </w:rPr>
              <w:t>6</w:t>
            </w:r>
            <w:r>
              <w:rPr>
                <w:rFonts w:hint="eastAsia" w:ascii="Times New Roman" w:hAnsi="Times New Roman" w:eastAsia="宋体" w:cs="Times New Roman"/>
                <w:b/>
                <w:bCs/>
                <w:color w:val="auto"/>
                <w:sz w:val="24"/>
                <w:szCs w:val="32"/>
                <w:lang w:eastAsia="zh-CN"/>
              </w:rPr>
              <w:t xml:space="preserve"> 项目监测计划一览表</w:t>
            </w:r>
          </w:p>
          <w:tbl>
            <w:tblPr>
              <w:tblStyle w:val="19"/>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008"/>
              <w:gridCol w:w="1639"/>
              <w:gridCol w:w="1081"/>
              <w:gridCol w:w="2833"/>
            </w:tblGrid>
            <w:tr w14:paraId="4ADF6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53C3646E">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项目</w:t>
                  </w:r>
                </w:p>
              </w:tc>
              <w:tc>
                <w:tcPr>
                  <w:tcW w:w="1196" w:type="pct"/>
                  <w:tcBorders>
                    <w:top w:val="single" w:color="auto" w:sz="4" w:space="0"/>
                    <w:left w:val="single" w:color="auto" w:sz="4" w:space="0"/>
                    <w:bottom w:val="single" w:color="auto" w:sz="4" w:space="0"/>
                    <w:right w:val="single" w:color="auto" w:sz="4" w:space="0"/>
                  </w:tcBorders>
                  <w:vAlign w:val="center"/>
                </w:tcPr>
                <w:p w14:paraId="09F0BAD0">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监测点位</w:t>
                  </w:r>
                </w:p>
              </w:tc>
              <w:tc>
                <w:tcPr>
                  <w:tcW w:w="976" w:type="pct"/>
                  <w:tcBorders>
                    <w:top w:val="single" w:color="auto" w:sz="4" w:space="0"/>
                    <w:left w:val="single" w:color="auto" w:sz="4" w:space="0"/>
                    <w:bottom w:val="single" w:color="auto" w:sz="4" w:space="0"/>
                    <w:right w:val="single" w:color="auto" w:sz="4" w:space="0"/>
                  </w:tcBorders>
                  <w:vAlign w:val="center"/>
                </w:tcPr>
                <w:p w14:paraId="733B71C9">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监测项目</w:t>
                  </w:r>
                </w:p>
              </w:tc>
              <w:tc>
                <w:tcPr>
                  <w:tcW w:w="644" w:type="pct"/>
                  <w:tcBorders>
                    <w:top w:val="single" w:color="auto" w:sz="4" w:space="0"/>
                    <w:left w:val="single" w:color="auto" w:sz="4" w:space="0"/>
                    <w:bottom w:val="single" w:color="auto" w:sz="4" w:space="0"/>
                    <w:right w:val="single" w:color="auto" w:sz="4" w:space="0"/>
                  </w:tcBorders>
                  <w:vAlign w:val="center"/>
                </w:tcPr>
                <w:p w14:paraId="4A891D03">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监测频次</w:t>
                  </w:r>
                </w:p>
              </w:tc>
              <w:tc>
                <w:tcPr>
                  <w:tcW w:w="1687" w:type="pct"/>
                  <w:tcBorders>
                    <w:top w:val="single" w:color="auto" w:sz="4" w:space="0"/>
                    <w:left w:val="single" w:color="auto" w:sz="4" w:space="0"/>
                    <w:bottom w:val="single" w:color="auto" w:sz="4" w:space="0"/>
                    <w:right w:val="single" w:color="auto" w:sz="4" w:space="0"/>
                  </w:tcBorders>
                  <w:vAlign w:val="center"/>
                </w:tcPr>
                <w:p w14:paraId="092AD2A3">
                  <w:pPr>
                    <w:kinsoku/>
                    <w:overflowPunct w:val="0"/>
                    <w:autoSpaceDE/>
                    <w:autoSpaceDN/>
                    <w:adjustRightInd/>
                    <w:snapToGrid/>
                    <w:jc w:val="center"/>
                    <w:rPr>
                      <w:rFonts w:ascii="Times New Roman" w:hAnsi="Times New Roman" w:eastAsia="宋体" w:cs="Times New Roman"/>
                      <w:b/>
                      <w:color w:val="auto"/>
                      <w:spacing w:val="-10"/>
                    </w:rPr>
                  </w:pPr>
                  <w:r>
                    <w:rPr>
                      <w:rFonts w:hint="eastAsia" w:ascii="Times New Roman" w:hAnsi="Times New Roman" w:eastAsia="宋体" w:cs="Times New Roman"/>
                      <w:b/>
                      <w:color w:val="auto"/>
                      <w:spacing w:val="-10"/>
                      <w:lang w:bidi="ar"/>
                    </w:rPr>
                    <w:t>执行标准</w:t>
                  </w:r>
                </w:p>
              </w:tc>
            </w:tr>
            <w:tr w14:paraId="00C6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restart"/>
                  <w:tcBorders>
                    <w:top w:val="single" w:color="auto" w:sz="4" w:space="0"/>
                    <w:left w:val="single" w:color="auto" w:sz="4" w:space="0"/>
                    <w:right w:val="single" w:color="auto" w:sz="4" w:space="0"/>
                  </w:tcBorders>
                  <w:vAlign w:val="center"/>
                </w:tcPr>
                <w:p w14:paraId="76DF078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废气</w:t>
                  </w:r>
                </w:p>
              </w:tc>
              <w:tc>
                <w:tcPr>
                  <w:tcW w:w="1196" w:type="pct"/>
                  <w:tcBorders>
                    <w:top w:val="single" w:color="auto" w:sz="4" w:space="0"/>
                    <w:left w:val="single" w:color="auto" w:sz="4" w:space="0"/>
                    <w:right w:val="single" w:color="auto" w:sz="4" w:space="0"/>
                  </w:tcBorders>
                  <w:vAlign w:val="center"/>
                </w:tcPr>
                <w:p w14:paraId="6531905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color w:val="auto"/>
                      <w:lang w:eastAsia="zh-CN"/>
                    </w:rPr>
                    <w:t>厂界（上风向厂界外1个，下风向厂界外3个）</w:t>
                  </w:r>
                </w:p>
              </w:tc>
              <w:tc>
                <w:tcPr>
                  <w:tcW w:w="976" w:type="pct"/>
                  <w:tcBorders>
                    <w:top w:val="single" w:color="auto" w:sz="4" w:space="0"/>
                    <w:left w:val="single" w:color="auto" w:sz="4" w:space="0"/>
                    <w:bottom w:val="single" w:color="auto" w:sz="4" w:space="0"/>
                    <w:right w:val="single" w:color="auto" w:sz="4" w:space="0"/>
                  </w:tcBorders>
                  <w:vAlign w:val="center"/>
                </w:tcPr>
                <w:p w14:paraId="397AB3C4">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颗粒物</w:t>
                  </w:r>
                </w:p>
              </w:tc>
              <w:tc>
                <w:tcPr>
                  <w:tcW w:w="644" w:type="pct"/>
                  <w:tcBorders>
                    <w:top w:val="single" w:color="auto" w:sz="4" w:space="0"/>
                    <w:left w:val="single" w:color="auto" w:sz="4" w:space="0"/>
                    <w:bottom w:val="single" w:color="auto" w:sz="4" w:space="0"/>
                    <w:right w:val="single" w:color="auto" w:sz="4" w:space="0"/>
                  </w:tcBorders>
                  <w:vAlign w:val="center"/>
                </w:tcPr>
                <w:p w14:paraId="334F4A75">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7" w:type="pct"/>
                  <w:tcBorders>
                    <w:top w:val="single" w:color="auto" w:sz="4" w:space="0"/>
                    <w:left w:val="single" w:color="auto" w:sz="4" w:space="0"/>
                    <w:right w:val="single" w:color="auto" w:sz="4" w:space="0"/>
                  </w:tcBorders>
                  <w:vAlign w:val="center"/>
                </w:tcPr>
                <w:p w14:paraId="03E845B2">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lang w:eastAsia="zh-CN"/>
                    </w:rPr>
                    <w:t>《大气污染物综合排放标准》（GB16297-1996）表2中无组织排放监控浓度限值</w:t>
                  </w:r>
                </w:p>
              </w:tc>
            </w:tr>
            <w:tr w14:paraId="5CCB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vMerge w:val="continue"/>
                  <w:tcBorders>
                    <w:left w:val="single" w:color="auto" w:sz="4" w:space="0"/>
                    <w:right w:val="single" w:color="auto" w:sz="4" w:space="0"/>
                  </w:tcBorders>
                  <w:vAlign w:val="center"/>
                </w:tcPr>
                <w:p w14:paraId="5842A000">
                  <w:pPr>
                    <w:kinsoku/>
                    <w:overflowPunct w:val="0"/>
                    <w:autoSpaceDE/>
                    <w:autoSpaceDN/>
                    <w:adjustRightInd/>
                    <w:snapToGrid/>
                    <w:jc w:val="center"/>
                    <w:rPr>
                      <w:rFonts w:ascii="Times New Roman" w:hAnsi="Times New Roman" w:eastAsia="宋体" w:cs="Times New Roman"/>
                      <w:color w:val="auto"/>
                      <w:lang w:eastAsia="zh-CN"/>
                    </w:rPr>
                  </w:pPr>
                </w:p>
              </w:tc>
              <w:tc>
                <w:tcPr>
                  <w:tcW w:w="1196" w:type="pct"/>
                  <w:tcBorders>
                    <w:top w:val="single" w:color="auto" w:sz="4" w:space="0"/>
                    <w:left w:val="single" w:color="auto" w:sz="4" w:space="0"/>
                    <w:right w:val="single" w:color="auto" w:sz="4" w:space="0"/>
                  </w:tcBorders>
                  <w:vAlign w:val="center"/>
                </w:tcPr>
                <w:p w14:paraId="0F00F4F9">
                  <w:pPr>
                    <w:kinsoku/>
                    <w:overflowPunct w:val="0"/>
                    <w:autoSpaceDE/>
                    <w:autoSpaceDN/>
                    <w:adjustRightInd/>
                    <w:snapToGrid/>
                    <w:jc w:val="center"/>
                    <w:rPr>
                      <w:rFonts w:hint="default" w:ascii="Times New Roman" w:hAnsi="Times New Roman" w:eastAsia="宋体" w:cs="Times New Roman"/>
                      <w:bCs/>
                      <w:color w:val="auto"/>
                      <w:spacing w:val="-10"/>
                      <w:lang w:val="en-US" w:eastAsia="zh-CN"/>
                    </w:rPr>
                  </w:pPr>
                  <w:r>
                    <w:rPr>
                      <w:rFonts w:hint="eastAsia" w:ascii="Times New Roman" w:hAnsi="Times New Roman" w:eastAsia="宋体" w:cs="Times New Roman"/>
                      <w:bCs/>
                      <w:color w:val="auto"/>
                      <w:spacing w:val="-10"/>
                      <w:lang w:eastAsia="zh-CN"/>
                    </w:rPr>
                    <w:t>DA001排气筒、</w:t>
                  </w:r>
                  <w:r>
                    <w:rPr>
                      <w:rFonts w:hint="eastAsia" w:cs="Times New Roman"/>
                      <w:bCs/>
                      <w:color w:val="auto"/>
                      <w:spacing w:val="-10"/>
                      <w:lang w:val="en-US" w:eastAsia="zh-CN"/>
                    </w:rPr>
                    <w:t>DA002排气筒</w:t>
                  </w:r>
                </w:p>
              </w:tc>
              <w:tc>
                <w:tcPr>
                  <w:tcW w:w="976" w:type="pct"/>
                  <w:tcBorders>
                    <w:top w:val="single" w:color="auto" w:sz="4" w:space="0"/>
                    <w:left w:val="single" w:color="auto" w:sz="4" w:space="0"/>
                    <w:bottom w:val="single" w:color="auto" w:sz="4" w:space="0"/>
                    <w:right w:val="single" w:color="auto" w:sz="4" w:space="0"/>
                  </w:tcBorders>
                  <w:vAlign w:val="center"/>
                </w:tcPr>
                <w:p w14:paraId="32C2B2A6">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hint="eastAsia" w:ascii="Times New Roman" w:hAnsi="Times New Roman" w:eastAsia="宋体" w:cs="Times New Roman"/>
                      <w:color w:val="auto"/>
                      <w:lang w:eastAsia="zh-CN" w:bidi="ar"/>
                    </w:rPr>
                    <w:t>颗粒物</w:t>
                  </w:r>
                </w:p>
              </w:tc>
              <w:tc>
                <w:tcPr>
                  <w:tcW w:w="644" w:type="pct"/>
                  <w:tcBorders>
                    <w:top w:val="single" w:color="auto" w:sz="4" w:space="0"/>
                    <w:left w:val="single" w:color="auto" w:sz="4" w:space="0"/>
                    <w:bottom w:val="single" w:color="auto" w:sz="4" w:space="0"/>
                    <w:right w:val="single" w:color="auto" w:sz="4" w:space="0"/>
                  </w:tcBorders>
                  <w:vAlign w:val="center"/>
                </w:tcPr>
                <w:p w14:paraId="724C5B00">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7" w:type="pct"/>
                  <w:tcBorders>
                    <w:top w:val="single" w:color="auto" w:sz="4" w:space="0"/>
                    <w:left w:val="single" w:color="auto" w:sz="4" w:space="0"/>
                    <w:right w:val="single" w:color="auto" w:sz="4" w:space="0"/>
                  </w:tcBorders>
                  <w:vAlign w:val="center"/>
                </w:tcPr>
                <w:p w14:paraId="764C00E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bCs/>
                      <w:color w:val="auto"/>
                      <w:spacing w:val="-10"/>
                      <w:lang w:eastAsia="zh-CN"/>
                    </w:rPr>
                    <w:t>《大气污染物综合排放标准》（GB16297-1996）表2中有组织最高允许排放浓度限值</w:t>
                  </w:r>
                </w:p>
              </w:tc>
            </w:tr>
            <w:tr w14:paraId="432B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7408DFA8">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bCs/>
                      <w:color w:val="auto"/>
                      <w:spacing w:val="-10"/>
                      <w:lang w:bidi="ar"/>
                    </w:rPr>
                    <w:t>噪声</w:t>
                  </w:r>
                </w:p>
              </w:tc>
              <w:tc>
                <w:tcPr>
                  <w:tcW w:w="1196" w:type="pct"/>
                  <w:tcBorders>
                    <w:top w:val="single" w:color="auto" w:sz="4" w:space="0"/>
                    <w:left w:val="single" w:color="auto" w:sz="4" w:space="0"/>
                    <w:bottom w:val="single" w:color="auto" w:sz="4" w:space="0"/>
                    <w:right w:val="single" w:color="auto" w:sz="4" w:space="0"/>
                  </w:tcBorders>
                  <w:vAlign w:val="center"/>
                </w:tcPr>
                <w:p w14:paraId="137930C3">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ascii="Times New Roman" w:hAnsi="Times New Roman" w:eastAsia="宋体" w:cs="Times New Roman"/>
                      <w:color w:val="auto"/>
                      <w:lang w:eastAsia="zh-CN"/>
                    </w:rPr>
                    <w:t>厂界外东、南、西、北1m处</w:t>
                  </w:r>
                </w:p>
              </w:tc>
              <w:tc>
                <w:tcPr>
                  <w:tcW w:w="976" w:type="pct"/>
                  <w:tcBorders>
                    <w:top w:val="single" w:color="auto" w:sz="4" w:space="0"/>
                    <w:left w:val="single" w:color="auto" w:sz="4" w:space="0"/>
                    <w:bottom w:val="single" w:color="auto" w:sz="4" w:space="0"/>
                    <w:right w:val="single" w:color="auto" w:sz="4" w:space="0"/>
                  </w:tcBorders>
                  <w:vAlign w:val="center"/>
                </w:tcPr>
                <w:p w14:paraId="2B505EB7">
                  <w:pPr>
                    <w:kinsoku/>
                    <w:overflowPunct w:val="0"/>
                    <w:autoSpaceDE/>
                    <w:autoSpaceDN/>
                    <w:adjustRightInd/>
                    <w:snapToGrid/>
                    <w:jc w:val="center"/>
                    <w:rPr>
                      <w:rFonts w:ascii="Times New Roman" w:hAnsi="Times New Roman" w:eastAsia="宋体" w:cs="Times New Roman"/>
                      <w:bCs/>
                      <w:color w:val="auto"/>
                      <w:spacing w:val="-10"/>
                    </w:rPr>
                  </w:pPr>
                  <w:r>
                    <w:rPr>
                      <w:rFonts w:hint="eastAsia" w:ascii="Times New Roman" w:hAnsi="Times New Roman" w:eastAsia="宋体" w:cs="Times New Roman"/>
                      <w:color w:val="auto"/>
                      <w:lang w:bidi="ar"/>
                    </w:rPr>
                    <w:t>等效连续</w:t>
                  </w:r>
                  <w:r>
                    <w:rPr>
                      <w:rFonts w:ascii="Times New Roman" w:hAnsi="Times New Roman" w:eastAsia="宋体" w:cs="Times New Roman"/>
                      <w:color w:val="auto"/>
                      <w:lang w:bidi="ar"/>
                    </w:rPr>
                    <w:t>A</w:t>
                  </w:r>
                  <w:r>
                    <w:rPr>
                      <w:rFonts w:hint="eastAsia" w:ascii="Times New Roman" w:hAnsi="Times New Roman" w:eastAsia="宋体" w:cs="Times New Roman"/>
                      <w:color w:val="auto"/>
                      <w:lang w:bidi="ar"/>
                    </w:rPr>
                    <w:t>声级</w:t>
                  </w:r>
                </w:p>
              </w:tc>
              <w:tc>
                <w:tcPr>
                  <w:tcW w:w="644" w:type="pct"/>
                  <w:tcBorders>
                    <w:top w:val="single" w:color="auto" w:sz="4" w:space="0"/>
                    <w:left w:val="single" w:color="auto" w:sz="4" w:space="0"/>
                    <w:bottom w:val="single" w:color="auto" w:sz="4" w:space="0"/>
                    <w:right w:val="single" w:color="auto" w:sz="4" w:space="0"/>
                  </w:tcBorders>
                  <w:vAlign w:val="center"/>
                </w:tcPr>
                <w:p w14:paraId="454E5CF6">
                  <w:pPr>
                    <w:kinsoku/>
                    <w:overflowPunct w:val="0"/>
                    <w:autoSpaceDE/>
                    <w:autoSpaceDN/>
                    <w:adjustRightInd/>
                    <w:snapToGrid/>
                    <w:jc w:val="center"/>
                    <w:rPr>
                      <w:rFonts w:ascii="Times New Roman" w:hAnsi="Times New Roman" w:eastAsia="宋体" w:cs="Times New Roman"/>
                      <w:bCs/>
                      <w:color w:val="auto"/>
                      <w:spacing w:val="-10"/>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bidi="ar"/>
                    </w:rPr>
                    <w:t>季</w:t>
                  </w:r>
                </w:p>
              </w:tc>
              <w:tc>
                <w:tcPr>
                  <w:tcW w:w="1687" w:type="pct"/>
                  <w:tcBorders>
                    <w:top w:val="single" w:color="auto" w:sz="4" w:space="0"/>
                    <w:left w:val="single" w:color="auto" w:sz="4" w:space="0"/>
                    <w:bottom w:val="single" w:color="auto" w:sz="4" w:space="0"/>
                    <w:right w:val="single" w:color="auto" w:sz="4" w:space="0"/>
                  </w:tcBorders>
                  <w:vAlign w:val="center"/>
                </w:tcPr>
                <w:p w14:paraId="6A5111F8">
                  <w:pPr>
                    <w:kinsoku/>
                    <w:overflowPunct w:val="0"/>
                    <w:autoSpaceDE/>
                    <w:autoSpaceDN/>
                    <w:adjustRightInd/>
                    <w:snapToGrid/>
                    <w:jc w:val="center"/>
                    <w:rPr>
                      <w:rFonts w:ascii="Times New Roman" w:hAnsi="Times New Roman" w:eastAsia="宋体" w:cs="Times New Roman"/>
                      <w:bCs/>
                      <w:color w:val="auto"/>
                      <w:spacing w:val="-10"/>
                      <w:lang w:eastAsia="zh-CN"/>
                    </w:rPr>
                  </w:pPr>
                  <w:r>
                    <w:rPr>
                      <w:rFonts w:hint="eastAsia" w:ascii="Times New Roman" w:hAnsi="Times New Roman" w:eastAsia="宋体" w:cs="Times New Roman"/>
                      <w:bCs/>
                      <w:color w:val="auto"/>
                      <w:spacing w:val="-10"/>
                      <w:lang w:eastAsia="zh-CN" w:bidi="ar"/>
                    </w:rPr>
                    <w:t>《工业企业厂界环境噪声排放标准》（</w:t>
                  </w:r>
                  <w:r>
                    <w:rPr>
                      <w:rFonts w:ascii="Times New Roman" w:hAnsi="Times New Roman" w:eastAsia="宋体" w:cs="Times New Roman"/>
                      <w:bCs/>
                      <w:color w:val="auto"/>
                      <w:spacing w:val="-10"/>
                      <w:lang w:eastAsia="zh-CN" w:bidi="ar"/>
                    </w:rPr>
                    <w:t>GB 12348-2008</w:t>
                  </w:r>
                  <w:r>
                    <w:rPr>
                      <w:rFonts w:hint="eastAsia" w:ascii="Times New Roman" w:hAnsi="Times New Roman" w:eastAsia="宋体" w:cs="Times New Roman"/>
                      <w:bCs/>
                      <w:color w:val="auto"/>
                      <w:spacing w:val="-10"/>
                      <w:lang w:eastAsia="zh-CN" w:bidi="ar"/>
                    </w:rPr>
                    <w:t>）2类标准</w:t>
                  </w:r>
                </w:p>
              </w:tc>
            </w:tr>
            <w:tr w14:paraId="4A78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70CF2FA2">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土壤</w:t>
                  </w:r>
                </w:p>
              </w:tc>
              <w:tc>
                <w:tcPr>
                  <w:tcW w:w="1196" w:type="pct"/>
                  <w:tcBorders>
                    <w:top w:val="single" w:color="auto" w:sz="4" w:space="0"/>
                    <w:left w:val="single" w:color="auto" w:sz="4" w:space="0"/>
                    <w:bottom w:val="single" w:color="auto" w:sz="4" w:space="0"/>
                    <w:right w:val="single" w:color="auto" w:sz="4" w:space="0"/>
                  </w:tcBorders>
                  <w:vAlign w:val="center"/>
                </w:tcPr>
                <w:p w14:paraId="576344FF">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厂区内原料堆</w:t>
                  </w:r>
                  <w:r>
                    <w:rPr>
                      <w:rFonts w:hint="eastAsia" w:cs="Times New Roman"/>
                      <w:color w:val="auto"/>
                      <w:lang w:val="en-US" w:eastAsia="zh-CN"/>
                    </w:rPr>
                    <w:t>场</w:t>
                  </w:r>
                  <w:r>
                    <w:rPr>
                      <w:rFonts w:hint="eastAsia" w:ascii="Times New Roman" w:hAnsi="Times New Roman" w:eastAsia="宋体" w:cs="Times New Roman"/>
                      <w:color w:val="auto"/>
                      <w:lang w:eastAsia="zh-CN"/>
                    </w:rPr>
                    <w:t>旁，1个（表层土壤：0~0.5m）</w:t>
                  </w:r>
                </w:p>
              </w:tc>
              <w:tc>
                <w:tcPr>
                  <w:tcW w:w="976" w:type="pct"/>
                  <w:tcBorders>
                    <w:top w:val="single" w:color="auto" w:sz="4" w:space="0"/>
                    <w:left w:val="single" w:color="auto" w:sz="4" w:space="0"/>
                    <w:bottom w:val="single" w:color="auto" w:sz="4" w:space="0"/>
                    <w:right w:val="single" w:color="auto" w:sz="4" w:space="0"/>
                  </w:tcBorders>
                  <w:vAlign w:val="center"/>
                </w:tcPr>
                <w:p w14:paraId="165AE140">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pH、铬、锌、铊、磷酸盐、氟化物</w:t>
                  </w:r>
                </w:p>
              </w:tc>
              <w:tc>
                <w:tcPr>
                  <w:tcW w:w="644" w:type="pct"/>
                  <w:tcBorders>
                    <w:top w:val="single" w:color="auto" w:sz="4" w:space="0"/>
                    <w:left w:val="single" w:color="auto" w:sz="4" w:space="0"/>
                    <w:bottom w:val="single" w:color="auto" w:sz="4" w:space="0"/>
                    <w:right w:val="single" w:color="auto" w:sz="4" w:space="0"/>
                  </w:tcBorders>
                  <w:vAlign w:val="center"/>
                </w:tcPr>
                <w:p w14:paraId="37801C55">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7" w:type="pct"/>
                  <w:tcBorders>
                    <w:top w:val="single" w:color="auto" w:sz="4" w:space="0"/>
                    <w:left w:val="single" w:color="auto" w:sz="4" w:space="0"/>
                    <w:bottom w:val="single" w:color="auto" w:sz="4" w:space="0"/>
                    <w:right w:val="single" w:color="auto" w:sz="4" w:space="0"/>
                  </w:tcBorders>
                  <w:vAlign w:val="center"/>
                </w:tcPr>
                <w:p w14:paraId="48CBB8AD">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《土壤环境质量建设用地土壤污染风险管控标准》（GB36600—2018）；不应高于初次监测的背景值</w:t>
                  </w:r>
                </w:p>
              </w:tc>
            </w:tr>
            <w:tr w14:paraId="3D89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94" w:type="pct"/>
                  <w:tcBorders>
                    <w:top w:val="single" w:color="auto" w:sz="4" w:space="0"/>
                    <w:left w:val="single" w:color="auto" w:sz="4" w:space="0"/>
                    <w:bottom w:val="single" w:color="auto" w:sz="4" w:space="0"/>
                    <w:right w:val="single" w:color="auto" w:sz="4" w:space="0"/>
                  </w:tcBorders>
                  <w:vAlign w:val="center"/>
                </w:tcPr>
                <w:p w14:paraId="12FED9FF">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地下水</w:t>
                  </w:r>
                </w:p>
              </w:tc>
              <w:tc>
                <w:tcPr>
                  <w:tcW w:w="1196" w:type="pct"/>
                  <w:tcBorders>
                    <w:top w:val="single" w:color="auto" w:sz="4" w:space="0"/>
                    <w:left w:val="single" w:color="auto" w:sz="4" w:space="0"/>
                    <w:bottom w:val="single" w:color="auto" w:sz="4" w:space="0"/>
                    <w:right w:val="single" w:color="auto" w:sz="4" w:space="0"/>
                  </w:tcBorders>
                  <w:vAlign w:val="center"/>
                </w:tcPr>
                <w:p w14:paraId="55FDCE06">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东南侧地下水监测井</w:t>
                  </w:r>
                </w:p>
              </w:tc>
              <w:tc>
                <w:tcPr>
                  <w:tcW w:w="976" w:type="pct"/>
                  <w:tcBorders>
                    <w:top w:val="single" w:color="auto" w:sz="4" w:space="0"/>
                    <w:left w:val="single" w:color="auto" w:sz="4" w:space="0"/>
                    <w:bottom w:val="single" w:color="auto" w:sz="4" w:space="0"/>
                    <w:right w:val="single" w:color="auto" w:sz="4" w:space="0"/>
                  </w:tcBorders>
                  <w:vAlign w:val="center"/>
                </w:tcPr>
                <w:p w14:paraId="04D5937A">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pH、总磷、氟化物、砷、铅、镉、汞、铬和硫酸盐</w:t>
                  </w:r>
                </w:p>
              </w:tc>
              <w:tc>
                <w:tcPr>
                  <w:tcW w:w="644" w:type="pct"/>
                  <w:tcBorders>
                    <w:top w:val="single" w:color="auto" w:sz="4" w:space="0"/>
                    <w:left w:val="single" w:color="auto" w:sz="4" w:space="0"/>
                    <w:bottom w:val="single" w:color="auto" w:sz="4" w:space="0"/>
                    <w:right w:val="single" w:color="auto" w:sz="4" w:space="0"/>
                  </w:tcBorders>
                  <w:vAlign w:val="center"/>
                </w:tcPr>
                <w:p w14:paraId="108753E3">
                  <w:pPr>
                    <w:kinsoku/>
                    <w:overflowPunct w:val="0"/>
                    <w:autoSpaceDE/>
                    <w:autoSpaceDN/>
                    <w:adjustRightInd/>
                    <w:snapToGrid/>
                    <w:jc w:val="center"/>
                    <w:rPr>
                      <w:rFonts w:ascii="Times New Roman" w:hAnsi="Times New Roman" w:eastAsia="宋体" w:cs="Times New Roman"/>
                      <w:bCs/>
                      <w:color w:val="auto"/>
                      <w:spacing w:val="-10"/>
                      <w:lang w:bidi="ar"/>
                    </w:rPr>
                  </w:pPr>
                  <w:r>
                    <w:rPr>
                      <w:rFonts w:ascii="Times New Roman" w:hAnsi="Times New Roman" w:eastAsia="宋体" w:cs="Times New Roman"/>
                      <w:bCs/>
                      <w:color w:val="auto"/>
                      <w:spacing w:val="-10"/>
                      <w:lang w:bidi="ar"/>
                    </w:rPr>
                    <w:t>1</w:t>
                  </w:r>
                  <w:r>
                    <w:rPr>
                      <w:rFonts w:hint="eastAsia" w:ascii="Times New Roman" w:hAnsi="Times New Roman" w:eastAsia="宋体" w:cs="Times New Roman"/>
                      <w:bCs/>
                      <w:color w:val="auto"/>
                      <w:spacing w:val="-10"/>
                      <w:lang w:bidi="ar"/>
                    </w:rPr>
                    <w:t>次</w:t>
                  </w:r>
                  <w:r>
                    <w:rPr>
                      <w:rFonts w:ascii="Times New Roman" w:hAnsi="Times New Roman" w:eastAsia="宋体" w:cs="Times New Roman"/>
                      <w:bCs/>
                      <w:color w:val="auto"/>
                      <w:spacing w:val="-10"/>
                      <w:lang w:bidi="ar"/>
                    </w:rPr>
                    <w:t>/</w:t>
                  </w:r>
                  <w:r>
                    <w:rPr>
                      <w:rFonts w:hint="eastAsia" w:ascii="Times New Roman" w:hAnsi="Times New Roman" w:eastAsia="宋体" w:cs="Times New Roman"/>
                      <w:bCs/>
                      <w:color w:val="auto"/>
                      <w:spacing w:val="-10"/>
                      <w:lang w:eastAsia="zh-CN" w:bidi="ar"/>
                    </w:rPr>
                    <w:t>年</w:t>
                  </w:r>
                </w:p>
              </w:tc>
              <w:tc>
                <w:tcPr>
                  <w:tcW w:w="1687" w:type="pct"/>
                  <w:tcBorders>
                    <w:top w:val="single" w:color="auto" w:sz="4" w:space="0"/>
                    <w:left w:val="single" w:color="auto" w:sz="4" w:space="0"/>
                    <w:bottom w:val="single" w:color="auto" w:sz="4" w:space="0"/>
                    <w:right w:val="single" w:color="auto" w:sz="4" w:space="0"/>
                  </w:tcBorders>
                  <w:vAlign w:val="center"/>
                </w:tcPr>
                <w:p w14:paraId="32A9F785">
                  <w:pPr>
                    <w:kinsoku/>
                    <w:overflowPunct w:val="0"/>
                    <w:autoSpaceDE/>
                    <w:autoSpaceDN/>
                    <w:adjustRightInd/>
                    <w:snapToGrid/>
                    <w:jc w:val="center"/>
                    <w:rPr>
                      <w:rFonts w:ascii="Times New Roman" w:hAnsi="Times New Roman" w:eastAsia="宋体" w:cs="Times New Roman"/>
                      <w:bCs/>
                      <w:color w:val="auto"/>
                      <w:spacing w:val="-10"/>
                      <w:lang w:eastAsia="zh-CN" w:bidi="ar"/>
                    </w:rPr>
                  </w:pPr>
                  <w:r>
                    <w:rPr>
                      <w:rFonts w:hint="eastAsia" w:ascii="Times New Roman" w:hAnsi="Times New Roman" w:eastAsia="宋体" w:cs="Times New Roman"/>
                      <w:bCs/>
                      <w:color w:val="auto"/>
                      <w:spacing w:val="-10"/>
                      <w:lang w:eastAsia="zh-CN" w:bidi="ar"/>
                    </w:rPr>
                    <w:t>《地下水质量标准》（GB/T14848-2017）中的Ⅲ类标准；不应高于初次监测的背景值</w:t>
                  </w:r>
                </w:p>
              </w:tc>
            </w:tr>
          </w:tbl>
          <w:p w14:paraId="5BD3313C">
            <w:pPr>
              <w:pStyle w:val="30"/>
              <w:widowControl/>
              <w:kinsoku/>
              <w:overflowPunct w:val="0"/>
              <w:autoSpaceDE/>
              <w:autoSpaceDN/>
              <w:adjustRightInd/>
              <w:snapToGrid/>
              <w:spacing w:line="360" w:lineRule="auto"/>
              <w:ind w:firstLine="482" w:firstLineChars="200"/>
              <w:jc w:val="both"/>
              <w:rPr>
                <w:rFonts w:ascii="Times New Roman" w:hAnsi="Times New Roman" w:eastAsia="宋体" w:cs="Times New Roman"/>
                <w:color w:val="auto"/>
                <w:sz w:val="24"/>
                <w:szCs w:val="24"/>
                <w:lang w:eastAsia="zh-CN"/>
              </w:rPr>
            </w:pPr>
            <w:r>
              <w:rPr>
                <w:rFonts w:hint="eastAsia" w:ascii="Times New Roman" w:hAnsi="Times New Roman" w:eastAsia="宋体" w:cs="Times New Roman"/>
                <w:b/>
                <w:bCs/>
                <w:color w:val="auto"/>
                <w:sz w:val="24"/>
                <w:szCs w:val="24"/>
                <w:lang w:eastAsia="zh-CN"/>
              </w:rPr>
              <w:t>九</w:t>
            </w:r>
            <w:r>
              <w:rPr>
                <w:rFonts w:ascii="Times New Roman" w:hAnsi="Times New Roman" w:eastAsia="宋体" w:cs="Times New Roman"/>
                <w:b/>
                <w:bCs/>
                <w:color w:val="auto"/>
                <w:sz w:val="24"/>
                <w:szCs w:val="24"/>
                <w:lang w:eastAsia="zh-CN"/>
              </w:rPr>
              <w:t>、竣工环境验收</w:t>
            </w:r>
          </w:p>
          <w:p w14:paraId="5014A0D0">
            <w:pPr>
              <w:pStyle w:val="30"/>
              <w:widowControl/>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lang w:eastAsia="zh-CN"/>
              </w:rPr>
            </w:pPr>
            <w:r>
              <w:rPr>
                <w:rFonts w:ascii="Times New Roman" w:hAnsi="Times New Roman" w:eastAsia="宋体" w:cs="Times New Roman"/>
                <w:color w:val="auto"/>
                <w:sz w:val="24"/>
                <w:lang w:eastAsia="zh-CN"/>
              </w:rPr>
              <w:t>项目建成后，建设单位应按照《建设项目竣工环境保护验收暂行办法》（国环规环评〔2017〕4号）、《建设项目竣工环境保护验收技术指南污染影响类》的公告（公告2018年第9号）中的有关规定，建设单位作为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现按照国家和云南省的有关规定，提出了竣工环境保护验收一览表，详见</w:t>
            </w:r>
            <w:r>
              <w:rPr>
                <w:rFonts w:hint="eastAsia" w:ascii="Times New Roman" w:hAnsi="Times New Roman" w:eastAsia="宋体" w:cs="Times New Roman"/>
                <w:color w:val="auto"/>
                <w:sz w:val="24"/>
                <w:lang w:eastAsia="zh-CN"/>
              </w:rPr>
              <w:t>下</w:t>
            </w:r>
            <w:r>
              <w:rPr>
                <w:rFonts w:ascii="Times New Roman" w:hAnsi="Times New Roman" w:eastAsia="宋体" w:cs="Times New Roman"/>
                <w:color w:val="auto"/>
                <w:sz w:val="24"/>
                <w:lang w:eastAsia="zh-CN"/>
              </w:rPr>
              <w:t>表</w:t>
            </w:r>
            <w:r>
              <w:rPr>
                <w:rFonts w:hint="eastAsia" w:ascii="Times New Roman" w:hAnsi="Times New Roman" w:eastAsia="宋体" w:cs="Times New Roman"/>
                <w:color w:val="auto"/>
                <w:sz w:val="24"/>
                <w:lang w:eastAsia="zh-CN"/>
              </w:rPr>
              <w:t>：</w:t>
            </w:r>
          </w:p>
          <w:p w14:paraId="426A397C">
            <w:pPr>
              <w:widowControl/>
              <w:kinsoku/>
              <w:overflowPunct w:val="0"/>
              <w:autoSpaceDE/>
              <w:autoSpaceDN/>
              <w:adjustRightInd/>
              <w:snapToGrid/>
              <w:spacing w:line="240" w:lineRule="auto"/>
              <w:ind w:leftChars="0" w:rightChars="0"/>
              <w:jc w:val="center"/>
              <w:rPr>
                <w:rFonts w:ascii="Times New Roman" w:hAnsi="Times New Roman" w:eastAsia="宋体" w:cs="Times New Roman"/>
                <w:b/>
                <w:bCs/>
                <w:color w:val="auto"/>
                <w:sz w:val="24"/>
                <w:szCs w:val="32"/>
                <w:lang w:eastAsia="zh-CN"/>
              </w:rPr>
            </w:pPr>
            <w:r>
              <w:rPr>
                <w:rFonts w:hint="eastAsia" w:ascii="Times New Roman" w:hAnsi="Times New Roman" w:eastAsia="宋体" w:cs="Times New Roman"/>
                <w:b/>
                <w:bCs/>
                <w:color w:val="auto"/>
                <w:sz w:val="24"/>
                <w:szCs w:val="32"/>
                <w:lang w:eastAsia="zh-CN"/>
              </w:rPr>
              <w:t>表4-2</w:t>
            </w:r>
            <w:r>
              <w:rPr>
                <w:rFonts w:hint="eastAsia" w:cs="Times New Roman"/>
                <w:b/>
                <w:bCs/>
                <w:color w:val="auto"/>
                <w:sz w:val="24"/>
                <w:szCs w:val="32"/>
                <w:lang w:val="en-US" w:eastAsia="zh-CN"/>
              </w:rPr>
              <w:t>7</w:t>
            </w:r>
            <w:r>
              <w:rPr>
                <w:rFonts w:hint="eastAsia" w:ascii="Times New Roman" w:hAnsi="Times New Roman" w:eastAsia="宋体" w:cs="Times New Roman"/>
                <w:b/>
                <w:bCs/>
                <w:color w:val="auto"/>
                <w:sz w:val="24"/>
                <w:szCs w:val="32"/>
                <w:lang w:eastAsia="zh-CN"/>
              </w:rPr>
              <w:t>环保“三同时”竣工验收一览表</w:t>
            </w:r>
          </w:p>
          <w:tbl>
            <w:tblPr>
              <w:tblStyle w:val="19"/>
              <w:tblpPr w:leftFromText="180" w:rightFromText="180" w:vertAnchor="text" w:horzAnchor="page" w:tblpXSpec="center" w:tblpY="54"/>
              <w:tblOverlap w:val="never"/>
              <w:tblW w:w="83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376"/>
              <w:gridCol w:w="3620"/>
              <w:gridCol w:w="2877"/>
            </w:tblGrid>
            <w:tr w14:paraId="06CA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gridSpan w:val="2"/>
                  <w:vAlign w:val="center"/>
                </w:tcPr>
                <w:p w14:paraId="002C0F6F">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验收项目</w:t>
                  </w:r>
                </w:p>
              </w:tc>
              <w:tc>
                <w:tcPr>
                  <w:tcW w:w="2157" w:type="pct"/>
                  <w:vAlign w:val="center"/>
                </w:tcPr>
                <w:p w14:paraId="3558D072">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验收内容</w:t>
                  </w:r>
                </w:p>
              </w:tc>
              <w:tc>
                <w:tcPr>
                  <w:tcW w:w="1714" w:type="pct"/>
                  <w:vAlign w:val="center"/>
                </w:tcPr>
                <w:p w14:paraId="2B4164F5">
                  <w:pPr>
                    <w:kinsoku/>
                    <w:overflowPunct w:val="0"/>
                    <w:autoSpaceDE/>
                    <w:autoSpaceDN/>
                    <w:adjustRightInd/>
                    <w:snapToGrid/>
                    <w:jc w:val="center"/>
                    <w:rPr>
                      <w:rFonts w:ascii="Times New Roman" w:hAnsi="Times New Roman" w:eastAsia="宋体" w:cs="Times New Roman"/>
                      <w:b/>
                      <w:bCs/>
                      <w:color w:val="auto"/>
                    </w:rPr>
                  </w:pPr>
                  <w:r>
                    <w:rPr>
                      <w:rFonts w:ascii="Times New Roman" w:hAnsi="Times New Roman" w:eastAsia="宋体" w:cs="Times New Roman"/>
                      <w:b/>
                      <w:bCs/>
                      <w:color w:val="auto"/>
                    </w:rPr>
                    <w:t>验收要求</w:t>
                  </w:r>
                </w:p>
              </w:tc>
            </w:tr>
            <w:tr w14:paraId="10A0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2D502B75">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废气</w:t>
                  </w:r>
                </w:p>
              </w:tc>
              <w:tc>
                <w:tcPr>
                  <w:tcW w:w="820" w:type="pct"/>
                  <w:vAlign w:val="center"/>
                </w:tcPr>
                <w:p w14:paraId="779FF3B4">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lang w:eastAsia="zh-CN"/>
                    </w:rPr>
                    <w:t>搅拌粉尘</w:t>
                  </w:r>
                </w:p>
              </w:tc>
              <w:tc>
                <w:tcPr>
                  <w:tcW w:w="2157" w:type="pct"/>
                  <w:vAlign w:val="center"/>
                </w:tcPr>
                <w:p w14:paraId="4E55362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经废气管道引至布袋除尘器处理（风量</w:t>
                  </w:r>
                  <w:r>
                    <w:rPr>
                      <w:rFonts w:hint="eastAsia" w:cs="Times New Roman"/>
                      <w:color w:val="auto"/>
                      <w:lang w:val="en-US" w:eastAsia="zh-CN"/>
                    </w:rPr>
                    <w:t>5</w:t>
                  </w:r>
                  <w:r>
                    <w:rPr>
                      <w:rFonts w:hint="eastAsia" w:ascii="Times New Roman" w:hAnsi="Times New Roman" w:eastAsia="宋体" w:cs="Times New Roman"/>
                      <w:color w:val="auto"/>
                      <w:lang w:eastAsia="zh-CN"/>
                    </w:rPr>
                    <w:t>000m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/h，处理效率99%）后通过排气筒（DA001）排放</w:t>
                  </w:r>
                </w:p>
              </w:tc>
              <w:tc>
                <w:tcPr>
                  <w:tcW w:w="1714" w:type="pct"/>
                  <w:vMerge w:val="restart"/>
                  <w:vAlign w:val="center"/>
                </w:tcPr>
                <w:p w14:paraId="360C4ADE">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《大气污染物综合排放标准》（GB16297-1996）表2中有组织最高允许排放浓度限值</w:t>
                  </w:r>
                </w:p>
              </w:tc>
            </w:tr>
            <w:tr w14:paraId="66926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0EFEE2C1">
                  <w:pPr>
                    <w:kinsoku/>
                    <w:overflowPunct w:val="0"/>
                    <w:autoSpaceDE/>
                    <w:autoSpaceDN/>
                    <w:adjustRightInd/>
                    <w:snapToGrid/>
                    <w:jc w:val="center"/>
                    <w:rPr>
                      <w:rFonts w:ascii="Times New Roman" w:hAnsi="Times New Roman" w:eastAsia="宋体" w:cs="Times New Roman"/>
                      <w:color w:val="auto"/>
                    </w:rPr>
                  </w:pPr>
                </w:p>
              </w:tc>
              <w:tc>
                <w:tcPr>
                  <w:tcW w:w="820" w:type="pct"/>
                  <w:vAlign w:val="center"/>
                </w:tcPr>
                <w:p w14:paraId="742BB3E9">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筒仓</w:t>
                  </w:r>
                  <w:r>
                    <w:rPr>
                      <w:rFonts w:hint="eastAsia" w:ascii="Times New Roman" w:hAnsi="Times New Roman" w:eastAsia="宋体" w:cs="Times New Roman"/>
                      <w:color w:val="auto"/>
                    </w:rPr>
                    <w:t>粉尘</w:t>
                  </w:r>
                </w:p>
              </w:tc>
              <w:tc>
                <w:tcPr>
                  <w:tcW w:w="2157" w:type="pct"/>
                  <w:vAlign w:val="center"/>
                </w:tcPr>
                <w:p w14:paraId="50F8AA87">
                  <w:pPr>
                    <w:kinsoku/>
                    <w:overflowPunct w:val="0"/>
                    <w:autoSpaceDE/>
                    <w:autoSpaceDN/>
                    <w:adjustRightInd/>
                    <w:snapToGrid/>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经过筒仓自带的脉冲除尘器（99%）处理后由排气筒（DA002）排放。</w:t>
                  </w:r>
                </w:p>
              </w:tc>
              <w:tc>
                <w:tcPr>
                  <w:tcW w:w="1714" w:type="pct"/>
                  <w:vMerge w:val="continue"/>
                  <w:vAlign w:val="center"/>
                </w:tcPr>
                <w:p w14:paraId="2C43CF32">
                  <w:pPr>
                    <w:kinsoku/>
                    <w:overflowPunct w:val="0"/>
                    <w:autoSpaceDE/>
                    <w:autoSpaceDN/>
                    <w:adjustRightInd/>
                    <w:snapToGrid/>
                    <w:jc w:val="center"/>
                    <w:rPr>
                      <w:rFonts w:ascii="Times New Roman" w:hAnsi="Times New Roman" w:eastAsia="宋体" w:cs="Times New Roman"/>
                      <w:bCs/>
                      <w:color w:val="auto"/>
                      <w:lang w:eastAsia="zh-CN"/>
                    </w:rPr>
                  </w:pPr>
                </w:p>
              </w:tc>
            </w:tr>
            <w:tr w14:paraId="785A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308" w:type="pct"/>
                  <w:vMerge w:val="continue"/>
                  <w:vAlign w:val="center"/>
                </w:tcPr>
                <w:p w14:paraId="7093C41E">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Merge w:val="restart"/>
                  <w:vAlign w:val="center"/>
                </w:tcPr>
                <w:p w14:paraId="66964280">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上料粉尘、出料粉尘</w:t>
                  </w:r>
                </w:p>
              </w:tc>
              <w:tc>
                <w:tcPr>
                  <w:tcW w:w="2157" w:type="pct"/>
                  <w:vMerge w:val="restart"/>
                  <w:vAlign w:val="center"/>
                </w:tcPr>
                <w:p w14:paraId="2D820DB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经集气罩收集后引至布袋除尘器处理（风量</w:t>
                  </w:r>
                  <w:r>
                    <w:rPr>
                      <w:rFonts w:hint="eastAsia" w:cs="Times New Roman"/>
                      <w:color w:val="auto"/>
                      <w:lang w:val="en-US" w:eastAsia="zh-CN"/>
                    </w:rPr>
                    <w:t>5</w:t>
                  </w:r>
                  <w:r>
                    <w:rPr>
                      <w:rFonts w:hint="eastAsia" w:ascii="Times New Roman" w:hAnsi="Times New Roman" w:eastAsia="宋体" w:cs="Times New Roman"/>
                      <w:color w:val="auto"/>
                      <w:lang w:eastAsia="zh-CN"/>
                    </w:rPr>
                    <w:t>000m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/h，处理效率99%）后通过排气筒（DA001）排放，未被收集部分在厂房内无组织排放</w:t>
                  </w:r>
                </w:p>
              </w:tc>
              <w:tc>
                <w:tcPr>
                  <w:tcW w:w="1714" w:type="pct"/>
                  <w:vMerge w:val="continue"/>
                  <w:vAlign w:val="center"/>
                </w:tcPr>
                <w:p w14:paraId="7155819E">
                  <w:pPr>
                    <w:kinsoku/>
                    <w:overflowPunct w:val="0"/>
                    <w:autoSpaceDE/>
                    <w:autoSpaceDN/>
                    <w:adjustRightInd/>
                    <w:snapToGrid/>
                    <w:jc w:val="center"/>
                    <w:rPr>
                      <w:rFonts w:ascii="Times New Roman" w:hAnsi="Times New Roman" w:eastAsia="宋体" w:cs="Times New Roman"/>
                      <w:bCs/>
                      <w:color w:val="auto"/>
                      <w:lang w:eastAsia="zh-CN"/>
                    </w:rPr>
                  </w:pPr>
                </w:p>
              </w:tc>
            </w:tr>
            <w:tr w14:paraId="6A0F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8" w:type="pct"/>
                  <w:vMerge w:val="continue"/>
                  <w:vAlign w:val="center"/>
                </w:tcPr>
                <w:p w14:paraId="428FDE32">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Merge w:val="continue"/>
                  <w:vAlign w:val="center"/>
                </w:tcPr>
                <w:p w14:paraId="244BF8C3">
                  <w:pPr>
                    <w:kinsoku/>
                    <w:overflowPunct w:val="0"/>
                    <w:autoSpaceDE/>
                    <w:autoSpaceDN/>
                    <w:adjustRightInd/>
                    <w:snapToGrid/>
                    <w:jc w:val="center"/>
                    <w:rPr>
                      <w:rFonts w:ascii="Times New Roman" w:hAnsi="Times New Roman" w:eastAsia="宋体" w:cs="Times New Roman"/>
                      <w:color w:val="auto"/>
                      <w:lang w:eastAsia="zh-CN"/>
                    </w:rPr>
                  </w:pPr>
                </w:p>
              </w:tc>
              <w:tc>
                <w:tcPr>
                  <w:tcW w:w="2157" w:type="pct"/>
                  <w:vMerge w:val="continue"/>
                  <w:vAlign w:val="center"/>
                </w:tcPr>
                <w:p w14:paraId="11930717">
                  <w:pPr>
                    <w:kinsoku/>
                    <w:overflowPunct w:val="0"/>
                    <w:autoSpaceDE/>
                    <w:autoSpaceDN/>
                    <w:adjustRightInd/>
                    <w:snapToGrid/>
                    <w:jc w:val="center"/>
                    <w:rPr>
                      <w:rFonts w:ascii="Times New Roman" w:hAnsi="Times New Roman" w:eastAsia="宋体" w:cs="Times New Roman"/>
                      <w:color w:val="auto"/>
                      <w:lang w:eastAsia="zh-CN"/>
                    </w:rPr>
                  </w:pPr>
                </w:p>
              </w:tc>
              <w:tc>
                <w:tcPr>
                  <w:tcW w:w="1714" w:type="pct"/>
                  <w:vMerge w:val="restart"/>
                  <w:vAlign w:val="center"/>
                </w:tcPr>
                <w:p w14:paraId="5083C450">
                  <w:pPr>
                    <w:kinsoku/>
                    <w:overflowPunct w:val="0"/>
                    <w:autoSpaceDE/>
                    <w:autoSpaceDN/>
                    <w:adjustRightInd/>
                    <w:snapToGrid/>
                    <w:jc w:val="center"/>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《大气污染物综合排放标准》（GB16297-1996）表2中无组织排放监控浓度限值</w:t>
                  </w:r>
                </w:p>
              </w:tc>
            </w:tr>
            <w:tr w14:paraId="57584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5BBB09F5">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Align w:val="center"/>
                </w:tcPr>
                <w:p w14:paraId="3179F5B0">
                  <w:pPr>
                    <w:kinsoku/>
                    <w:overflowPunct w:val="0"/>
                    <w:autoSpaceDE/>
                    <w:autoSpaceDN/>
                    <w:adjustRightInd/>
                    <w:snapToGrid/>
                    <w:jc w:val="center"/>
                    <w:rPr>
                      <w:rFonts w:ascii="Times New Roman" w:hAnsi="Times New Roman" w:eastAsia="宋体" w:cs="Times New Roman"/>
                      <w:color w:val="auto"/>
                    </w:rPr>
                  </w:pPr>
                  <w:r>
                    <w:rPr>
                      <w:rFonts w:hint="eastAsia" w:cs="Times New Roman"/>
                      <w:color w:val="auto"/>
                      <w:lang w:eastAsia="zh-CN"/>
                    </w:rPr>
                    <w:t>堆场扬尘</w:t>
                  </w:r>
                </w:p>
              </w:tc>
              <w:tc>
                <w:tcPr>
                  <w:tcW w:w="2157" w:type="pct"/>
                  <w:vAlign w:val="center"/>
                </w:tcPr>
                <w:p w14:paraId="2ED33A2E">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设置封闭厂房</w:t>
                  </w:r>
                  <w:r>
                    <w:rPr>
                      <w:rFonts w:ascii="Times New Roman" w:hAnsi="Times New Roman" w:eastAsia="宋体" w:cs="Times New Roman"/>
                      <w:color w:val="auto"/>
                      <w:lang w:eastAsia="zh-CN"/>
                    </w:rPr>
                    <w:t>，地面硬化，</w:t>
                  </w:r>
                  <w:r>
                    <w:rPr>
                      <w:rFonts w:hint="eastAsia" w:ascii="Times New Roman" w:hAnsi="Times New Roman" w:eastAsia="宋体" w:cs="Times New Roman"/>
                      <w:color w:val="auto"/>
                      <w:lang w:eastAsia="zh-CN"/>
                    </w:rPr>
                    <w:t>厂房出入口及顶棚出气口</w:t>
                  </w:r>
                  <w:r>
                    <w:rPr>
                      <w:rFonts w:ascii="Times New Roman" w:hAnsi="Times New Roman" w:eastAsia="宋体" w:cs="Times New Roman"/>
                      <w:color w:val="auto"/>
                      <w:lang w:eastAsia="zh-CN"/>
                    </w:rPr>
                    <w:t>设置喷雾降尘设施</w:t>
                  </w:r>
                </w:p>
              </w:tc>
              <w:tc>
                <w:tcPr>
                  <w:tcW w:w="1714" w:type="pct"/>
                  <w:vMerge w:val="continue"/>
                  <w:vAlign w:val="center"/>
                </w:tcPr>
                <w:p w14:paraId="786BB6FF">
                  <w:pPr>
                    <w:kinsoku/>
                    <w:overflowPunct w:val="0"/>
                    <w:autoSpaceDE/>
                    <w:autoSpaceDN/>
                    <w:adjustRightInd/>
                    <w:snapToGrid/>
                    <w:jc w:val="center"/>
                    <w:rPr>
                      <w:rFonts w:ascii="Times New Roman" w:hAnsi="Times New Roman" w:eastAsia="宋体" w:cs="Times New Roman"/>
                      <w:bCs/>
                      <w:color w:val="auto"/>
                      <w:lang w:eastAsia="zh-CN"/>
                    </w:rPr>
                  </w:pPr>
                </w:p>
              </w:tc>
            </w:tr>
            <w:tr w14:paraId="510AD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71DB57F0">
                  <w:pPr>
                    <w:kinsoku/>
                    <w:overflowPunct w:val="0"/>
                    <w:autoSpaceDE/>
                    <w:autoSpaceDN/>
                    <w:adjustRightInd/>
                    <w:snapToGrid/>
                    <w:jc w:val="center"/>
                    <w:rPr>
                      <w:rFonts w:ascii="Times New Roman" w:hAnsi="Times New Roman" w:eastAsia="宋体" w:cs="Times New Roman"/>
                      <w:color w:val="auto"/>
                      <w:lang w:eastAsia="zh-CN"/>
                    </w:rPr>
                  </w:pPr>
                </w:p>
              </w:tc>
              <w:tc>
                <w:tcPr>
                  <w:tcW w:w="820" w:type="pct"/>
                  <w:vAlign w:val="center"/>
                </w:tcPr>
                <w:p w14:paraId="06C98116">
                  <w:pPr>
                    <w:kinsoku/>
                    <w:overflowPunct w:val="0"/>
                    <w:autoSpaceDE/>
                    <w:autoSpaceDN/>
                    <w:adjustRightInd/>
                    <w:snapToGrid/>
                    <w:jc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rPr>
                    <w:t>运输扬尘</w:t>
                  </w:r>
                </w:p>
              </w:tc>
              <w:tc>
                <w:tcPr>
                  <w:tcW w:w="2157" w:type="pct"/>
                  <w:vAlign w:val="center"/>
                </w:tcPr>
                <w:p w14:paraId="7B69D5DF">
                  <w:pPr>
                    <w:kinsoku/>
                    <w:overflowPunct w:val="0"/>
                    <w:autoSpaceDE/>
                    <w:autoSpaceDN/>
                    <w:adjustRightInd/>
                    <w:snapToGrid/>
                    <w:jc w:val="center"/>
                    <w:rPr>
                      <w:rFonts w:ascii="Times New Roman" w:hAnsi="Times New Roman" w:eastAsia="宋体" w:cs="Times New Roman"/>
                      <w:color w:val="auto"/>
                      <w:kern w:val="2"/>
                      <w:lang w:eastAsia="zh-CN"/>
                    </w:rPr>
                  </w:pPr>
                  <w:r>
                    <w:rPr>
                      <w:rFonts w:hint="eastAsia" w:ascii="Times New Roman" w:hAnsi="Times New Roman" w:eastAsia="宋体" w:cs="Times New Roman"/>
                      <w:color w:val="auto"/>
                      <w:lang w:eastAsia="zh-CN"/>
                    </w:rPr>
                    <w:t>洒水降尘</w:t>
                  </w:r>
                </w:p>
              </w:tc>
              <w:tc>
                <w:tcPr>
                  <w:tcW w:w="1714" w:type="pct"/>
                  <w:vMerge w:val="continue"/>
                  <w:vAlign w:val="center"/>
                </w:tcPr>
                <w:p w14:paraId="263EC4A6">
                  <w:pPr>
                    <w:kinsoku/>
                    <w:overflowPunct w:val="0"/>
                    <w:autoSpaceDE/>
                    <w:autoSpaceDN/>
                    <w:adjustRightInd/>
                    <w:snapToGrid/>
                    <w:jc w:val="center"/>
                    <w:rPr>
                      <w:rFonts w:ascii="Times New Roman" w:hAnsi="Times New Roman" w:eastAsia="宋体" w:cs="Times New Roman"/>
                      <w:bCs/>
                      <w:color w:val="auto"/>
                    </w:rPr>
                  </w:pPr>
                </w:p>
              </w:tc>
            </w:tr>
            <w:tr w14:paraId="5C11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82E77D8">
                  <w:pPr>
                    <w:kinsoku/>
                    <w:overflowPunct w:val="0"/>
                    <w:autoSpaceDE/>
                    <w:autoSpaceDN/>
                    <w:adjustRightInd/>
                    <w:snapToGrid/>
                    <w:jc w:val="center"/>
                    <w:rPr>
                      <w:rFonts w:ascii="Times New Roman" w:hAnsi="Times New Roman" w:eastAsia="宋体" w:cs="Times New Roman"/>
                      <w:color w:val="auto"/>
                    </w:rPr>
                  </w:pPr>
                </w:p>
              </w:tc>
              <w:tc>
                <w:tcPr>
                  <w:tcW w:w="820" w:type="pct"/>
                  <w:vAlign w:val="center"/>
                </w:tcPr>
                <w:p w14:paraId="19B85FFB">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皮带输送粉尘</w:t>
                  </w:r>
                </w:p>
              </w:tc>
              <w:tc>
                <w:tcPr>
                  <w:tcW w:w="2157" w:type="pct"/>
                  <w:vAlign w:val="center"/>
                </w:tcPr>
                <w:p w14:paraId="5146D0B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设置</w:t>
                  </w:r>
                  <w:r>
                    <w:rPr>
                      <w:rFonts w:hint="eastAsia" w:cs="Times New Roman"/>
                      <w:color w:val="auto"/>
                      <w:lang w:val="en-US" w:eastAsia="zh-CN"/>
                    </w:rPr>
                    <w:t>3条</w:t>
                  </w:r>
                  <w:r>
                    <w:rPr>
                      <w:rFonts w:hint="eastAsia" w:ascii="Times New Roman" w:hAnsi="Times New Roman" w:eastAsia="宋体" w:cs="Times New Roman"/>
                      <w:color w:val="auto"/>
                      <w:lang w:eastAsia="zh-CN"/>
                    </w:rPr>
                    <w:t>密闭皮带用于输送物料</w:t>
                  </w:r>
                </w:p>
              </w:tc>
              <w:tc>
                <w:tcPr>
                  <w:tcW w:w="1714" w:type="pct"/>
                  <w:vMerge w:val="continue"/>
                  <w:vAlign w:val="center"/>
                </w:tcPr>
                <w:p w14:paraId="24C2B11D">
                  <w:pPr>
                    <w:kinsoku/>
                    <w:overflowPunct w:val="0"/>
                    <w:autoSpaceDE/>
                    <w:autoSpaceDN/>
                    <w:adjustRightInd/>
                    <w:snapToGrid/>
                    <w:jc w:val="center"/>
                    <w:rPr>
                      <w:rFonts w:ascii="Times New Roman" w:hAnsi="Times New Roman" w:eastAsia="宋体" w:cs="Times New Roman"/>
                      <w:bCs/>
                      <w:color w:val="auto"/>
                      <w:lang w:eastAsia="zh-CN"/>
                    </w:rPr>
                  </w:pPr>
                </w:p>
              </w:tc>
            </w:tr>
            <w:tr w14:paraId="562D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1962DFF">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196F4B4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食堂油烟</w:t>
                  </w:r>
                </w:p>
              </w:tc>
              <w:tc>
                <w:tcPr>
                  <w:tcW w:w="2157" w:type="pct"/>
                  <w:vAlign w:val="center"/>
                </w:tcPr>
                <w:p w14:paraId="5DA7D31C">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安装的</w:t>
                  </w:r>
                  <w:r>
                    <w:rPr>
                      <w:rFonts w:ascii="Times New Roman" w:hAnsi="Times New Roman" w:eastAsia="宋体" w:cs="Times New Roman"/>
                      <w:color w:val="auto"/>
                      <w:lang w:eastAsia="zh-CN"/>
                    </w:rPr>
                    <w:t>1套风量为</w:t>
                  </w:r>
                  <w:r>
                    <w:rPr>
                      <w:rFonts w:hint="eastAsia" w:ascii="Times New Roman" w:hAnsi="Times New Roman" w:eastAsia="宋体" w:cs="Times New Roman"/>
                      <w:color w:val="auto"/>
                      <w:lang w:eastAsia="zh-CN"/>
                    </w:rPr>
                    <w:t>15</w:t>
                  </w:r>
                  <w:r>
                    <w:rPr>
                      <w:rFonts w:ascii="Times New Roman" w:hAnsi="Times New Roman" w:eastAsia="宋体" w:cs="Times New Roman"/>
                      <w:color w:val="auto"/>
                      <w:lang w:eastAsia="zh-CN"/>
                    </w:rPr>
                    <w:t>00m</w:t>
                  </w:r>
                  <w:r>
                    <w:rPr>
                      <w:rFonts w:ascii="Times New Roman" w:hAnsi="Times New Roman" w:eastAsia="宋体" w:cs="Times New Roman"/>
                      <w:color w:val="auto"/>
                      <w:vertAlign w:val="superscript"/>
                      <w:lang w:eastAsia="zh-CN"/>
                    </w:rPr>
                    <w:t>3</w:t>
                  </w:r>
                  <w:r>
                    <w:rPr>
                      <w:rFonts w:ascii="Times New Roman" w:hAnsi="Times New Roman" w:eastAsia="宋体" w:cs="Times New Roman"/>
                      <w:color w:val="auto"/>
                      <w:lang w:eastAsia="zh-CN"/>
                    </w:rPr>
                    <w:t>/h</w:t>
                  </w:r>
                  <w:r>
                    <w:rPr>
                      <w:rFonts w:hint="eastAsia" w:ascii="Times New Roman" w:hAnsi="Times New Roman" w:eastAsia="宋体" w:cs="Times New Roman"/>
                      <w:color w:val="auto"/>
                      <w:lang w:eastAsia="zh-CN"/>
                    </w:rPr>
                    <w:t>、净化率</w:t>
                  </w:r>
                  <w:r>
                    <w:rPr>
                      <w:rFonts w:ascii="Times New Roman" w:hAnsi="Times New Roman" w:eastAsia="宋体" w:cs="Times New Roman"/>
                      <w:color w:val="auto"/>
                      <w:lang w:eastAsia="zh-CN"/>
                    </w:rPr>
                    <w:t>≥</w:t>
                  </w:r>
                  <w:r>
                    <w:rPr>
                      <w:rFonts w:hint="eastAsia" w:ascii="Times New Roman" w:hAnsi="Times New Roman" w:eastAsia="宋体" w:cs="Times New Roman"/>
                      <w:color w:val="auto"/>
                      <w:lang w:eastAsia="zh-CN"/>
                    </w:rPr>
                    <w:t>60%</w:t>
                  </w:r>
                  <w:r>
                    <w:rPr>
                      <w:rFonts w:ascii="Times New Roman" w:hAnsi="Times New Roman" w:eastAsia="宋体" w:cs="Times New Roman"/>
                      <w:color w:val="auto"/>
                      <w:lang w:eastAsia="zh-CN"/>
                    </w:rPr>
                    <w:t>的</w:t>
                  </w:r>
                  <w:r>
                    <w:rPr>
                      <w:rFonts w:hint="eastAsia" w:ascii="Times New Roman" w:hAnsi="Times New Roman" w:eastAsia="宋体" w:cs="Times New Roman"/>
                      <w:color w:val="auto"/>
                      <w:lang w:eastAsia="zh-CN"/>
                    </w:rPr>
                    <w:t>油烟净化器</w:t>
                  </w:r>
                </w:p>
              </w:tc>
              <w:tc>
                <w:tcPr>
                  <w:tcW w:w="1714" w:type="pct"/>
                  <w:vAlign w:val="center"/>
                </w:tcPr>
                <w:p w14:paraId="0A5ABDBB">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达到《饮食业油烟排放标准》（GB18483-2001）中的小型食堂油烟排放标准</w:t>
                  </w:r>
                </w:p>
              </w:tc>
            </w:tr>
            <w:tr w14:paraId="054D0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24C67799">
                  <w:pPr>
                    <w:kinsoku/>
                    <w:overflowPunct w:val="0"/>
                    <w:autoSpaceDE/>
                    <w:autoSpaceDN/>
                    <w:adjustRightInd/>
                    <w:snapToGrid/>
                    <w:rPr>
                      <w:rFonts w:ascii="Times New Roman" w:hAnsi="Times New Roman" w:eastAsia="宋体" w:cs="Times New Roman"/>
                      <w:color w:val="auto"/>
                    </w:rPr>
                  </w:pPr>
                  <w:r>
                    <w:rPr>
                      <w:rFonts w:hint="eastAsia" w:ascii="Times New Roman" w:hAnsi="Times New Roman" w:eastAsia="宋体" w:cs="Times New Roman"/>
                      <w:color w:val="auto"/>
                    </w:rPr>
                    <w:t>废水</w:t>
                  </w:r>
                </w:p>
              </w:tc>
              <w:tc>
                <w:tcPr>
                  <w:tcW w:w="820" w:type="pct"/>
                  <w:vAlign w:val="center"/>
                </w:tcPr>
                <w:p w14:paraId="6CE6DFA7">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生活污水</w:t>
                  </w:r>
                </w:p>
              </w:tc>
              <w:tc>
                <w:tcPr>
                  <w:tcW w:w="2157" w:type="pct"/>
                  <w:vAlign w:val="center"/>
                </w:tcPr>
                <w:p w14:paraId="701EF6E9">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一体化污水处理设施：处理规模2m</w:t>
                  </w:r>
                  <w:r>
                    <w:rPr>
                      <w:rFonts w:hint="eastAsia" w:ascii="Times New Roman" w:hAnsi="Times New Roman" w:eastAsia="宋体" w:cs="Times New Roman"/>
                      <w:color w:val="auto"/>
                      <w:vertAlign w:val="superscript"/>
                      <w:lang w:eastAsia="zh-CN"/>
                    </w:rPr>
                    <w:t>3</w:t>
                  </w:r>
                  <w:r>
                    <w:rPr>
                      <w:rFonts w:hint="eastAsia" w:ascii="Times New Roman" w:hAnsi="Times New Roman" w:eastAsia="宋体" w:cs="Times New Roman"/>
                      <w:color w:val="auto"/>
                      <w:lang w:eastAsia="zh-CN"/>
                    </w:rPr>
                    <w:t>/d，采用A</w:t>
                  </w:r>
                  <w:r>
                    <w:rPr>
                      <w:rFonts w:hint="eastAsia" w:ascii="Times New Roman" w:hAnsi="Times New Roman" w:eastAsia="宋体" w:cs="Times New Roman"/>
                      <w:color w:val="auto"/>
                      <w:vertAlign w:val="superscript"/>
                      <w:lang w:eastAsia="zh-CN"/>
                    </w:rPr>
                    <w:t>2</w:t>
                  </w:r>
                  <w:r>
                    <w:rPr>
                      <w:rFonts w:hint="eastAsia" w:ascii="Times New Roman" w:hAnsi="Times New Roman" w:eastAsia="宋体" w:cs="Times New Roman"/>
                      <w:color w:val="auto"/>
                      <w:lang w:eastAsia="zh-CN"/>
                    </w:rPr>
                    <w:t>/O工艺</w:t>
                  </w:r>
                  <w:r>
                    <w:rPr>
                      <w:rFonts w:hint="eastAsia" w:ascii="Times New Roman" w:hAnsi="Times New Roman" w:eastAsia="宋体" w:cs="Times New Roman"/>
                      <w:color w:val="auto"/>
                      <w:lang w:val="en-US" w:eastAsia="zh-CN"/>
                    </w:rPr>
                    <w:t>+次氯酸钠消毒</w:t>
                  </w:r>
                  <w:r>
                    <w:rPr>
                      <w:rFonts w:hint="eastAsia" w:ascii="Times New Roman" w:hAnsi="Times New Roman" w:eastAsia="宋体" w:cs="Times New Roman"/>
                      <w:color w:val="auto"/>
                      <w:lang w:eastAsia="zh-CN"/>
                    </w:rPr>
                    <w:t>；</w:t>
                  </w:r>
                  <w:r>
                    <w:rPr>
                      <w:rFonts w:ascii="Times New Roman" w:hAnsi="Times New Roman" w:eastAsia="宋体" w:cs="Times New Roman"/>
                      <w:color w:val="auto"/>
                      <w:lang w:eastAsia="zh-CN" w:bidi="ar"/>
                    </w:rPr>
                    <w:t>化粪池：</w:t>
                  </w:r>
                  <w:r>
                    <w:rPr>
                      <w:rFonts w:hint="eastAsia" w:ascii="Times New Roman" w:hAnsi="Times New Roman" w:eastAsia="宋体" w:cs="Times New Roman"/>
                      <w:color w:val="auto"/>
                      <w:lang w:eastAsia="zh-CN" w:bidi="ar"/>
                    </w:rPr>
                    <w:t>1</w:t>
                  </w:r>
                  <w:r>
                    <w:rPr>
                      <w:rFonts w:ascii="Times New Roman" w:hAnsi="Times New Roman" w:eastAsia="宋体" w:cs="Times New Roman"/>
                      <w:color w:val="auto"/>
                      <w:lang w:eastAsia="zh-CN" w:bidi="ar"/>
                    </w:rPr>
                    <w:t>个，容积为</w:t>
                  </w:r>
                  <w:r>
                    <w:rPr>
                      <w:rFonts w:hint="eastAsia" w:ascii="Times New Roman" w:hAnsi="Times New Roman" w:eastAsia="宋体" w:cs="Times New Roman"/>
                      <w:color w:val="auto"/>
                      <w:lang w:eastAsia="zh-CN" w:bidi="ar"/>
                    </w:rPr>
                    <w:t>5</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r>
                    <w:rPr>
                      <w:rFonts w:hint="eastAsia" w:ascii="Times New Roman" w:hAnsi="Times New Roman" w:eastAsia="宋体" w:cs="Times New Roman"/>
                      <w:color w:val="auto"/>
                      <w:lang w:eastAsia="zh-CN" w:bidi="ar"/>
                    </w:rPr>
                    <w:t>；</w:t>
                  </w:r>
                  <w:r>
                    <w:rPr>
                      <w:rFonts w:ascii="Times New Roman" w:hAnsi="Times New Roman" w:eastAsia="宋体" w:cs="Times New Roman"/>
                      <w:color w:val="auto"/>
                      <w:lang w:eastAsia="zh-CN" w:bidi="ar"/>
                    </w:rPr>
                    <w:t>隔油池：1个，容积为</w:t>
                  </w:r>
                  <w:r>
                    <w:rPr>
                      <w:rFonts w:hint="eastAsia" w:ascii="Times New Roman" w:hAnsi="Times New Roman" w:eastAsia="宋体" w:cs="Times New Roman"/>
                      <w:color w:val="auto"/>
                      <w:lang w:eastAsia="zh-CN" w:bidi="ar"/>
                    </w:rPr>
                    <w:t>1</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r>
                    <w:rPr>
                      <w:rFonts w:hint="eastAsia" w:ascii="Times New Roman" w:hAnsi="Times New Roman" w:eastAsia="宋体" w:cs="Times New Roman"/>
                      <w:color w:val="auto"/>
                      <w:lang w:eastAsia="zh-CN" w:bidi="ar"/>
                    </w:rPr>
                    <w:t>；中水</w:t>
                  </w:r>
                  <w:r>
                    <w:rPr>
                      <w:rFonts w:ascii="Times New Roman" w:hAnsi="Times New Roman" w:eastAsia="宋体" w:cs="Times New Roman"/>
                      <w:color w:val="auto"/>
                      <w:lang w:eastAsia="zh-CN" w:bidi="ar"/>
                    </w:rPr>
                    <w:t>池：1个，容积为</w:t>
                  </w:r>
                  <w:r>
                    <w:rPr>
                      <w:rFonts w:hint="eastAsia" w:ascii="Times New Roman" w:hAnsi="Times New Roman" w:eastAsia="宋体" w:cs="Times New Roman"/>
                      <w:color w:val="auto"/>
                      <w:lang w:eastAsia="zh-CN" w:bidi="ar"/>
                    </w:rPr>
                    <w:t>10</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p>
              </w:tc>
              <w:tc>
                <w:tcPr>
                  <w:tcW w:w="1714" w:type="pct"/>
                  <w:vAlign w:val="center"/>
                </w:tcPr>
                <w:p w14:paraId="6EF3428D">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生活废水中的食堂废水先经过隔油池预处理再同其他生活污水一同排入化粪池+一体化污水处理设施处理后，暂存于中水池，待非雨天回用于厂区绿化及降尘，不外排</w:t>
                  </w:r>
                </w:p>
              </w:tc>
            </w:tr>
            <w:tr w14:paraId="3A475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77701561">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21F12892">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初期雨水</w:t>
                  </w:r>
                </w:p>
              </w:tc>
              <w:tc>
                <w:tcPr>
                  <w:tcW w:w="2157" w:type="pct"/>
                  <w:vAlign w:val="center"/>
                </w:tcPr>
                <w:p w14:paraId="3BAE261B">
                  <w:pPr>
                    <w:kinsoku/>
                    <w:overflowPunct w:val="0"/>
                    <w:autoSpaceDE/>
                    <w:autoSpaceDN/>
                    <w:adjustRightInd/>
                    <w:snapToGrid/>
                    <w:jc w:val="center"/>
                    <w:rPr>
                      <w:rFonts w:ascii="Times New Roman" w:hAnsi="Times New Roman" w:eastAsia="宋体" w:cs="Times New Roman"/>
                      <w:color w:val="auto"/>
                      <w:lang w:eastAsia="zh-CN" w:bidi="ar"/>
                    </w:rPr>
                  </w:pPr>
                  <w:r>
                    <w:rPr>
                      <w:rFonts w:hint="eastAsia" w:ascii="Times New Roman" w:hAnsi="Times New Roman" w:eastAsia="宋体" w:cs="Times New Roman"/>
                      <w:color w:val="auto"/>
                      <w:lang w:eastAsia="zh-CN" w:bidi="ar"/>
                    </w:rPr>
                    <w:t>初期雨水收集池：1个，</w:t>
                  </w:r>
                  <w:r>
                    <w:rPr>
                      <w:rFonts w:ascii="Times New Roman" w:hAnsi="Times New Roman" w:eastAsia="宋体" w:cs="Times New Roman"/>
                      <w:color w:val="auto"/>
                      <w:lang w:eastAsia="zh-CN" w:bidi="ar"/>
                    </w:rPr>
                    <w:t>容积为</w:t>
                  </w:r>
                  <w:r>
                    <w:rPr>
                      <w:rFonts w:hint="eastAsia" w:ascii="Times New Roman" w:hAnsi="Times New Roman" w:eastAsia="宋体" w:cs="Times New Roman"/>
                      <w:color w:val="auto"/>
                      <w:lang w:eastAsia="zh-CN" w:bidi="ar"/>
                    </w:rPr>
                    <w:t>200</w:t>
                  </w:r>
                  <w:r>
                    <w:rPr>
                      <w:rFonts w:ascii="Times New Roman" w:hAnsi="Times New Roman" w:eastAsia="宋体" w:cs="Times New Roman"/>
                      <w:color w:val="auto"/>
                      <w:lang w:eastAsia="zh-CN" w:bidi="ar"/>
                    </w:rPr>
                    <w:t>m³</w:t>
                  </w:r>
                </w:p>
              </w:tc>
              <w:tc>
                <w:tcPr>
                  <w:tcW w:w="1714" w:type="pct"/>
                  <w:vAlign w:val="center"/>
                </w:tcPr>
                <w:p w14:paraId="22F8B513">
                  <w:pPr>
                    <w:kinsoku/>
                    <w:overflowPunct w:val="0"/>
                    <w:autoSpaceDE/>
                    <w:autoSpaceDN/>
                    <w:adjustRightInd/>
                    <w:snapToGrid/>
                    <w:jc w:val="center"/>
                    <w:rPr>
                      <w:rFonts w:hint="default" w:ascii="Times New Roman" w:hAnsi="Times New Roman" w:eastAsia="宋体" w:cs="Times New Roman"/>
                      <w:color w:val="auto"/>
                      <w:lang w:val="en-US" w:eastAsia="zh-CN"/>
                    </w:rPr>
                  </w:pPr>
                  <w:r>
                    <w:rPr>
                      <w:rFonts w:ascii="Times New Roman" w:hAnsi="Times New Roman" w:eastAsia="宋体" w:cs="Times New Roman"/>
                      <w:color w:val="auto"/>
                      <w:lang w:eastAsia="zh-CN" w:bidi="ar"/>
                    </w:rPr>
                    <w:t>容积</w:t>
                  </w:r>
                  <w:r>
                    <w:rPr>
                      <w:rFonts w:hint="eastAsia" w:ascii="Times New Roman" w:hAnsi="Times New Roman" w:eastAsia="宋体" w:cs="Times New Roman"/>
                      <w:color w:val="auto"/>
                      <w:lang w:eastAsia="zh-CN" w:bidi="ar"/>
                    </w:rPr>
                    <w:t>不小于200</w:t>
                  </w:r>
                  <w:r>
                    <w:rPr>
                      <w:rFonts w:ascii="Times New Roman" w:hAnsi="Times New Roman" w:eastAsia="宋体" w:cs="Times New Roman"/>
                      <w:color w:val="auto"/>
                      <w:lang w:eastAsia="zh-CN" w:bidi="ar"/>
                    </w:rPr>
                    <w:t>m</w:t>
                  </w:r>
                  <w:r>
                    <w:rPr>
                      <w:rFonts w:hint="eastAsia" w:ascii="Times New Roman" w:hAnsi="Times New Roman" w:eastAsia="宋体" w:cs="Times New Roman"/>
                      <w:color w:val="auto"/>
                      <w:vertAlign w:val="superscript"/>
                      <w:lang w:eastAsia="zh-CN" w:bidi="ar"/>
                    </w:rPr>
                    <w:t>3</w:t>
                  </w:r>
                  <w:r>
                    <w:rPr>
                      <w:rFonts w:hint="eastAsia" w:cs="Times New Roman"/>
                      <w:color w:val="auto"/>
                      <w:vertAlign w:val="baseline"/>
                      <w:lang w:eastAsia="zh-CN" w:bidi="ar"/>
                    </w:rPr>
                    <w:t>，</w:t>
                  </w:r>
                  <w:r>
                    <w:rPr>
                      <w:rFonts w:hint="eastAsia" w:cs="Times New Roman"/>
                      <w:color w:val="auto"/>
                      <w:vertAlign w:val="baseline"/>
                      <w:lang w:val="en-US" w:eastAsia="zh-CN" w:bidi="ar"/>
                    </w:rPr>
                    <w:t>初期雨水经PAC絮凝沉淀后回用于厂区</w:t>
                  </w:r>
                  <w:r>
                    <w:rPr>
                      <w:rFonts w:hint="eastAsia" w:ascii="Times New Roman" w:hAnsi="Times New Roman" w:eastAsia="宋体" w:cs="Times New Roman"/>
                      <w:color w:val="auto"/>
                      <w:lang w:eastAsia="zh-CN"/>
                    </w:rPr>
                    <w:t>绿化及降尘</w:t>
                  </w:r>
                </w:p>
              </w:tc>
            </w:tr>
            <w:tr w14:paraId="67DB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Align w:val="center"/>
                </w:tcPr>
                <w:p w14:paraId="5DCF0422">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噪声</w:t>
                  </w:r>
                </w:p>
              </w:tc>
              <w:tc>
                <w:tcPr>
                  <w:tcW w:w="820" w:type="pct"/>
                  <w:vAlign w:val="center"/>
                </w:tcPr>
                <w:p w14:paraId="69DE61B1">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生产设备</w:t>
                  </w:r>
                </w:p>
              </w:tc>
              <w:tc>
                <w:tcPr>
                  <w:tcW w:w="2157" w:type="pct"/>
                  <w:vAlign w:val="center"/>
                </w:tcPr>
                <w:p w14:paraId="1356BF3C">
                  <w:pPr>
                    <w:kinsoku/>
                    <w:overflowPunct w:val="0"/>
                    <w:autoSpaceDE/>
                    <w:autoSpaceDN/>
                    <w:adjustRightInd/>
                    <w:snapToGrid/>
                    <w:jc w:val="center"/>
                    <w:rPr>
                      <w:rFonts w:ascii="Times New Roman" w:hAnsi="Times New Roman" w:eastAsia="宋体" w:cs="Times New Roman"/>
                      <w:color w:val="auto"/>
                      <w:lang w:eastAsia="zh-CN" w:bidi="ar"/>
                    </w:rPr>
                  </w:pPr>
                  <w:r>
                    <w:rPr>
                      <w:rFonts w:ascii="Times New Roman" w:hAnsi="Times New Roman" w:eastAsia="宋体" w:cs="Times New Roman"/>
                      <w:color w:val="auto"/>
                      <w:lang w:eastAsia="zh-CN"/>
                    </w:rPr>
                    <w:t>①生产设备设置减振垫、厂房进行隔声处理，选用低噪声设备</w:t>
                  </w:r>
                  <w:r>
                    <w:rPr>
                      <w:rFonts w:hint="eastAsia" w:ascii="Times New Roman" w:hAnsi="Times New Roman" w:eastAsia="宋体" w:cs="Times New Roman"/>
                      <w:color w:val="auto"/>
                      <w:lang w:eastAsia="zh-CN"/>
                    </w:rPr>
                    <w:t>；②在运营过程中加强对设备的维护保养，以保证设备运行状态良好，避免产生多余设备噪声厂区绿化吸收</w:t>
                  </w:r>
                </w:p>
              </w:tc>
              <w:tc>
                <w:tcPr>
                  <w:tcW w:w="1714" w:type="pct"/>
                  <w:vAlign w:val="center"/>
                </w:tcPr>
                <w:p w14:paraId="01F324E9">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满足《工业企业厂界环境噪声排放标准》（GB12348-2008）</w:t>
                  </w:r>
                  <w:r>
                    <w:rPr>
                      <w:rFonts w:hint="eastAsia" w:ascii="Times New Roman" w:hAnsi="Times New Roman" w:eastAsia="宋体" w:cs="Times New Roman"/>
                      <w:color w:val="auto"/>
                      <w:lang w:eastAsia="zh-CN"/>
                    </w:rPr>
                    <w:t>2</w:t>
                  </w:r>
                  <w:r>
                    <w:rPr>
                      <w:rFonts w:ascii="Times New Roman" w:hAnsi="Times New Roman" w:eastAsia="宋体" w:cs="Times New Roman"/>
                      <w:color w:val="auto"/>
                      <w:lang w:eastAsia="zh-CN"/>
                    </w:rPr>
                    <w:t>类标准</w:t>
                  </w:r>
                </w:p>
              </w:tc>
            </w:tr>
            <w:tr w14:paraId="4C301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72F0F990">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固体废物</w:t>
                  </w:r>
                </w:p>
              </w:tc>
              <w:tc>
                <w:tcPr>
                  <w:tcW w:w="820" w:type="pct"/>
                  <w:vAlign w:val="center"/>
                </w:tcPr>
                <w:p w14:paraId="21A2F4F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生活垃圾</w:t>
                  </w:r>
                </w:p>
              </w:tc>
              <w:tc>
                <w:tcPr>
                  <w:tcW w:w="2157" w:type="pct"/>
                  <w:vAlign w:val="center"/>
                </w:tcPr>
                <w:p w14:paraId="039D4224">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rPr>
                    <w:t>在项目区合理布设</w:t>
                  </w:r>
                  <w:r>
                    <w:rPr>
                      <w:rFonts w:hint="eastAsia" w:ascii="Times New Roman" w:hAnsi="Times New Roman" w:eastAsia="宋体" w:cs="Times New Roman"/>
                      <w:color w:val="auto"/>
                      <w:lang w:eastAsia="zh-CN"/>
                    </w:rPr>
                    <w:t>垃圾桶</w:t>
                  </w:r>
                  <w:r>
                    <w:rPr>
                      <w:rFonts w:ascii="Times New Roman" w:hAnsi="Times New Roman" w:eastAsia="宋体" w:cs="Times New Roman"/>
                      <w:color w:val="auto"/>
                      <w:lang w:eastAsia="zh-CN"/>
                    </w:rPr>
                    <w:t>若干，统一收集后，定期</w:t>
                  </w:r>
                  <w:r>
                    <w:rPr>
                      <w:rFonts w:hint="eastAsia" w:ascii="Times New Roman" w:hAnsi="Times New Roman" w:eastAsia="宋体" w:cs="Times New Roman"/>
                      <w:color w:val="auto"/>
                      <w:lang w:eastAsia="zh-CN"/>
                    </w:rPr>
                    <w:t>由</w:t>
                  </w:r>
                  <w:r>
                    <w:rPr>
                      <w:rFonts w:ascii="Times New Roman" w:hAnsi="Times New Roman" w:eastAsia="宋体" w:cs="Times New Roman"/>
                      <w:color w:val="auto"/>
                      <w:lang w:eastAsia="zh-CN"/>
                    </w:rPr>
                    <w:t>环卫部门</w:t>
                  </w:r>
                  <w:r>
                    <w:rPr>
                      <w:rFonts w:hint="eastAsia" w:ascii="Times New Roman" w:hAnsi="Times New Roman" w:eastAsia="宋体" w:cs="Times New Roman"/>
                      <w:color w:val="auto"/>
                      <w:lang w:eastAsia="zh-CN"/>
                    </w:rPr>
                    <w:t>清运</w:t>
                  </w:r>
                  <w:r>
                    <w:rPr>
                      <w:rFonts w:ascii="Times New Roman" w:hAnsi="Times New Roman" w:eastAsia="宋体" w:cs="Times New Roman"/>
                      <w:color w:val="auto"/>
                      <w:lang w:eastAsia="zh-CN"/>
                    </w:rPr>
                    <w:t>处置</w:t>
                  </w:r>
                </w:p>
              </w:tc>
              <w:tc>
                <w:tcPr>
                  <w:tcW w:w="1714" w:type="pct"/>
                  <w:vMerge w:val="restart"/>
                  <w:vAlign w:val="center"/>
                </w:tcPr>
                <w:p w14:paraId="42FF0358">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处置率100%</w:t>
                  </w:r>
                </w:p>
              </w:tc>
            </w:tr>
            <w:tr w14:paraId="16674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6CE8FC8F">
                  <w:pPr>
                    <w:kinsoku/>
                    <w:overflowPunct w:val="0"/>
                    <w:autoSpaceDE/>
                    <w:autoSpaceDN/>
                    <w:adjustRightInd/>
                    <w:snapToGrid/>
                    <w:rPr>
                      <w:rFonts w:ascii="Times New Roman" w:hAnsi="Times New Roman" w:eastAsia="宋体" w:cs="Times New Roman"/>
                      <w:color w:val="auto"/>
                    </w:rPr>
                  </w:pPr>
                </w:p>
              </w:tc>
              <w:tc>
                <w:tcPr>
                  <w:tcW w:w="820" w:type="pct"/>
                  <w:vAlign w:val="center"/>
                </w:tcPr>
                <w:p w14:paraId="412DEF36">
                  <w:pPr>
                    <w:kinsoku/>
                    <w:overflowPunct w:val="0"/>
                    <w:autoSpaceDE/>
                    <w:autoSpaceDN/>
                    <w:adjustRightInd/>
                    <w:snapToGrid/>
                    <w:jc w:val="center"/>
                    <w:rPr>
                      <w:rFonts w:ascii="Times New Roman" w:hAnsi="Times New Roman" w:eastAsia="宋体" w:cs="Times New Roman"/>
                      <w:color w:val="auto"/>
                    </w:rPr>
                  </w:pPr>
                  <w:r>
                    <w:rPr>
                      <w:rFonts w:hint="eastAsia" w:ascii="Times New Roman" w:hAnsi="Times New Roman" w:eastAsia="宋体" w:cs="Times New Roman"/>
                      <w:color w:val="auto"/>
                    </w:rPr>
                    <w:t>收集尘</w:t>
                  </w:r>
                </w:p>
              </w:tc>
              <w:tc>
                <w:tcPr>
                  <w:tcW w:w="2157" w:type="pct"/>
                  <w:vAlign w:val="center"/>
                </w:tcPr>
                <w:p w14:paraId="1A3ECECD">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收集后</w:t>
                  </w:r>
                  <w:r>
                    <w:rPr>
                      <w:rFonts w:hint="eastAsia" w:ascii="Times New Roman" w:hAnsi="Times New Roman" w:eastAsia="宋体" w:cs="Times New Roman"/>
                      <w:color w:val="auto"/>
                      <w:lang w:eastAsia="zh-CN"/>
                    </w:rPr>
                    <w:t>回用于生产</w:t>
                  </w:r>
                </w:p>
              </w:tc>
              <w:tc>
                <w:tcPr>
                  <w:tcW w:w="1714" w:type="pct"/>
                  <w:vMerge w:val="continue"/>
                  <w:vAlign w:val="center"/>
                </w:tcPr>
                <w:p w14:paraId="76903C53">
                  <w:pPr>
                    <w:kinsoku/>
                    <w:overflowPunct w:val="0"/>
                    <w:autoSpaceDE/>
                    <w:autoSpaceDN/>
                    <w:adjustRightInd/>
                    <w:snapToGrid/>
                    <w:jc w:val="center"/>
                    <w:rPr>
                      <w:rFonts w:ascii="Times New Roman" w:hAnsi="Times New Roman" w:eastAsia="宋体" w:cs="Times New Roman"/>
                      <w:color w:val="auto"/>
                    </w:rPr>
                  </w:pPr>
                </w:p>
              </w:tc>
            </w:tr>
            <w:tr w14:paraId="544A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1274B5F2">
                  <w:pPr>
                    <w:kinsoku/>
                    <w:overflowPunct w:val="0"/>
                    <w:autoSpaceDE/>
                    <w:autoSpaceDN/>
                    <w:adjustRightInd/>
                    <w:snapToGrid/>
                    <w:rPr>
                      <w:rFonts w:ascii="Times New Roman" w:hAnsi="Times New Roman" w:eastAsia="宋体" w:cs="Times New Roman"/>
                      <w:color w:val="auto"/>
                    </w:rPr>
                  </w:pPr>
                </w:p>
              </w:tc>
              <w:tc>
                <w:tcPr>
                  <w:tcW w:w="820" w:type="pct"/>
                  <w:vAlign w:val="center"/>
                </w:tcPr>
                <w:p w14:paraId="2274BE03">
                  <w:pPr>
                    <w:pStyle w:val="45"/>
                    <w:widowControl/>
                    <w:overflowPunct w:val="0"/>
                    <w:jc w:val="center"/>
                    <w:textAlignment w:val="baseline"/>
                    <w:rPr>
                      <w:rFonts w:ascii="Times New Roman" w:hAnsi="Times New Roman" w:eastAsia="宋体" w:cs="Times New Roman"/>
                      <w:color w:val="auto"/>
                      <w:szCs w:val="21"/>
                      <w:lang w:bidi="ar"/>
                    </w:rPr>
                  </w:pPr>
                  <w:r>
                    <w:rPr>
                      <w:rFonts w:hint="eastAsia" w:ascii="Times New Roman" w:hAnsi="Times New Roman" w:eastAsia="宋体" w:cs="Times New Roman"/>
                      <w:color w:val="auto"/>
                      <w:szCs w:val="21"/>
                      <w:lang w:bidi="ar"/>
                    </w:rPr>
                    <w:t>初期雨水收集池污泥</w:t>
                  </w:r>
                </w:p>
              </w:tc>
              <w:tc>
                <w:tcPr>
                  <w:tcW w:w="2157" w:type="pct"/>
                  <w:vAlign w:val="center"/>
                </w:tcPr>
                <w:p w14:paraId="73AA3C4C">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定期由</w:t>
                  </w:r>
                  <w:r>
                    <w:rPr>
                      <w:rFonts w:hint="eastAsia" w:cs="Times New Roman"/>
                      <w:color w:val="auto"/>
                      <w:szCs w:val="21"/>
                      <w:lang w:val="en-US" w:eastAsia="zh-CN"/>
                    </w:rPr>
                    <w:t>有资质单位清运</w:t>
                  </w:r>
                  <w:r>
                    <w:rPr>
                      <w:rFonts w:ascii="Times New Roman" w:hAnsi="Times New Roman" w:eastAsia="宋体" w:cs="Times New Roman"/>
                      <w:color w:val="auto"/>
                      <w:szCs w:val="21"/>
                    </w:rPr>
                    <w:t>处置</w:t>
                  </w:r>
                </w:p>
              </w:tc>
              <w:tc>
                <w:tcPr>
                  <w:tcW w:w="1714" w:type="pct"/>
                  <w:vMerge w:val="continue"/>
                  <w:vAlign w:val="center"/>
                </w:tcPr>
                <w:p w14:paraId="64D82D30">
                  <w:pPr>
                    <w:kinsoku/>
                    <w:overflowPunct w:val="0"/>
                    <w:autoSpaceDE/>
                    <w:autoSpaceDN/>
                    <w:adjustRightInd/>
                    <w:snapToGrid/>
                    <w:jc w:val="center"/>
                    <w:rPr>
                      <w:rFonts w:ascii="Times New Roman" w:hAnsi="Times New Roman" w:eastAsia="宋体" w:cs="Times New Roman"/>
                      <w:color w:val="auto"/>
                      <w:lang w:eastAsia="zh-CN"/>
                    </w:rPr>
                  </w:pPr>
                </w:p>
              </w:tc>
            </w:tr>
            <w:tr w14:paraId="6F026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476E2D03">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68C1B390">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隔油池油污</w:t>
                  </w:r>
                </w:p>
              </w:tc>
              <w:tc>
                <w:tcPr>
                  <w:tcW w:w="2157" w:type="pct"/>
                  <w:vAlign w:val="center"/>
                </w:tcPr>
                <w:p w14:paraId="6A129598">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委托取得餐厨废弃物特许经营许可的单位定期清运处置</w:t>
                  </w:r>
                </w:p>
              </w:tc>
              <w:tc>
                <w:tcPr>
                  <w:tcW w:w="1714" w:type="pct"/>
                  <w:vMerge w:val="continue"/>
                  <w:vAlign w:val="center"/>
                </w:tcPr>
                <w:p w14:paraId="6601D2D7">
                  <w:pPr>
                    <w:kinsoku/>
                    <w:overflowPunct w:val="0"/>
                    <w:autoSpaceDE/>
                    <w:autoSpaceDN/>
                    <w:adjustRightInd/>
                    <w:snapToGrid/>
                    <w:jc w:val="center"/>
                    <w:rPr>
                      <w:rFonts w:ascii="Times New Roman" w:hAnsi="Times New Roman" w:eastAsia="宋体" w:cs="Times New Roman"/>
                      <w:color w:val="auto"/>
                      <w:lang w:eastAsia="zh-CN"/>
                    </w:rPr>
                  </w:pPr>
                </w:p>
              </w:tc>
            </w:tr>
            <w:tr w14:paraId="0AEA9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4B48A529">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3CF4EB63">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污水处理污泥</w:t>
                  </w:r>
                </w:p>
              </w:tc>
              <w:tc>
                <w:tcPr>
                  <w:tcW w:w="2157" w:type="pct"/>
                  <w:vAlign w:val="center"/>
                </w:tcPr>
                <w:p w14:paraId="1AF71879">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定期委托环卫部门清运处置</w:t>
                  </w:r>
                </w:p>
              </w:tc>
              <w:tc>
                <w:tcPr>
                  <w:tcW w:w="1714" w:type="pct"/>
                  <w:vMerge w:val="continue"/>
                  <w:vAlign w:val="center"/>
                </w:tcPr>
                <w:p w14:paraId="147295D4">
                  <w:pPr>
                    <w:kinsoku/>
                    <w:overflowPunct w:val="0"/>
                    <w:autoSpaceDE/>
                    <w:autoSpaceDN/>
                    <w:adjustRightInd/>
                    <w:snapToGrid/>
                    <w:jc w:val="center"/>
                    <w:rPr>
                      <w:rFonts w:ascii="Times New Roman" w:hAnsi="Times New Roman" w:eastAsia="宋体" w:cs="Times New Roman"/>
                      <w:color w:val="auto"/>
                      <w:lang w:eastAsia="zh-CN"/>
                    </w:rPr>
                  </w:pPr>
                </w:p>
              </w:tc>
            </w:tr>
            <w:tr w14:paraId="05AE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65CFDFC7">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72C8CD7A">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废机油</w:t>
                  </w:r>
                </w:p>
              </w:tc>
              <w:tc>
                <w:tcPr>
                  <w:tcW w:w="2157" w:type="pct"/>
                  <w:vAlign w:val="center"/>
                </w:tcPr>
                <w:p w14:paraId="1C7FA8A6">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1间</w:t>
                  </w:r>
                  <w:r>
                    <w:rPr>
                      <w:rFonts w:hint="eastAsia" w:ascii="Times New Roman" w:hAnsi="Times New Roman" w:eastAsia="宋体" w:cs="Times New Roman"/>
                      <w:color w:val="auto"/>
                      <w:szCs w:val="21"/>
                    </w:rPr>
                    <w:t>10</w:t>
                  </w:r>
                  <w:r>
                    <w:rPr>
                      <w:rFonts w:ascii="Times New Roman" w:hAnsi="Times New Roman" w:eastAsia="宋体" w:cs="Times New Roman"/>
                      <w:color w:val="auto"/>
                      <w:szCs w:val="21"/>
                    </w:rPr>
                    <w:t>m</w:t>
                  </w:r>
                  <w:r>
                    <w:rPr>
                      <w:rFonts w:ascii="Times New Roman" w:hAnsi="Times New Roman" w:eastAsia="宋体" w:cs="Times New Roman"/>
                      <w:color w:val="auto"/>
                      <w:szCs w:val="21"/>
                      <w:vertAlign w:val="superscript"/>
                    </w:rPr>
                    <w:t>2</w:t>
                  </w:r>
                  <w:r>
                    <w:rPr>
                      <w:rFonts w:ascii="Times New Roman" w:hAnsi="Times New Roman" w:eastAsia="宋体" w:cs="Times New Roman"/>
                      <w:color w:val="auto"/>
                      <w:szCs w:val="21"/>
                    </w:rPr>
                    <w:t>的</w:t>
                  </w:r>
                  <w:r>
                    <w:rPr>
                      <w:rFonts w:hint="eastAsia" w:ascii="Times New Roman" w:hAnsi="Times New Roman" w:eastAsia="宋体" w:cs="Times New Roman"/>
                      <w:color w:val="auto"/>
                      <w:szCs w:val="21"/>
                    </w:rPr>
                    <w:t>危废贮存库</w:t>
                  </w:r>
                  <w:r>
                    <w:rPr>
                      <w:rFonts w:ascii="Times New Roman" w:hAnsi="Times New Roman" w:eastAsia="宋体" w:cs="Times New Roman"/>
                      <w:color w:val="auto"/>
                      <w:szCs w:val="21"/>
                    </w:rPr>
                    <w:t>（规范建设，采取防渗、防腐、防漏措施，运营期设置危废管理台账资料）</w:t>
                  </w:r>
                  <w:r>
                    <w:rPr>
                      <w:rFonts w:hint="eastAsia" w:ascii="Times New Roman" w:hAnsi="Times New Roman" w:eastAsia="宋体" w:cs="Times New Roman"/>
                      <w:color w:val="auto"/>
                      <w:szCs w:val="21"/>
                    </w:rPr>
                    <w:t>，定期委托有资质单位清运处置。</w:t>
                  </w:r>
                </w:p>
              </w:tc>
              <w:tc>
                <w:tcPr>
                  <w:tcW w:w="1714" w:type="pct"/>
                  <w:vMerge w:val="continue"/>
                  <w:vAlign w:val="center"/>
                </w:tcPr>
                <w:p w14:paraId="6875AE5C">
                  <w:pPr>
                    <w:kinsoku/>
                    <w:overflowPunct w:val="0"/>
                    <w:autoSpaceDE/>
                    <w:autoSpaceDN/>
                    <w:adjustRightInd/>
                    <w:snapToGrid/>
                    <w:jc w:val="center"/>
                    <w:rPr>
                      <w:rFonts w:ascii="Times New Roman" w:hAnsi="Times New Roman" w:eastAsia="宋体" w:cs="Times New Roman"/>
                      <w:color w:val="auto"/>
                      <w:lang w:eastAsia="zh-CN"/>
                    </w:rPr>
                  </w:pPr>
                </w:p>
              </w:tc>
            </w:tr>
            <w:tr w14:paraId="78E3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49D19CB">
                  <w:pPr>
                    <w:kinsoku/>
                    <w:overflowPunct w:val="0"/>
                    <w:autoSpaceDE/>
                    <w:autoSpaceDN/>
                    <w:adjustRightInd/>
                    <w:snapToGrid/>
                    <w:rPr>
                      <w:rFonts w:ascii="Times New Roman" w:hAnsi="Times New Roman" w:eastAsia="宋体" w:cs="Times New Roman"/>
                      <w:color w:val="auto"/>
                      <w:lang w:eastAsia="zh-CN"/>
                    </w:rPr>
                  </w:pPr>
                </w:p>
              </w:tc>
              <w:tc>
                <w:tcPr>
                  <w:tcW w:w="820" w:type="pct"/>
                  <w:vAlign w:val="center"/>
                </w:tcPr>
                <w:p w14:paraId="39F338CB">
                  <w:pPr>
                    <w:pStyle w:val="45"/>
                    <w:widowControl/>
                    <w:overflowPunct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废含油手套及抹布</w:t>
                  </w:r>
                </w:p>
              </w:tc>
              <w:tc>
                <w:tcPr>
                  <w:tcW w:w="2157" w:type="pct"/>
                  <w:vAlign w:val="center"/>
                </w:tcPr>
                <w:p w14:paraId="42D6987D">
                  <w:pPr>
                    <w:pStyle w:val="45"/>
                    <w:widowControl/>
                    <w:overflowPunct w:val="0"/>
                    <w:jc w:val="center"/>
                    <w:textAlignment w:val="baseline"/>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定期委托有资质单位清运处置</w:t>
                  </w:r>
                </w:p>
              </w:tc>
              <w:tc>
                <w:tcPr>
                  <w:tcW w:w="1714" w:type="pct"/>
                  <w:vMerge w:val="continue"/>
                  <w:vAlign w:val="center"/>
                </w:tcPr>
                <w:p w14:paraId="3DA4DDF5">
                  <w:pPr>
                    <w:kinsoku/>
                    <w:overflowPunct w:val="0"/>
                    <w:autoSpaceDE/>
                    <w:autoSpaceDN/>
                    <w:adjustRightInd/>
                    <w:snapToGrid/>
                    <w:jc w:val="center"/>
                    <w:rPr>
                      <w:rFonts w:ascii="Times New Roman" w:hAnsi="Times New Roman" w:eastAsia="宋体" w:cs="Times New Roman"/>
                      <w:color w:val="auto"/>
                      <w:lang w:eastAsia="zh-CN"/>
                    </w:rPr>
                  </w:pPr>
                </w:p>
              </w:tc>
            </w:tr>
            <w:tr w14:paraId="69BF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restart"/>
                  <w:vAlign w:val="center"/>
                </w:tcPr>
                <w:p w14:paraId="4BDF30EF">
                  <w:pPr>
                    <w:kinsoku/>
                    <w:overflowPunct w:val="0"/>
                    <w:autoSpaceDE/>
                    <w:autoSpaceDN/>
                    <w:adjustRightInd/>
                    <w:snapToGrid/>
                    <w:rPr>
                      <w:rFonts w:hint="default" w:ascii="Times New Roman" w:hAnsi="Times New Roman" w:eastAsia="宋体" w:cs="Times New Roman"/>
                      <w:color w:val="auto"/>
                      <w:lang w:val="en-US" w:eastAsia="zh-CN"/>
                    </w:rPr>
                  </w:pPr>
                  <w:r>
                    <w:rPr>
                      <w:rFonts w:hint="eastAsia" w:cs="Times New Roman"/>
                      <w:color w:val="auto"/>
                      <w:lang w:val="en-US" w:eastAsia="zh-CN"/>
                    </w:rPr>
                    <w:t>防渗</w:t>
                  </w:r>
                </w:p>
              </w:tc>
              <w:tc>
                <w:tcPr>
                  <w:tcW w:w="820" w:type="pct"/>
                  <w:vMerge w:val="restart"/>
                  <w:vAlign w:val="center"/>
                </w:tcPr>
                <w:p w14:paraId="40EC4AA3">
                  <w:pPr>
                    <w:pStyle w:val="45"/>
                    <w:widowControl/>
                    <w:overflowPunct w:val="0"/>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重点防渗</w:t>
                  </w:r>
                </w:p>
              </w:tc>
              <w:tc>
                <w:tcPr>
                  <w:tcW w:w="3620" w:type="dxa"/>
                  <w:vAlign w:val="center"/>
                </w:tcPr>
                <w:p w14:paraId="2230B2B9">
                  <w:pPr>
                    <w:pStyle w:val="30"/>
                    <w:kinsoku/>
                    <w:overflowPunct w:val="0"/>
                    <w:autoSpaceDE/>
                    <w:autoSpaceDN/>
                    <w:adjustRightInd/>
                    <w:snapToGrid/>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 w:val="21"/>
                      <w:szCs w:val="21"/>
                    </w:rPr>
                    <w:t>生产区、1#原料堆场、</w:t>
                  </w:r>
                  <w:r>
                    <w:rPr>
                      <w:rFonts w:hint="eastAsia" w:cs="Times New Roman"/>
                      <w:color w:val="auto"/>
                      <w:sz w:val="21"/>
                      <w:szCs w:val="21"/>
                      <w:lang w:val="en-US" w:eastAsia="zh-CN"/>
                    </w:rPr>
                    <w:t>2#原料堆场</w:t>
                  </w:r>
                  <w:r>
                    <w:rPr>
                      <w:rFonts w:hint="eastAsia" w:cs="Times New Roman"/>
                      <w:color w:val="auto"/>
                      <w:sz w:val="21"/>
                      <w:szCs w:val="21"/>
                      <w:lang w:eastAsia="zh-CN"/>
                    </w:rPr>
                    <w:t>、</w:t>
                  </w:r>
                  <w:r>
                    <w:rPr>
                      <w:rFonts w:hint="eastAsia" w:ascii="Times New Roman" w:hAnsi="Times New Roman" w:eastAsia="宋体" w:cs="Times New Roman"/>
                      <w:color w:val="auto"/>
                      <w:sz w:val="21"/>
                      <w:szCs w:val="21"/>
                    </w:rPr>
                    <w:t>成品仓库、废品仓库</w:t>
                  </w:r>
                </w:p>
              </w:tc>
              <w:tc>
                <w:tcPr>
                  <w:tcW w:w="2877" w:type="dxa"/>
                  <w:vAlign w:val="center"/>
                </w:tcPr>
                <w:p w14:paraId="1575BACA">
                  <w:pPr>
                    <w:pStyle w:val="30"/>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sz w:val="21"/>
                      <w:szCs w:val="21"/>
                      <w:lang w:eastAsia="zh-CN"/>
                    </w:rPr>
                    <w:t>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w:t>
                  </w:r>
                  <w:r>
                    <w:rPr>
                      <w:rFonts w:hint="eastAsia" w:cs="Times New Roman"/>
                      <w:color w:val="auto"/>
                      <w:sz w:val="21"/>
                      <w:szCs w:val="21"/>
                      <w:lang w:val="en-US" w:eastAsia="zh-CN"/>
                    </w:rPr>
                    <w:t>需</w:t>
                  </w:r>
                  <w:r>
                    <w:rPr>
                      <w:rFonts w:hint="eastAsia" w:ascii="Times New Roman" w:hAnsi="Times New Roman" w:eastAsia="宋体" w:cs="Times New Roman"/>
                      <w:color w:val="auto"/>
                      <w:sz w:val="21"/>
                      <w:szCs w:val="21"/>
                      <w:lang w:eastAsia="zh-CN"/>
                    </w:rPr>
                    <w:t>满足《一般工业固体废物贮 存和填埋污染控制标准》（GB</w:t>
                  </w:r>
                  <w:r>
                    <w:rPr>
                      <w:rFonts w:hint="eastAsia" w:cs="Times New Roman"/>
                      <w:color w:val="auto"/>
                      <w:sz w:val="21"/>
                      <w:szCs w:val="21"/>
                      <w:lang w:val="en-US" w:eastAsia="zh-CN"/>
                    </w:rPr>
                    <w:t xml:space="preserve"> </w:t>
                  </w:r>
                  <w:r>
                    <w:rPr>
                      <w:rFonts w:hint="eastAsia" w:ascii="Times New Roman" w:hAnsi="Times New Roman" w:eastAsia="宋体" w:cs="Times New Roman"/>
                      <w:color w:val="auto"/>
                      <w:sz w:val="21"/>
                      <w:szCs w:val="21"/>
                      <w:lang w:eastAsia="zh-CN"/>
                    </w:rPr>
                    <w:t>18599-2020）要求Ⅱ类场的防渗技术要求</w:t>
                  </w:r>
                </w:p>
              </w:tc>
            </w:tr>
            <w:tr w14:paraId="3B7E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6932E2D9">
                  <w:pPr>
                    <w:kinsoku/>
                    <w:overflowPunct w:val="0"/>
                    <w:autoSpaceDE/>
                    <w:autoSpaceDN/>
                    <w:adjustRightInd/>
                    <w:snapToGrid/>
                    <w:rPr>
                      <w:rFonts w:hint="eastAsia" w:cs="Times New Roman"/>
                      <w:color w:val="auto"/>
                      <w:lang w:val="en-US" w:eastAsia="zh-CN"/>
                    </w:rPr>
                  </w:pPr>
                </w:p>
              </w:tc>
              <w:tc>
                <w:tcPr>
                  <w:tcW w:w="820" w:type="pct"/>
                  <w:vMerge w:val="continue"/>
                  <w:vAlign w:val="center"/>
                </w:tcPr>
                <w:p w14:paraId="4B307B3D">
                  <w:pPr>
                    <w:pStyle w:val="45"/>
                    <w:widowControl/>
                    <w:overflowPunct w:val="0"/>
                    <w:jc w:val="center"/>
                    <w:textAlignment w:val="baseline"/>
                    <w:rPr>
                      <w:rFonts w:hint="eastAsia" w:cs="Times New Roman"/>
                      <w:color w:val="auto"/>
                      <w:szCs w:val="21"/>
                      <w:lang w:val="en-US" w:eastAsia="zh-CN"/>
                    </w:rPr>
                  </w:pPr>
                </w:p>
              </w:tc>
              <w:tc>
                <w:tcPr>
                  <w:tcW w:w="3620" w:type="dxa"/>
                  <w:vAlign w:val="center"/>
                </w:tcPr>
                <w:p w14:paraId="17532E4B">
                  <w:pPr>
                    <w:pStyle w:val="30"/>
                    <w:kinsoku/>
                    <w:overflowPunct w:val="0"/>
                    <w:autoSpaceDE/>
                    <w:autoSpaceDN/>
                    <w:adjustRightInd/>
                    <w:snapToGrid/>
                    <w:jc w:val="center"/>
                    <w:rPr>
                      <w:rFonts w:hint="eastAsia" w:ascii="Times New Roman" w:hAnsi="Times New Roman" w:eastAsia="宋体" w:cs="Times New Roman"/>
                      <w:color w:val="auto"/>
                      <w:szCs w:val="21"/>
                    </w:rPr>
                  </w:pPr>
                  <w:r>
                    <w:rPr>
                      <w:rFonts w:hint="eastAsia" w:cs="Times New Roman"/>
                      <w:color w:val="auto"/>
                      <w:sz w:val="21"/>
                      <w:szCs w:val="21"/>
                      <w:lang w:val="en-US" w:eastAsia="zh-CN"/>
                    </w:rPr>
                    <w:t>危废暂存间</w:t>
                  </w:r>
                </w:p>
              </w:tc>
              <w:tc>
                <w:tcPr>
                  <w:tcW w:w="2877" w:type="dxa"/>
                  <w:vAlign w:val="center"/>
                </w:tcPr>
                <w:p w14:paraId="16EC1A53">
                  <w:pPr>
                    <w:pStyle w:val="30"/>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sz w:val="21"/>
                      <w:szCs w:val="21"/>
                      <w:lang w:eastAsia="zh-CN"/>
                    </w:rPr>
                    <w:t>参照GB 18597执行</w:t>
                  </w:r>
                </w:p>
              </w:tc>
            </w:tr>
            <w:tr w14:paraId="2A683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28430C38">
                  <w:pPr>
                    <w:kinsoku/>
                    <w:overflowPunct w:val="0"/>
                    <w:autoSpaceDE/>
                    <w:autoSpaceDN/>
                    <w:adjustRightInd/>
                    <w:snapToGrid/>
                    <w:rPr>
                      <w:rFonts w:hint="eastAsia" w:cs="Times New Roman"/>
                      <w:color w:val="auto"/>
                      <w:lang w:val="en-US" w:eastAsia="zh-CN"/>
                    </w:rPr>
                  </w:pPr>
                </w:p>
              </w:tc>
              <w:tc>
                <w:tcPr>
                  <w:tcW w:w="820" w:type="pct"/>
                  <w:vAlign w:val="center"/>
                </w:tcPr>
                <w:p w14:paraId="452DCBB5">
                  <w:pPr>
                    <w:pStyle w:val="45"/>
                    <w:widowControl/>
                    <w:overflowPunct w:val="0"/>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一般防渗</w:t>
                  </w:r>
                </w:p>
              </w:tc>
              <w:tc>
                <w:tcPr>
                  <w:tcW w:w="3620" w:type="dxa"/>
                  <w:vAlign w:val="center"/>
                </w:tcPr>
                <w:p w14:paraId="0000BD3C">
                  <w:pPr>
                    <w:pStyle w:val="30"/>
                    <w:kinsoku/>
                    <w:overflowPunct w:val="0"/>
                    <w:autoSpaceDE/>
                    <w:autoSpaceDN/>
                    <w:adjustRightInd/>
                    <w:snapToGrid/>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 w:val="21"/>
                      <w:szCs w:val="21"/>
                    </w:rPr>
                    <w:t>初期雨水收集池、中水池、一体化污水处理设施、隔油池、化粪池</w:t>
                  </w:r>
                </w:p>
              </w:tc>
              <w:tc>
                <w:tcPr>
                  <w:tcW w:w="2877" w:type="dxa"/>
                  <w:vAlign w:val="center"/>
                </w:tcPr>
                <w:p w14:paraId="27EE830F">
                  <w:pPr>
                    <w:pStyle w:val="30"/>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sz w:val="21"/>
                      <w:szCs w:val="21"/>
                    </w:rPr>
                    <w:t>等效黏土防渗层Mb≥1.5m，渗透系数K≤1</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rPr>
                    <w:t>10</w:t>
                  </w:r>
                  <w:r>
                    <w:rPr>
                      <w:rFonts w:hint="eastAsia" w:ascii="Times New Roman" w:hAnsi="Times New Roman" w:eastAsia="宋体" w:cs="Times New Roman"/>
                      <w:color w:val="auto"/>
                      <w:sz w:val="21"/>
                      <w:szCs w:val="21"/>
                      <w:vertAlign w:val="superscript"/>
                    </w:rPr>
                    <w:t>-7</w:t>
                  </w:r>
                  <w:r>
                    <w:rPr>
                      <w:rFonts w:hint="eastAsia" w:ascii="Times New Roman" w:hAnsi="Times New Roman" w:eastAsia="宋体" w:cs="Times New Roman"/>
                      <w:color w:val="auto"/>
                      <w:sz w:val="21"/>
                      <w:szCs w:val="21"/>
                    </w:rPr>
                    <w:t>cm/s</w:t>
                  </w:r>
                  <w:r>
                    <w:rPr>
                      <w:rFonts w:hint="eastAsia" w:ascii="Times New Roman" w:hAnsi="Times New Roman" w:eastAsia="宋体" w:cs="Times New Roman"/>
                      <w:color w:val="auto"/>
                      <w:spacing w:val="0"/>
                      <w:sz w:val="21"/>
                      <w:szCs w:val="21"/>
                      <w:lang w:val="en-US" w:eastAsia="zh-CN"/>
                    </w:rPr>
                    <w:t>或参照GB 16889执行</w:t>
                  </w:r>
                </w:p>
              </w:tc>
            </w:tr>
            <w:tr w14:paraId="3140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8" w:type="pct"/>
                  <w:vMerge w:val="continue"/>
                  <w:vAlign w:val="center"/>
                </w:tcPr>
                <w:p w14:paraId="0F26552E">
                  <w:pPr>
                    <w:kinsoku/>
                    <w:overflowPunct w:val="0"/>
                    <w:autoSpaceDE/>
                    <w:autoSpaceDN/>
                    <w:adjustRightInd/>
                    <w:snapToGrid/>
                    <w:rPr>
                      <w:rFonts w:hint="eastAsia" w:cs="Times New Roman"/>
                      <w:color w:val="auto"/>
                      <w:lang w:val="en-US" w:eastAsia="zh-CN"/>
                    </w:rPr>
                  </w:pPr>
                </w:p>
              </w:tc>
              <w:tc>
                <w:tcPr>
                  <w:tcW w:w="820" w:type="pct"/>
                  <w:vAlign w:val="center"/>
                </w:tcPr>
                <w:p w14:paraId="46ACFC27">
                  <w:pPr>
                    <w:pStyle w:val="45"/>
                    <w:widowControl/>
                    <w:overflowPunct w:val="0"/>
                    <w:jc w:val="center"/>
                    <w:textAlignment w:val="baseline"/>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简单防渗</w:t>
                  </w:r>
                </w:p>
              </w:tc>
              <w:tc>
                <w:tcPr>
                  <w:tcW w:w="3620" w:type="dxa"/>
                  <w:vAlign w:val="center"/>
                </w:tcPr>
                <w:p w14:paraId="220F8927">
                  <w:pPr>
                    <w:pStyle w:val="30"/>
                    <w:kinsoku/>
                    <w:overflowPunct w:val="0"/>
                    <w:autoSpaceDE/>
                    <w:autoSpaceDN/>
                    <w:adjustRightInd/>
                    <w:snapToGrid/>
                    <w:jc w:val="center"/>
                    <w:rPr>
                      <w:rFonts w:hint="eastAsia" w:ascii="Times New Roman" w:hAnsi="Times New Roman" w:eastAsia="宋体" w:cs="Times New Roman"/>
                      <w:color w:val="auto"/>
                      <w:szCs w:val="21"/>
                    </w:rPr>
                  </w:pPr>
                  <w:r>
                    <w:rPr>
                      <w:rFonts w:hint="eastAsia" w:cs="Times New Roman"/>
                      <w:color w:val="auto"/>
                      <w:sz w:val="21"/>
                      <w:szCs w:val="21"/>
                      <w:lang w:val="en-US" w:eastAsia="zh-CN"/>
                    </w:rPr>
                    <w:t>厂区内除重点防渗区、一般防渗区及绿化区域以外的地面</w:t>
                  </w:r>
                </w:p>
              </w:tc>
              <w:tc>
                <w:tcPr>
                  <w:tcW w:w="2877" w:type="dxa"/>
                  <w:vAlign w:val="center"/>
                </w:tcPr>
                <w:p w14:paraId="2B59058D">
                  <w:pPr>
                    <w:pStyle w:val="30"/>
                    <w:kinsoku/>
                    <w:overflowPunct w:val="0"/>
                    <w:autoSpaceDE/>
                    <w:autoSpaceDN/>
                    <w:adjustRightInd/>
                    <w:snapToGrid/>
                    <w:jc w:val="center"/>
                    <w:rPr>
                      <w:rFonts w:ascii="Times New Roman" w:hAnsi="Times New Roman" w:eastAsia="宋体" w:cs="Times New Roman"/>
                      <w:color w:val="auto"/>
                      <w:lang w:eastAsia="zh-CN"/>
                    </w:rPr>
                  </w:pPr>
                  <w:r>
                    <w:rPr>
                      <w:rFonts w:hint="eastAsia" w:cs="Times New Roman"/>
                      <w:color w:val="auto"/>
                      <w:sz w:val="21"/>
                      <w:szCs w:val="21"/>
                      <w:lang w:val="en-US" w:eastAsia="zh-CN"/>
                    </w:rPr>
                    <w:t>地面硬化</w:t>
                  </w:r>
                </w:p>
              </w:tc>
            </w:tr>
            <w:tr w14:paraId="483D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8" w:type="pct"/>
                  <w:gridSpan w:val="2"/>
                  <w:vAlign w:val="center"/>
                </w:tcPr>
                <w:p w14:paraId="59D831BE">
                  <w:pPr>
                    <w:kinsoku/>
                    <w:overflowPunct w:val="0"/>
                    <w:autoSpaceDE/>
                    <w:autoSpaceDN/>
                    <w:adjustRightInd/>
                    <w:snapToGrid/>
                    <w:jc w:val="center"/>
                    <w:rPr>
                      <w:rFonts w:ascii="Times New Roman" w:hAnsi="Times New Roman" w:eastAsia="宋体" w:cs="Times New Roman"/>
                      <w:color w:val="auto"/>
                      <w:spacing w:val="-2"/>
                    </w:rPr>
                  </w:pPr>
                  <w:r>
                    <w:rPr>
                      <w:rFonts w:ascii="Times New Roman" w:hAnsi="Times New Roman" w:eastAsia="宋体" w:cs="Times New Roman"/>
                      <w:color w:val="auto"/>
                    </w:rPr>
                    <w:t>环境管理</w:t>
                  </w:r>
                </w:p>
              </w:tc>
              <w:tc>
                <w:tcPr>
                  <w:tcW w:w="3871" w:type="pct"/>
                  <w:gridSpan w:val="2"/>
                  <w:vAlign w:val="center"/>
                </w:tcPr>
                <w:p w14:paraId="55F91B11">
                  <w:pPr>
                    <w:kinsoku/>
                    <w:overflowPunct w:val="0"/>
                    <w:autoSpaceDE/>
                    <w:autoSpaceDN/>
                    <w:adjustRightInd/>
                    <w:snapToGrid/>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1、加强环保设备设施日常维护及监控，保障环保设施处理效率。</w:t>
                  </w:r>
                </w:p>
                <w:p w14:paraId="50903B3C">
                  <w:pPr>
                    <w:kinsoku/>
                    <w:overflowPunct w:val="0"/>
                    <w:autoSpaceDE/>
                    <w:autoSpaceDN/>
                    <w:adjustRightInd/>
                    <w:snapToGrid/>
                    <w:rPr>
                      <w:rFonts w:ascii="Times New Roman" w:hAnsi="Times New Roman" w:eastAsia="宋体" w:cs="Times New Roman"/>
                      <w:bCs/>
                      <w:color w:val="auto"/>
                      <w:lang w:eastAsia="zh-CN"/>
                    </w:rPr>
                  </w:pPr>
                  <w:r>
                    <w:rPr>
                      <w:rFonts w:ascii="Times New Roman" w:hAnsi="Times New Roman" w:eastAsia="宋体" w:cs="Times New Roman"/>
                      <w:bCs/>
                      <w:color w:val="auto"/>
                      <w:lang w:eastAsia="zh-CN"/>
                    </w:rPr>
                    <w:t>2、建立、健全环保规章制度。</w:t>
                  </w:r>
                </w:p>
              </w:tc>
            </w:tr>
          </w:tbl>
          <w:p w14:paraId="5EAA7EEF">
            <w:pPr>
              <w:widowControl/>
              <w:kinsoku/>
              <w:overflowPunct w:val="0"/>
              <w:autoSpaceDE/>
              <w:autoSpaceDN/>
              <w:adjustRightInd/>
              <w:snapToGrid/>
              <w:spacing w:line="360" w:lineRule="auto"/>
              <w:rPr>
                <w:rFonts w:ascii="Times New Roman" w:hAnsi="Times New Roman" w:eastAsia="宋体" w:cs="Times New Roman"/>
                <w:color w:val="auto"/>
                <w:lang w:eastAsia="zh-CN"/>
              </w:rPr>
            </w:pPr>
          </w:p>
          <w:p w14:paraId="06736583">
            <w:pPr>
              <w:widowControl w:val="0"/>
              <w:spacing w:line="480" w:lineRule="atLeast"/>
              <w:rPr>
                <w:rFonts w:ascii="Times New Roman" w:hAnsi="Times New Roman" w:eastAsia="宋体" w:cs="Times New Roman"/>
                <w:color w:val="auto"/>
                <w:lang w:eastAsia="zh-CN"/>
              </w:rPr>
            </w:pPr>
          </w:p>
        </w:tc>
      </w:tr>
    </w:tbl>
    <w:p w14:paraId="5FAE8AD0">
      <w:pPr>
        <w:rPr>
          <w:rFonts w:ascii="Times New Roman" w:hAnsi="Times New Roman" w:eastAsia="宋体" w:cs="Times New Roman"/>
          <w:color w:val="auto"/>
          <w:lang w:eastAsia="zh-CN"/>
        </w:rPr>
      </w:pPr>
    </w:p>
    <w:p w14:paraId="77FDC450">
      <w:pPr>
        <w:rPr>
          <w:rFonts w:ascii="Times New Roman" w:hAnsi="Times New Roman" w:eastAsia="宋体" w:cs="Times New Roman"/>
          <w:color w:val="auto"/>
          <w:lang w:eastAsia="zh-CN"/>
        </w:rPr>
        <w:sectPr>
          <w:pgSz w:w="11907" w:h="16840"/>
          <w:pgMar w:top="1440" w:right="1800" w:bottom="1440" w:left="1800" w:header="0" w:footer="852" w:gutter="0"/>
          <w:cols w:space="720" w:num="1"/>
        </w:sectPr>
      </w:pPr>
    </w:p>
    <w:p w14:paraId="7582238D">
      <w:pPr>
        <w:pStyle w:val="7"/>
        <w:jc w:val="center"/>
        <w:outlineLvl w:val="0"/>
        <w:rPr>
          <w:rFonts w:ascii="Times New Roman" w:hAnsi="Times New Roman" w:eastAsia="宋体" w:cs="Times New Roman"/>
          <w:b/>
          <w:bCs/>
          <w:color w:val="auto"/>
          <w:sz w:val="32"/>
          <w:szCs w:val="32"/>
          <w:lang w:eastAsia="zh-CN"/>
        </w:rPr>
      </w:pPr>
      <w:bookmarkStart w:id="13" w:name="_Toc7808"/>
      <w:r>
        <w:rPr>
          <w:rFonts w:ascii="Times New Roman" w:hAnsi="Times New Roman" w:eastAsia="宋体" w:cs="Times New Roman"/>
          <w:b/>
          <w:bCs/>
          <w:color w:val="auto"/>
          <w:sz w:val="32"/>
          <w:szCs w:val="32"/>
          <w:lang w:eastAsia="zh-CN"/>
        </w:rPr>
        <w:t>五、环境保护措施监督检查清单</w:t>
      </w:r>
      <w:bookmarkEnd w:id="13"/>
    </w:p>
    <w:tbl>
      <w:tblPr>
        <w:tblStyle w:val="29"/>
        <w:tblW w:w="907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43"/>
        <w:gridCol w:w="1608"/>
        <w:gridCol w:w="1474"/>
        <w:gridCol w:w="2871"/>
        <w:gridCol w:w="2075"/>
      </w:tblGrid>
      <w:tr w14:paraId="623396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top w:val="single" w:color="000000" w:sz="6" w:space="0"/>
              <w:left w:val="single" w:color="000000" w:sz="6" w:space="0"/>
              <w:tl2br w:val="single" w:color="000000" w:sz="4" w:space="0"/>
            </w:tcBorders>
            <w:vAlign w:val="center"/>
          </w:tcPr>
          <w:p w14:paraId="1C9AD488">
            <w:pPr>
              <w:pStyle w:val="30"/>
              <w:kinsoku/>
              <w:overflowPunct w:val="0"/>
              <w:autoSpaceDE/>
              <w:autoSpaceDN/>
              <w:adjustRightInd/>
              <w:snapToGrid/>
              <w:jc w:val="right"/>
              <w:rPr>
                <w:rFonts w:ascii="Times New Roman" w:hAnsi="Times New Roman" w:eastAsia="宋体" w:cs="Times New Roman"/>
                <w:color w:val="auto"/>
                <w:sz w:val="21"/>
                <w:szCs w:val="21"/>
                <w:lang w:eastAsia="zh-CN"/>
              </w:rPr>
            </w:pPr>
            <w:r>
              <w:rPr>
                <w:rFonts w:hint="eastAsia" w:ascii="Times New Roman" w:hAnsi="Times New Roman" w:eastAsia="宋体" w:cs="Times New Roman"/>
                <w:b/>
                <w:bCs/>
                <w:color w:val="auto"/>
                <w:sz w:val="21"/>
                <w:szCs w:val="21"/>
                <w:lang w:eastAsia="zh-CN"/>
              </w:rPr>
              <w:t>内</w:t>
            </w:r>
            <w:r>
              <w:rPr>
                <w:rFonts w:ascii="Times New Roman" w:hAnsi="Times New Roman" w:eastAsia="宋体" w:cs="Times New Roman"/>
                <w:b/>
                <w:bCs/>
                <w:color w:val="auto"/>
                <w:sz w:val="21"/>
                <w:szCs w:val="21"/>
              </w:rPr>
              <w:t>容</w:t>
            </w:r>
          </w:p>
          <w:p w14:paraId="7AD82611">
            <w:pPr>
              <w:pStyle w:val="30"/>
              <w:kinsoku/>
              <w:overflowPunct w:val="0"/>
              <w:autoSpaceDE/>
              <w:autoSpaceDN/>
              <w:adjustRightInd/>
              <w:snapToGrid/>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要素</w:t>
            </w:r>
          </w:p>
        </w:tc>
        <w:tc>
          <w:tcPr>
            <w:tcW w:w="1608" w:type="dxa"/>
            <w:tcBorders>
              <w:top w:val="single" w:color="000000" w:sz="6" w:space="0"/>
            </w:tcBorders>
            <w:vAlign w:val="center"/>
          </w:tcPr>
          <w:p w14:paraId="5139510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排放口</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lang w:eastAsia="zh-CN"/>
              </w:rPr>
              <w:t>编号、名称</w:t>
            </w:r>
            <w:r>
              <w:rPr>
                <w:rFonts w:hint="eastAsia" w:ascii="Times New Roman" w:hAnsi="Times New Roman" w:eastAsia="宋体" w:cs="Times New Roman"/>
                <w:b/>
                <w:bCs/>
                <w:color w:val="auto"/>
                <w:sz w:val="21"/>
                <w:szCs w:val="21"/>
                <w:lang w:eastAsia="zh-CN"/>
              </w:rPr>
              <w:t>）</w:t>
            </w:r>
            <w:r>
              <w:rPr>
                <w:rFonts w:ascii="Times New Roman" w:hAnsi="Times New Roman" w:eastAsia="宋体" w:cs="Times New Roman"/>
                <w:b/>
                <w:bCs/>
                <w:color w:val="auto"/>
                <w:sz w:val="21"/>
                <w:szCs w:val="21"/>
                <w:lang w:eastAsia="zh-CN"/>
              </w:rPr>
              <w:t>/污染源</w:t>
            </w:r>
          </w:p>
        </w:tc>
        <w:tc>
          <w:tcPr>
            <w:tcW w:w="1474" w:type="dxa"/>
            <w:tcBorders>
              <w:top w:val="single" w:color="000000" w:sz="6" w:space="0"/>
            </w:tcBorders>
            <w:vAlign w:val="center"/>
          </w:tcPr>
          <w:p w14:paraId="1EE5BD3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污染物项目</w:t>
            </w:r>
          </w:p>
        </w:tc>
        <w:tc>
          <w:tcPr>
            <w:tcW w:w="2871" w:type="dxa"/>
            <w:tcBorders>
              <w:top w:val="single" w:color="000000" w:sz="6" w:space="0"/>
            </w:tcBorders>
            <w:vAlign w:val="center"/>
          </w:tcPr>
          <w:p w14:paraId="6E992B71">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环境保护措施</w:t>
            </w:r>
          </w:p>
        </w:tc>
        <w:tc>
          <w:tcPr>
            <w:tcW w:w="2075" w:type="dxa"/>
            <w:tcBorders>
              <w:top w:val="single" w:color="000000" w:sz="6" w:space="0"/>
              <w:right w:val="single" w:color="000000" w:sz="6" w:space="0"/>
            </w:tcBorders>
            <w:vAlign w:val="center"/>
          </w:tcPr>
          <w:p w14:paraId="052471E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b/>
                <w:bCs/>
                <w:color w:val="auto"/>
                <w:sz w:val="21"/>
                <w:szCs w:val="21"/>
              </w:rPr>
              <w:t>执行标准</w:t>
            </w:r>
          </w:p>
        </w:tc>
      </w:tr>
      <w:tr w14:paraId="4091A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7017C01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大气环境</w:t>
            </w:r>
          </w:p>
        </w:tc>
        <w:tc>
          <w:tcPr>
            <w:tcW w:w="1608" w:type="dxa"/>
            <w:vAlign w:val="center"/>
          </w:tcPr>
          <w:p w14:paraId="5A31C81D">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有组织</w:t>
            </w:r>
          </w:p>
        </w:tc>
        <w:tc>
          <w:tcPr>
            <w:tcW w:w="1474" w:type="dxa"/>
            <w:vAlign w:val="center"/>
          </w:tcPr>
          <w:p w14:paraId="42D6E79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颗粒物</w:t>
            </w:r>
          </w:p>
        </w:tc>
        <w:tc>
          <w:tcPr>
            <w:tcW w:w="2871" w:type="dxa"/>
            <w:vAlign w:val="center"/>
          </w:tcPr>
          <w:p w14:paraId="497E4FC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皮带输送粉尘、搅拌粉尘、出料粉尘经集气罩收集（半密闭集气罩，收集率</w:t>
            </w:r>
            <w:r>
              <w:rPr>
                <w:rFonts w:hint="eastAsia" w:cs="Times New Roman"/>
                <w:color w:val="auto"/>
                <w:sz w:val="21"/>
                <w:szCs w:val="21"/>
                <w:lang w:val="en-US" w:eastAsia="zh-CN"/>
              </w:rPr>
              <w:t>7</w:t>
            </w:r>
            <w:r>
              <w:rPr>
                <w:rFonts w:hint="eastAsia" w:ascii="Times New Roman" w:hAnsi="Times New Roman" w:eastAsia="宋体" w:cs="Times New Roman"/>
                <w:color w:val="auto"/>
                <w:sz w:val="21"/>
                <w:szCs w:val="21"/>
                <w:lang w:eastAsia="zh-CN"/>
              </w:rPr>
              <w:t>0%）后通过废气管道引至布袋除尘器处理（风量</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eastAsia="zh-CN"/>
              </w:rPr>
              <w:t>000m</w:t>
            </w:r>
            <w:r>
              <w:rPr>
                <w:rFonts w:hint="eastAsia" w:ascii="Times New Roman" w:hAnsi="Times New Roman" w:eastAsia="宋体" w:cs="Times New Roman"/>
                <w:color w:val="auto"/>
                <w:sz w:val="21"/>
                <w:szCs w:val="21"/>
                <w:vertAlign w:val="superscript"/>
                <w:lang w:eastAsia="zh-CN"/>
              </w:rPr>
              <w:t>3</w:t>
            </w:r>
            <w:r>
              <w:rPr>
                <w:rFonts w:hint="eastAsia" w:ascii="Times New Roman" w:hAnsi="Times New Roman" w:eastAsia="宋体" w:cs="Times New Roman"/>
                <w:color w:val="auto"/>
                <w:sz w:val="21"/>
                <w:szCs w:val="21"/>
                <w:lang w:eastAsia="zh-CN"/>
              </w:rPr>
              <w:t>/h，处理效率99%）后通过排气筒（DA001）排放；筒仓粉尘通过仓顶自带的脉冲布袋除尘器（处理效率99%）处理后由排气筒（DA002）排放</w:t>
            </w:r>
          </w:p>
        </w:tc>
        <w:tc>
          <w:tcPr>
            <w:tcW w:w="2075" w:type="dxa"/>
            <w:tcBorders>
              <w:right w:val="single" w:color="000000" w:sz="6" w:space="0"/>
            </w:tcBorders>
            <w:vAlign w:val="center"/>
          </w:tcPr>
          <w:p w14:paraId="0DC7AF0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《大气污染物综合排放标准》（GB16297-1996）表2中有组织最高允许排放浓度限值</w:t>
            </w:r>
          </w:p>
        </w:tc>
      </w:tr>
      <w:tr w14:paraId="13EC8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2E2D480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Merge w:val="restart"/>
            <w:vAlign w:val="center"/>
          </w:tcPr>
          <w:p w14:paraId="1A309F6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无组织</w:t>
            </w:r>
          </w:p>
        </w:tc>
        <w:tc>
          <w:tcPr>
            <w:tcW w:w="1474" w:type="dxa"/>
            <w:vAlign w:val="center"/>
          </w:tcPr>
          <w:p w14:paraId="566076C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颗粒物</w:t>
            </w:r>
          </w:p>
        </w:tc>
        <w:tc>
          <w:tcPr>
            <w:tcW w:w="2871" w:type="dxa"/>
            <w:vAlign w:val="center"/>
          </w:tcPr>
          <w:p w14:paraId="4DBA99BF">
            <w:pPr>
              <w:pStyle w:val="30"/>
              <w:kinsoku/>
              <w:overflowPunct w:val="0"/>
              <w:autoSpaceDE/>
              <w:autoSpaceDN/>
              <w:adjustRightInd/>
              <w:snapToGrid/>
              <w:jc w:val="both"/>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厂房</w:t>
            </w:r>
            <w:r>
              <w:rPr>
                <w:rFonts w:hint="eastAsia" w:ascii="Times New Roman" w:hAnsi="Times New Roman" w:eastAsia="宋体" w:cs="Times New Roman"/>
                <w:color w:val="auto"/>
                <w:sz w:val="21"/>
                <w:szCs w:val="21"/>
                <w:lang w:eastAsia="zh-CN"/>
              </w:rPr>
              <w:t>均为封闭厂房，仅设置一个出入口</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厂房出入口及顶棚出气口设置喷雾降尘设施，</w:t>
            </w:r>
            <w:r>
              <w:rPr>
                <w:rFonts w:ascii="Times New Roman" w:hAnsi="Times New Roman" w:eastAsia="宋体" w:cs="Times New Roman"/>
                <w:color w:val="auto"/>
                <w:sz w:val="21"/>
                <w:szCs w:val="21"/>
                <w:lang w:eastAsia="zh-CN"/>
              </w:rPr>
              <w:t>运输道路采用洒水降尘措施；</w:t>
            </w:r>
          </w:p>
        </w:tc>
        <w:tc>
          <w:tcPr>
            <w:tcW w:w="2075" w:type="dxa"/>
            <w:tcBorders>
              <w:right w:val="single" w:color="000000" w:sz="6" w:space="0"/>
            </w:tcBorders>
            <w:vAlign w:val="center"/>
          </w:tcPr>
          <w:p w14:paraId="0AA91739">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bCs/>
                <w:color w:val="auto"/>
                <w:sz w:val="21"/>
                <w:szCs w:val="21"/>
                <w:lang w:eastAsia="zh-CN"/>
              </w:rPr>
              <w:t>《大气污染物综合排放标准》（GB16297-1996）表2中无组织排放监控浓度限值</w:t>
            </w:r>
          </w:p>
        </w:tc>
      </w:tr>
      <w:tr w14:paraId="7B8B4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4592D4A">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Merge w:val="continue"/>
            <w:vAlign w:val="center"/>
          </w:tcPr>
          <w:p w14:paraId="1C2B6B1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474" w:type="dxa"/>
            <w:vAlign w:val="center"/>
          </w:tcPr>
          <w:p w14:paraId="48B7365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油烟</w:t>
            </w:r>
          </w:p>
        </w:tc>
        <w:tc>
          <w:tcPr>
            <w:tcW w:w="2871" w:type="dxa"/>
            <w:vAlign w:val="center"/>
          </w:tcPr>
          <w:p w14:paraId="37AC1579">
            <w:pPr>
              <w:pStyle w:val="30"/>
              <w:kinsoku/>
              <w:overflowPunct w:val="0"/>
              <w:autoSpaceDE/>
              <w:autoSpaceDN/>
              <w:adjustRightInd/>
              <w:snapToGrid/>
              <w:jc w:val="both"/>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安装的</w:t>
            </w:r>
            <w:r>
              <w:rPr>
                <w:rFonts w:ascii="Times New Roman" w:hAnsi="Times New Roman" w:eastAsia="宋体" w:cs="Times New Roman"/>
                <w:color w:val="auto"/>
                <w:sz w:val="21"/>
                <w:szCs w:val="21"/>
                <w:lang w:eastAsia="zh-CN"/>
              </w:rPr>
              <w:t>1套风量为</w:t>
            </w:r>
            <w:r>
              <w:rPr>
                <w:rFonts w:hint="eastAsia" w:ascii="Times New Roman" w:hAnsi="Times New Roman" w:eastAsia="宋体" w:cs="Times New Roman"/>
                <w:color w:val="auto"/>
                <w:sz w:val="21"/>
                <w:szCs w:val="21"/>
                <w:lang w:eastAsia="zh-CN"/>
              </w:rPr>
              <w:t>15</w:t>
            </w:r>
            <w:r>
              <w:rPr>
                <w:rFonts w:ascii="Times New Roman" w:hAnsi="Times New Roman" w:eastAsia="宋体" w:cs="Times New Roman"/>
                <w:color w:val="auto"/>
                <w:sz w:val="21"/>
                <w:szCs w:val="21"/>
                <w:lang w:eastAsia="zh-CN"/>
              </w:rPr>
              <w:t>00m</w:t>
            </w:r>
            <w:r>
              <w:rPr>
                <w:rFonts w:ascii="Times New Roman" w:hAnsi="Times New Roman" w:eastAsia="宋体" w:cs="Times New Roman"/>
                <w:color w:val="auto"/>
                <w:sz w:val="21"/>
                <w:szCs w:val="21"/>
                <w:vertAlign w:val="superscript"/>
                <w:lang w:eastAsia="zh-CN"/>
              </w:rPr>
              <w:t>3</w:t>
            </w:r>
            <w:r>
              <w:rPr>
                <w:rFonts w:ascii="Times New Roman" w:hAnsi="Times New Roman" w:eastAsia="宋体" w:cs="Times New Roman"/>
                <w:color w:val="auto"/>
                <w:sz w:val="21"/>
                <w:szCs w:val="21"/>
                <w:lang w:eastAsia="zh-CN"/>
              </w:rPr>
              <w:t>/h</w:t>
            </w:r>
            <w:r>
              <w:rPr>
                <w:rFonts w:hint="eastAsia" w:ascii="Times New Roman" w:hAnsi="Times New Roman" w:eastAsia="宋体" w:cs="Times New Roman"/>
                <w:color w:val="auto"/>
                <w:sz w:val="21"/>
                <w:szCs w:val="21"/>
                <w:lang w:eastAsia="zh-CN"/>
              </w:rPr>
              <w:t>、净化率</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60%</w:t>
            </w:r>
            <w:r>
              <w:rPr>
                <w:rFonts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rPr>
              <w:t>油烟净化器</w:t>
            </w:r>
          </w:p>
        </w:tc>
        <w:tc>
          <w:tcPr>
            <w:tcW w:w="2075" w:type="dxa"/>
            <w:tcBorders>
              <w:right w:val="single" w:color="000000" w:sz="6" w:space="0"/>
            </w:tcBorders>
            <w:vAlign w:val="center"/>
          </w:tcPr>
          <w:p w14:paraId="5FC09E71">
            <w:pPr>
              <w:kinsoku/>
              <w:overflowPunct w:val="0"/>
              <w:autoSpaceDE/>
              <w:autoSpaceDN/>
              <w:adjustRightInd/>
              <w:snapToGrid/>
              <w:jc w:val="center"/>
              <w:rPr>
                <w:rFonts w:ascii="Times New Roman" w:hAnsi="Times New Roman" w:eastAsia="宋体" w:cs="Times New Roman"/>
                <w:color w:val="auto"/>
                <w:lang w:eastAsia="zh-CN"/>
              </w:rPr>
            </w:pPr>
            <w:r>
              <w:rPr>
                <w:rFonts w:ascii="Times New Roman" w:hAnsi="Times New Roman" w:eastAsia="宋体" w:cs="Times New Roman"/>
                <w:color w:val="auto"/>
                <w:lang w:eastAsia="zh-CN" w:bidi="ar"/>
              </w:rPr>
              <w:t>达到《饮食业油烟排放标准》（GB18483-2001）中的小型食堂油烟排放标准</w:t>
            </w:r>
          </w:p>
        </w:tc>
      </w:tr>
      <w:tr w14:paraId="2218E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2A135EA4">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地表水环境</w:t>
            </w:r>
          </w:p>
        </w:tc>
        <w:tc>
          <w:tcPr>
            <w:tcW w:w="1608" w:type="dxa"/>
            <w:vAlign w:val="center"/>
          </w:tcPr>
          <w:p w14:paraId="4422901F">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生活污水</w:t>
            </w:r>
          </w:p>
        </w:tc>
        <w:tc>
          <w:tcPr>
            <w:tcW w:w="1474" w:type="dxa"/>
            <w:vAlign w:val="center"/>
          </w:tcPr>
          <w:p w14:paraId="7CFFC73B">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pH、CODcr、BOD</w:t>
            </w:r>
            <w:r>
              <w:rPr>
                <w:rFonts w:hint="eastAsia" w:ascii="Times New Roman" w:hAnsi="Times New Roman" w:eastAsia="宋体" w:cs="Times New Roman"/>
                <w:color w:val="auto"/>
                <w:sz w:val="21"/>
                <w:szCs w:val="21"/>
                <w:vertAlign w:val="subscript"/>
                <w:lang w:eastAsia="zh-CN"/>
              </w:rPr>
              <w:t>5</w:t>
            </w:r>
            <w:r>
              <w:rPr>
                <w:rFonts w:ascii="Times New Roman" w:hAnsi="Times New Roman" w:eastAsia="宋体" w:cs="Times New Roman"/>
                <w:color w:val="auto"/>
                <w:sz w:val="21"/>
                <w:szCs w:val="21"/>
              </w:rPr>
              <w:t>、SS、氨氮、总磷</w:t>
            </w:r>
          </w:p>
        </w:tc>
        <w:tc>
          <w:tcPr>
            <w:tcW w:w="4946" w:type="dxa"/>
            <w:gridSpan w:val="2"/>
            <w:tcBorders>
              <w:right w:val="single" w:color="000000" w:sz="6" w:space="0"/>
            </w:tcBorders>
            <w:vAlign w:val="center"/>
          </w:tcPr>
          <w:p w14:paraId="7B8B17B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食堂废水经隔油池处理后与其他生活污水经过</w:t>
            </w:r>
            <w:r>
              <w:rPr>
                <w:rFonts w:hint="eastAsia" w:ascii="Times New Roman" w:hAnsi="Times New Roman" w:eastAsia="宋体" w:cs="Times New Roman"/>
                <w:color w:val="auto"/>
                <w:sz w:val="21"/>
                <w:szCs w:val="21"/>
                <w:lang w:eastAsia="zh-CN"/>
              </w:rPr>
              <w:t>化粪池</w:t>
            </w:r>
            <w:r>
              <w:rPr>
                <w:rFonts w:ascii="Times New Roman" w:hAnsi="Times New Roman" w:eastAsia="宋体" w:cs="Times New Roman"/>
                <w:color w:val="auto"/>
                <w:sz w:val="21"/>
                <w:szCs w:val="21"/>
                <w:lang w:eastAsia="zh-CN"/>
              </w:rPr>
              <w:t>处理后</w:t>
            </w:r>
            <w:r>
              <w:rPr>
                <w:rFonts w:hint="eastAsia" w:ascii="Times New Roman" w:hAnsi="Times New Roman" w:eastAsia="宋体" w:cs="Times New Roman"/>
                <w:color w:val="auto"/>
                <w:sz w:val="21"/>
                <w:szCs w:val="21"/>
                <w:lang w:eastAsia="zh-CN"/>
              </w:rPr>
              <w:t>进入一体化污水处理设施，处理后暂存于中水池，待非雨天回用于厂内绿化及降尘</w:t>
            </w:r>
            <w:r>
              <w:rPr>
                <w:rFonts w:ascii="Times New Roman" w:hAnsi="Times New Roman" w:eastAsia="宋体" w:cs="Times New Roman"/>
                <w:color w:val="auto"/>
                <w:sz w:val="21"/>
                <w:szCs w:val="21"/>
                <w:lang w:eastAsia="zh-CN"/>
              </w:rPr>
              <w:t>。</w:t>
            </w:r>
          </w:p>
        </w:tc>
      </w:tr>
      <w:tr w14:paraId="486E5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311C91C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p>
        </w:tc>
        <w:tc>
          <w:tcPr>
            <w:tcW w:w="1608" w:type="dxa"/>
            <w:vAlign w:val="center"/>
          </w:tcPr>
          <w:p w14:paraId="3010CCF1">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初期雨水</w:t>
            </w:r>
          </w:p>
        </w:tc>
        <w:tc>
          <w:tcPr>
            <w:tcW w:w="1474" w:type="dxa"/>
            <w:vAlign w:val="center"/>
          </w:tcPr>
          <w:p w14:paraId="0F9310FF">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SS</w:t>
            </w:r>
          </w:p>
        </w:tc>
        <w:tc>
          <w:tcPr>
            <w:tcW w:w="4946" w:type="dxa"/>
            <w:gridSpan w:val="2"/>
            <w:tcBorders>
              <w:right w:val="single" w:color="000000" w:sz="6" w:space="0"/>
            </w:tcBorders>
            <w:vAlign w:val="center"/>
          </w:tcPr>
          <w:p w14:paraId="17FFB92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设置一个容积为20</w:t>
            </w:r>
            <w:r>
              <w:rPr>
                <w:rFonts w:hint="eastAsia" w:ascii="Times New Roman" w:hAnsi="Times New Roman" w:eastAsia="宋体" w:cs="Times New Roman"/>
                <w:color w:val="auto"/>
                <w:sz w:val="21"/>
                <w:szCs w:val="21"/>
                <w:lang w:eastAsia="zh-CN" w:bidi="ar"/>
              </w:rPr>
              <w:t>0m</w:t>
            </w:r>
            <w:r>
              <w:rPr>
                <w:rFonts w:hint="eastAsia" w:ascii="Times New Roman" w:hAnsi="Times New Roman" w:eastAsia="宋体" w:cs="Times New Roman"/>
                <w:color w:val="auto"/>
                <w:sz w:val="21"/>
                <w:szCs w:val="21"/>
                <w:vertAlign w:val="superscript"/>
                <w:lang w:eastAsia="zh-CN" w:bidi="ar"/>
              </w:rPr>
              <w:t>3</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bidi="ar"/>
              </w:rPr>
              <w:t>初期雨水收集池，</w:t>
            </w:r>
            <w:r>
              <w:rPr>
                <w:rFonts w:hint="eastAsia" w:ascii="Times New Roman" w:hAnsi="Times New Roman" w:eastAsia="宋体" w:cs="Times New Roman"/>
                <w:color w:val="auto"/>
                <w:sz w:val="21"/>
                <w:szCs w:val="21"/>
                <w:lang w:eastAsia="zh-CN"/>
              </w:rPr>
              <w:t>初期雨水经</w:t>
            </w:r>
            <w:r>
              <w:rPr>
                <w:rFonts w:hint="eastAsia" w:cs="Times New Roman"/>
                <w:color w:val="auto"/>
                <w:sz w:val="21"/>
                <w:szCs w:val="21"/>
                <w:lang w:val="en-US" w:eastAsia="zh-CN"/>
              </w:rPr>
              <w:t>絮凝</w:t>
            </w:r>
            <w:r>
              <w:rPr>
                <w:rFonts w:hint="eastAsia" w:ascii="Times New Roman" w:hAnsi="Times New Roman" w:eastAsia="宋体" w:cs="Times New Roman"/>
                <w:color w:val="auto"/>
                <w:sz w:val="21"/>
                <w:szCs w:val="21"/>
                <w:lang w:eastAsia="zh-CN"/>
              </w:rPr>
              <w:t>沉淀处理后回用于厂区降尘。</w:t>
            </w:r>
          </w:p>
        </w:tc>
      </w:tr>
      <w:tr w14:paraId="200D9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left w:val="single" w:color="000000" w:sz="6" w:space="0"/>
            </w:tcBorders>
            <w:vAlign w:val="center"/>
          </w:tcPr>
          <w:p w14:paraId="4D14B610">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声环境</w:t>
            </w:r>
          </w:p>
        </w:tc>
        <w:tc>
          <w:tcPr>
            <w:tcW w:w="1608" w:type="dxa"/>
            <w:vAlign w:val="center"/>
          </w:tcPr>
          <w:p w14:paraId="2E99738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设备噪声</w:t>
            </w:r>
          </w:p>
        </w:tc>
        <w:tc>
          <w:tcPr>
            <w:tcW w:w="1474" w:type="dxa"/>
            <w:vAlign w:val="center"/>
          </w:tcPr>
          <w:p w14:paraId="4FF1FB9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等效连续A声级</w:t>
            </w:r>
          </w:p>
        </w:tc>
        <w:tc>
          <w:tcPr>
            <w:tcW w:w="2871" w:type="dxa"/>
            <w:vAlign w:val="center"/>
          </w:tcPr>
          <w:p w14:paraId="114D28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厂房隔音、设备减震</w:t>
            </w:r>
            <w:r>
              <w:rPr>
                <w:rFonts w:hint="eastAsia" w:ascii="Times New Roman" w:hAnsi="Times New Roman" w:eastAsia="宋体" w:cs="Times New Roman"/>
                <w:color w:val="auto"/>
                <w:sz w:val="21"/>
                <w:szCs w:val="21"/>
                <w:lang w:eastAsia="zh-CN"/>
              </w:rPr>
              <w:t>、厂区绿化</w:t>
            </w:r>
          </w:p>
        </w:tc>
        <w:tc>
          <w:tcPr>
            <w:tcW w:w="2075" w:type="dxa"/>
            <w:tcBorders>
              <w:right w:val="single" w:color="000000" w:sz="6" w:space="0"/>
            </w:tcBorders>
            <w:vAlign w:val="center"/>
          </w:tcPr>
          <w:p w14:paraId="5807031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《工业企业厂界环境噪声排放标准》（GB12348-2008）2类标准。即昼间≤60dB，夜间≤50dB。</w:t>
            </w:r>
          </w:p>
        </w:tc>
      </w:tr>
      <w:tr w14:paraId="4029BF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tcBorders>
              <w:left w:val="single" w:color="000000" w:sz="6" w:space="0"/>
            </w:tcBorders>
            <w:vAlign w:val="center"/>
          </w:tcPr>
          <w:p w14:paraId="45449D4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电磁辐射</w:t>
            </w:r>
          </w:p>
        </w:tc>
        <w:tc>
          <w:tcPr>
            <w:tcW w:w="1608" w:type="dxa"/>
            <w:vAlign w:val="center"/>
          </w:tcPr>
          <w:p w14:paraId="74530AA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1474" w:type="dxa"/>
            <w:vAlign w:val="center"/>
          </w:tcPr>
          <w:p w14:paraId="30CCA2A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871" w:type="dxa"/>
            <w:vAlign w:val="center"/>
          </w:tcPr>
          <w:p w14:paraId="3588AF6B">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c>
          <w:tcPr>
            <w:tcW w:w="2075" w:type="dxa"/>
            <w:tcBorders>
              <w:right w:val="single" w:color="000000" w:sz="6" w:space="0"/>
            </w:tcBorders>
            <w:vAlign w:val="center"/>
          </w:tcPr>
          <w:p w14:paraId="57BE720A">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75E2E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restart"/>
            <w:tcBorders>
              <w:left w:val="single" w:color="000000" w:sz="6" w:space="0"/>
            </w:tcBorders>
            <w:vAlign w:val="center"/>
          </w:tcPr>
          <w:p w14:paraId="1C96122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固体废物</w:t>
            </w:r>
          </w:p>
        </w:tc>
        <w:tc>
          <w:tcPr>
            <w:tcW w:w="1608" w:type="dxa"/>
            <w:vMerge w:val="restart"/>
            <w:vAlign w:val="center"/>
          </w:tcPr>
          <w:p w14:paraId="44425E38">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一般固废</w:t>
            </w:r>
          </w:p>
        </w:tc>
        <w:tc>
          <w:tcPr>
            <w:tcW w:w="1474" w:type="dxa"/>
            <w:vAlign w:val="center"/>
          </w:tcPr>
          <w:p w14:paraId="4125693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收集尘</w:t>
            </w:r>
          </w:p>
        </w:tc>
        <w:tc>
          <w:tcPr>
            <w:tcW w:w="2871" w:type="dxa"/>
            <w:vAlign w:val="center"/>
          </w:tcPr>
          <w:p w14:paraId="5341C815">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收集后回用于生产</w:t>
            </w:r>
          </w:p>
        </w:tc>
        <w:tc>
          <w:tcPr>
            <w:tcW w:w="2075" w:type="dxa"/>
            <w:tcBorders>
              <w:right w:val="single" w:color="000000" w:sz="6" w:space="0"/>
            </w:tcBorders>
            <w:vAlign w:val="center"/>
          </w:tcPr>
          <w:p w14:paraId="1DA59F74">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08E95A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1CA25FCB">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1C41BB66">
            <w:pPr>
              <w:kinsoku/>
              <w:overflowPunct w:val="0"/>
              <w:autoSpaceDE/>
              <w:autoSpaceDN/>
              <w:adjustRightInd/>
              <w:snapToGrid/>
              <w:jc w:val="center"/>
              <w:rPr>
                <w:rFonts w:ascii="Times New Roman" w:hAnsi="Times New Roman" w:eastAsia="宋体" w:cs="Times New Roman"/>
                <w:color w:val="auto"/>
              </w:rPr>
            </w:pPr>
          </w:p>
        </w:tc>
        <w:tc>
          <w:tcPr>
            <w:tcW w:w="1474" w:type="dxa"/>
            <w:vAlign w:val="center"/>
          </w:tcPr>
          <w:p w14:paraId="20BF0AED">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隔油池油污</w:t>
            </w:r>
          </w:p>
        </w:tc>
        <w:tc>
          <w:tcPr>
            <w:tcW w:w="2871" w:type="dxa"/>
            <w:vAlign w:val="center"/>
          </w:tcPr>
          <w:p w14:paraId="5C12FBE4">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委托取得餐厨废弃物特许经营许可的单位定期清运处置</w:t>
            </w:r>
          </w:p>
        </w:tc>
        <w:tc>
          <w:tcPr>
            <w:tcW w:w="2075" w:type="dxa"/>
            <w:tcBorders>
              <w:right w:val="single" w:color="000000" w:sz="6" w:space="0"/>
            </w:tcBorders>
            <w:vAlign w:val="center"/>
          </w:tcPr>
          <w:p w14:paraId="5F5632D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49CD4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B36D056">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00E363B7">
            <w:pPr>
              <w:kinsoku/>
              <w:overflowPunct w:val="0"/>
              <w:autoSpaceDE/>
              <w:autoSpaceDN/>
              <w:adjustRightInd/>
              <w:snapToGrid/>
              <w:jc w:val="center"/>
              <w:rPr>
                <w:rFonts w:ascii="Times New Roman" w:hAnsi="Times New Roman" w:eastAsia="宋体" w:cs="Times New Roman"/>
                <w:color w:val="auto"/>
              </w:rPr>
            </w:pPr>
          </w:p>
        </w:tc>
        <w:tc>
          <w:tcPr>
            <w:tcW w:w="1474" w:type="dxa"/>
            <w:tcBorders>
              <w:bottom w:val="single" w:color="000000" w:sz="6" w:space="0"/>
            </w:tcBorders>
            <w:vAlign w:val="center"/>
          </w:tcPr>
          <w:p w14:paraId="2E75095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污水处理</w:t>
            </w:r>
            <w:r>
              <w:rPr>
                <w:rFonts w:ascii="Times New Roman" w:hAnsi="Times New Roman" w:eastAsia="宋体" w:cs="Times New Roman"/>
                <w:color w:val="auto"/>
                <w:sz w:val="21"/>
                <w:szCs w:val="21"/>
              </w:rPr>
              <w:t>污泥</w:t>
            </w:r>
          </w:p>
        </w:tc>
        <w:tc>
          <w:tcPr>
            <w:tcW w:w="2871" w:type="dxa"/>
            <w:tcBorders>
              <w:bottom w:val="single" w:color="000000" w:sz="6" w:space="0"/>
            </w:tcBorders>
            <w:vAlign w:val="center"/>
          </w:tcPr>
          <w:p w14:paraId="5AF35E37">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定期</w:t>
            </w:r>
            <w:r>
              <w:rPr>
                <w:rFonts w:hint="eastAsia" w:ascii="Times New Roman" w:hAnsi="Times New Roman" w:eastAsia="宋体" w:cs="Times New Roman"/>
                <w:color w:val="auto"/>
                <w:sz w:val="21"/>
                <w:szCs w:val="21"/>
                <w:lang w:eastAsia="zh-CN"/>
              </w:rPr>
              <w:t>委托环卫部门清运处置</w:t>
            </w:r>
          </w:p>
        </w:tc>
        <w:tc>
          <w:tcPr>
            <w:tcW w:w="2075" w:type="dxa"/>
            <w:tcBorders>
              <w:bottom w:val="single" w:color="000000" w:sz="6" w:space="0"/>
              <w:right w:val="single" w:color="000000" w:sz="6" w:space="0"/>
            </w:tcBorders>
            <w:vAlign w:val="center"/>
          </w:tcPr>
          <w:p w14:paraId="457237A3">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256033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642970B6">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24D5DCEC">
            <w:pPr>
              <w:kinsoku/>
              <w:overflowPunct w:val="0"/>
              <w:autoSpaceDE/>
              <w:autoSpaceDN/>
              <w:adjustRightInd/>
              <w:snapToGrid/>
              <w:jc w:val="center"/>
              <w:rPr>
                <w:rFonts w:ascii="Times New Roman" w:hAnsi="Times New Roman" w:eastAsia="宋体" w:cs="Times New Roman"/>
                <w:color w:val="auto"/>
              </w:rPr>
            </w:pPr>
          </w:p>
        </w:tc>
        <w:tc>
          <w:tcPr>
            <w:tcW w:w="1474" w:type="dxa"/>
            <w:tcBorders>
              <w:top w:val="single" w:color="000000" w:sz="6" w:space="0"/>
            </w:tcBorders>
            <w:vAlign w:val="center"/>
          </w:tcPr>
          <w:p w14:paraId="3B89054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生活垃圾</w:t>
            </w:r>
          </w:p>
        </w:tc>
        <w:tc>
          <w:tcPr>
            <w:tcW w:w="2871" w:type="dxa"/>
            <w:tcBorders>
              <w:top w:val="single" w:color="000000" w:sz="6" w:space="0"/>
            </w:tcBorders>
            <w:vAlign w:val="center"/>
          </w:tcPr>
          <w:p w14:paraId="129D4453">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收集后委托环卫部门定期清运处置</w:t>
            </w:r>
          </w:p>
        </w:tc>
        <w:tc>
          <w:tcPr>
            <w:tcW w:w="2075" w:type="dxa"/>
            <w:tcBorders>
              <w:top w:val="single" w:color="000000" w:sz="6" w:space="0"/>
              <w:right w:val="single" w:color="000000" w:sz="6" w:space="0"/>
            </w:tcBorders>
            <w:vAlign w:val="center"/>
          </w:tcPr>
          <w:p w14:paraId="3652E67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7BC55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6A69DA2">
            <w:pPr>
              <w:kinsoku/>
              <w:overflowPunct w:val="0"/>
              <w:autoSpaceDE/>
              <w:autoSpaceDN/>
              <w:adjustRightInd/>
              <w:snapToGrid/>
              <w:jc w:val="center"/>
              <w:rPr>
                <w:rFonts w:ascii="Times New Roman" w:hAnsi="Times New Roman" w:eastAsia="宋体" w:cs="Times New Roman"/>
                <w:color w:val="auto"/>
              </w:rPr>
            </w:pPr>
          </w:p>
        </w:tc>
        <w:tc>
          <w:tcPr>
            <w:tcW w:w="1608" w:type="dxa"/>
            <w:vMerge w:val="continue"/>
            <w:vAlign w:val="center"/>
          </w:tcPr>
          <w:p w14:paraId="70FA41E4">
            <w:pPr>
              <w:kinsoku/>
              <w:overflowPunct w:val="0"/>
              <w:autoSpaceDE/>
              <w:autoSpaceDN/>
              <w:adjustRightInd/>
              <w:snapToGrid/>
              <w:jc w:val="center"/>
              <w:rPr>
                <w:rFonts w:ascii="Times New Roman" w:hAnsi="Times New Roman" w:eastAsia="宋体" w:cs="Times New Roman"/>
                <w:color w:val="auto"/>
              </w:rPr>
            </w:pPr>
          </w:p>
        </w:tc>
        <w:tc>
          <w:tcPr>
            <w:tcW w:w="1474" w:type="dxa"/>
            <w:tcBorders>
              <w:top w:val="single" w:color="000000" w:sz="6" w:space="0"/>
            </w:tcBorders>
            <w:vAlign w:val="center"/>
          </w:tcPr>
          <w:p w14:paraId="4BBEB35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初期雨水收集池污泥</w:t>
            </w:r>
          </w:p>
        </w:tc>
        <w:tc>
          <w:tcPr>
            <w:tcW w:w="2871" w:type="dxa"/>
            <w:tcBorders>
              <w:top w:val="single" w:color="000000" w:sz="6" w:space="0"/>
            </w:tcBorders>
            <w:vAlign w:val="center"/>
          </w:tcPr>
          <w:p w14:paraId="6DF35058">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收集后委托环卫部门定期清运处置</w:t>
            </w:r>
          </w:p>
        </w:tc>
        <w:tc>
          <w:tcPr>
            <w:tcW w:w="2075" w:type="dxa"/>
            <w:tcBorders>
              <w:top w:val="single" w:color="000000" w:sz="6" w:space="0"/>
              <w:right w:val="single" w:color="000000" w:sz="6" w:space="0"/>
            </w:tcBorders>
            <w:vAlign w:val="center"/>
          </w:tcPr>
          <w:p w14:paraId="2A5E393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4A354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5C7AB354">
            <w:pPr>
              <w:kinsoku/>
              <w:overflowPunct w:val="0"/>
              <w:autoSpaceDE/>
              <w:autoSpaceDN/>
              <w:adjustRightInd/>
              <w:snapToGrid/>
              <w:jc w:val="center"/>
              <w:rPr>
                <w:rFonts w:ascii="Times New Roman" w:hAnsi="Times New Roman" w:eastAsia="宋体" w:cs="Times New Roman"/>
                <w:color w:val="auto"/>
              </w:rPr>
            </w:pPr>
          </w:p>
        </w:tc>
        <w:tc>
          <w:tcPr>
            <w:tcW w:w="1608" w:type="dxa"/>
            <w:vMerge w:val="restart"/>
            <w:vAlign w:val="center"/>
          </w:tcPr>
          <w:p w14:paraId="6A3E8D88">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危险废物</w:t>
            </w:r>
          </w:p>
        </w:tc>
        <w:tc>
          <w:tcPr>
            <w:tcW w:w="1474" w:type="dxa"/>
            <w:tcBorders>
              <w:top w:val="single" w:color="000000" w:sz="6" w:space="0"/>
            </w:tcBorders>
            <w:vAlign w:val="center"/>
          </w:tcPr>
          <w:p w14:paraId="7CC88972">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废含油手套及抹布</w:t>
            </w:r>
          </w:p>
        </w:tc>
        <w:tc>
          <w:tcPr>
            <w:tcW w:w="2871" w:type="dxa"/>
            <w:tcBorders>
              <w:top w:val="single" w:color="000000" w:sz="6" w:space="0"/>
            </w:tcBorders>
            <w:vAlign w:val="center"/>
          </w:tcPr>
          <w:p w14:paraId="344DE1F6">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定期委托有资质单位清运处置。</w:t>
            </w:r>
          </w:p>
        </w:tc>
        <w:tc>
          <w:tcPr>
            <w:tcW w:w="2075" w:type="dxa"/>
            <w:tcBorders>
              <w:top w:val="single" w:color="000000" w:sz="6" w:space="0"/>
              <w:right w:val="single" w:color="000000" w:sz="6" w:space="0"/>
            </w:tcBorders>
            <w:vAlign w:val="center"/>
          </w:tcPr>
          <w:p w14:paraId="2AE26479">
            <w:pPr>
              <w:kinsoku/>
              <w:overflowPunct w:val="0"/>
              <w:autoSpaceDE/>
              <w:autoSpaceDN/>
              <w:adjustRightInd/>
              <w:snapToGrid/>
              <w:jc w:val="center"/>
              <w:rPr>
                <w:rFonts w:ascii="Times New Roman" w:hAnsi="Times New Roman" w:eastAsia="宋体" w:cs="Times New Roman"/>
                <w:color w:val="auto"/>
                <w:lang w:eastAsia="zh-CN"/>
              </w:rPr>
            </w:pPr>
          </w:p>
        </w:tc>
      </w:tr>
      <w:tr w14:paraId="4B9CD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1043" w:type="dxa"/>
            <w:vMerge w:val="continue"/>
            <w:tcBorders>
              <w:left w:val="single" w:color="000000" w:sz="6" w:space="0"/>
            </w:tcBorders>
            <w:vAlign w:val="center"/>
          </w:tcPr>
          <w:p w14:paraId="78350E72">
            <w:pPr>
              <w:kinsoku/>
              <w:overflowPunct w:val="0"/>
              <w:autoSpaceDE/>
              <w:autoSpaceDN/>
              <w:adjustRightInd/>
              <w:snapToGrid/>
              <w:jc w:val="center"/>
              <w:rPr>
                <w:rFonts w:ascii="Times New Roman" w:hAnsi="Times New Roman" w:eastAsia="宋体" w:cs="Times New Roman"/>
                <w:color w:val="auto"/>
                <w:lang w:eastAsia="zh-CN"/>
              </w:rPr>
            </w:pPr>
          </w:p>
        </w:tc>
        <w:tc>
          <w:tcPr>
            <w:tcW w:w="1608" w:type="dxa"/>
            <w:vMerge w:val="continue"/>
            <w:vAlign w:val="center"/>
          </w:tcPr>
          <w:p w14:paraId="26781E0E">
            <w:pPr>
              <w:kinsoku/>
              <w:overflowPunct w:val="0"/>
              <w:autoSpaceDE/>
              <w:autoSpaceDN/>
              <w:adjustRightInd/>
              <w:snapToGrid/>
              <w:jc w:val="center"/>
              <w:rPr>
                <w:rFonts w:ascii="Times New Roman" w:hAnsi="Times New Roman" w:eastAsia="宋体" w:cs="Times New Roman"/>
                <w:color w:val="auto"/>
                <w:lang w:eastAsia="zh-CN"/>
              </w:rPr>
            </w:pPr>
          </w:p>
        </w:tc>
        <w:tc>
          <w:tcPr>
            <w:tcW w:w="1474" w:type="dxa"/>
            <w:tcBorders>
              <w:top w:val="single" w:color="000000" w:sz="6" w:space="0"/>
            </w:tcBorders>
            <w:vAlign w:val="center"/>
          </w:tcPr>
          <w:p w14:paraId="6925D5A0">
            <w:pPr>
              <w:pStyle w:val="30"/>
              <w:kinsoku/>
              <w:overflowPunct w:val="0"/>
              <w:autoSpaceDE/>
              <w:autoSpaceDN/>
              <w:adjustRightInd/>
              <w:snapToGrid/>
              <w:jc w:val="center"/>
              <w:rPr>
                <w:rFonts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废机油</w:t>
            </w:r>
          </w:p>
        </w:tc>
        <w:tc>
          <w:tcPr>
            <w:tcW w:w="2871" w:type="dxa"/>
            <w:tcBorders>
              <w:top w:val="single" w:color="000000" w:sz="6" w:space="0"/>
            </w:tcBorders>
            <w:vAlign w:val="center"/>
          </w:tcPr>
          <w:p w14:paraId="6B815375">
            <w:pPr>
              <w:pStyle w:val="30"/>
              <w:kinsoku/>
              <w:overflowPunct w:val="0"/>
              <w:autoSpaceDE/>
              <w:autoSpaceDN/>
              <w:adjustRightInd/>
              <w:snapToGrid/>
              <w:jc w:val="center"/>
              <w:rPr>
                <w:rFonts w:ascii="Times New Roman" w:hAnsi="Times New Roman" w:eastAsia="宋体" w:cs="Times New Roman"/>
                <w:b/>
                <w:bCs/>
                <w:color w:val="auto"/>
                <w:sz w:val="21"/>
                <w:szCs w:val="21"/>
                <w:lang w:eastAsia="zh-CN"/>
              </w:rPr>
            </w:pPr>
            <w:r>
              <w:rPr>
                <w:rFonts w:ascii="Times New Roman" w:hAnsi="Times New Roman" w:eastAsia="宋体" w:cs="Times New Roman"/>
                <w:color w:val="auto"/>
                <w:sz w:val="21"/>
                <w:szCs w:val="21"/>
                <w:lang w:eastAsia="zh-CN"/>
              </w:rPr>
              <w:t>1间</w:t>
            </w:r>
            <w:r>
              <w:rPr>
                <w:rFonts w:hint="eastAsia" w:ascii="Times New Roman" w:hAnsi="Times New Roman" w:eastAsia="宋体" w:cs="Times New Roman"/>
                <w:color w:val="auto"/>
                <w:sz w:val="21"/>
                <w:szCs w:val="21"/>
                <w:lang w:eastAsia="zh-CN"/>
              </w:rPr>
              <w:t>10</w:t>
            </w:r>
            <w:r>
              <w:rPr>
                <w:rFonts w:ascii="Times New Roman" w:hAnsi="Times New Roman" w:eastAsia="宋体" w:cs="Times New Roman"/>
                <w:color w:val="auto"/>
                <w:sz w:val="21"/>
                <w:szCs w:val="21"/>
                <w:lang w:eastAsia="zh-CN"/>
              </w:rPr>
              <w:t>m</w:t>
            </w:r>
            <w:r>
              <w:rPr>
                <w:rFonts w:ascii="Times New Roman" w:hAnsi="Times New Roman" w:eastAsia="宋体" w:cs="Times New Roman"/>
                <w:color w:val="auto"/>
                <w:sz w:val="21"/>
                <w:szCs w:val="21"/>
                <w:vertAlign w:val="superscript"/>
                <w:lang w:eastAsia="zh-CN"/>
              </w:rPr>
              <w:t>2</w:t>
            </w:r>
            <w:r>
              <w:rPr>
                <w:rFonts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lang w:eastAsia="zh-CN"/>
              </w:rPr>
              <w:t>危废贮存库</w:t>
            </w:r>
            <w:r>
              <w:rPr>
                <w:rFonts w:ascii="Times New Roman" w:hAnsi="Times New Roman" w:eastAsia="宋体" w:cs="Times New Roman"/>
                <w:color w:val="auto"/>
                <w:sz w:val="21"/>
                <w:szCs w:val="21"/>
                <w:lang w:eastAsia="zh-CN"/>
              </w:rPr>
              <w:t>（规范建设，采取防渗、防腐、防漏措施，运营期设置危废管理台账资料）</w:t>
            </w:r>
            <w:r>
              <w:rPr>
                <w:rFonts w:hint="eastAsia" w:ascii="Times New Roman" w:hAnsi="Times New Roman" w:eastAsia="宋体" w:cs="Times New Roman"/>
                <w:color w:val="auto"/>
                <w:sz w:val="21"/>
                <w:szCs w:val="21"/>
                <w:lang w:eastAsia="zh-CN"/>
              </w:rPr>
              <w:t>，定期委托有资质单位清运处置。</w:t>
            </w:r>
          </w:p>
        </w:tc>
        <w:tc>
          <w:tcPr>
            <w:tcW w:w="2075" w:type="dxa"/>
            <w:tcBorders>
              <w:top w:val="single" w:color="000000" w:sz="6" w:space="0"/>
              <w:right w:val="single" w:color="000000" w:sz="6" w:space="0"/>
            </w:tcBorders>
            <w:vAlign w:val="center"/>
          </w:tcPr>
          <w:p w14:paraId="5B6BA4C4">
            <w:pPr>
              <w:kinsoku/>
              <w:overflowPunct w:val="0"/>
              <w:autoSpaceDE/>
              <w:autoSpaceDN/>
              <w:adjustRightInd/>
              <w:snapToGrid/>
              <w:jc w:val="center"/>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w:t>
            </w:r>
          </w:p>
        </w:tc>
      </w:tr>
      <w:tr w14:paraId="1BA21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tcBorders>
            <w:vAlign w:val="center"/>
          </w:tcPr>
          <w:p w14:paraId="5AFF9ED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土壤及地下水污染防治措施</w:t>
            </w:r>
          </w:p>
        </w:tc>
        <w:tc>
          <w:tcPr>
            <w:tcW w:w="8028" w:type="dxa"/>
            <w:gridSpan w:val="4"/>
            <w:tcBorders>
              <w:right w:val="single" w:color="000000" w:sz="6" w:space="0"/>
            </w:tcBorders>
            <w:vAlign w:val="center"/>
          </w:tcPr>
          <w:p w14:paraId="1B7CBE6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对生产区、原料堆场、成品仓库、废品仓库</w:t>
            </w:r>
            <w:r>
              <w:rPr>
                <w:rFonts w:hint="eastAsia" w:ascii="Times New Roman" w:hAnsi="Times New Roman" w:eastAsia="宋体" w:cs="Times New Roman"/>
                <w:color w:val="auto"/>
                <w:sz w:val="21"/>
                <w:szCs w:val="21"/>
                <w:lang w:eastAsia="zh-CN"/>
              </w:rPr>
              <w:t>地面</w:t>
            </w:r>
            <w:r>
              <w:rPr>
                <w:rFonts w:ascii="Times New Roman" w:hAnsi="Times New Roman" w:eastAsia="宋体" w:cs="Times New Roman"/>
                <w:color w:val="auto"/>
                <w:sz w:val="21"/>
                <w:szCs w:val="21"/>
                <w:lang w:eastAsia="zh-CN"/>
              </w:rPr>
              <w:t>采用夯实粘土层（厚度0.75m，K≤1×10</w:t>
            </w:r>
            <w:r>
              <w:rPr>
                <w:rFonts w:hint="eastAsia" w:ascii="Times New Roman" w:hAnsi="Times New Roman" w:eastAsia="宋体" w:cs="Times New Roman"/>
                <w:color w:val="auto"/>
                <w:sz w:val="21"/>
                <w:szCs w:val="21"/>
                <w:vertAlign w:val="superscript"/>
                <w:lang w:eastAsia="zh-CN"/>
              </w:rPr>
              <w:t>-</w:t>
            </w:r>
            <w:r>
              <w:rPr>
                <w:rFonts w:hint="eastAsia" w:ascii="Times New Roman" w:hAnsi="Times New Roman" w:eastAsia="宋体" w:cs="Times New Roman"/>
                <w:color w:val="auto"/>
                <w:sz w:val="21"/>
                <w:szCs w:val="21"/>
                <w:vertAlign w:val="superscript"/>
                <w:lang w:val="en-US" w:eastAsia="zh-CN"/>
              </w:rPr>
              <w:t>7</w:t>
            </w:r>
            <w:r>
              <w:rPr>
                <w:rFonts w:ascii="Times New Roman" w:hAnsi="Times New Roman" w:eastAsia="宋体" w:cs="Times New Roman"/>
                <w:color w:val="auto"/>
                <w:sz w:val="21"/>
                <w:szCs w:val="21"/>
                <w:lang w:eastAsia="zh-CN"/>
              </w:rPr>
              <w:t>cm/s）+混凝土（厚度150mm）</w:t>
            </w:r>
            <w:r>
              <w:rPr>
                <w:rFonts w:hint="eastAsia"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eastAsia="zh-CN"/>
              </w:rPr>
              <w:t>高密度聚乙烯膜（1.5mm，满足GB/T 17643规定的技术指标）</w:t>
            </w:r>
            <w:r>
              <w:rPr>
                <w:rFonts w:ascii="Times New Roman" w:hAnsi="Times New Roman" w:eastAsia="宋体" w:cs="Times New Roman"/>
                <w:color w:val="auto"/>
                <w:sz w:val="21"/>
                <w:szCs w:val="21"/>
                <w:lang w:eastAsia="zh-CN"/>
              </w:rPr>
              <w:t>的防渗措施；</w:t>
            </w:r>
            <w:r>
              <w:rPr>
                <w:rFonts w:hint="eastAsia" w:ascii="Times New Roman" w:hAnsi="Times New Roman" w:eastAsia="宋体" w:cs="Times New Roman"/>
                <w:color w:val="auto"/>
                <w:sz w:val="21"/>
                <w:szCs w:val="21"/>
                <w:lang w:eastAsia="zh-CN"/>
              </w:rPr>
              <w:t>初期雨水收集池</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隔油池、化粪池进行一般防渗（等效黏土防渗层Mb≥1.5m，渗透系数K≤1x10</w:t>
            </w:r>
            <w:r>
              <w:rPr>
                <w:rFonts w:hint="eastAsia" w:ascii="Times New Roman" w:hAnsi="Times New Roman" w:eastAsia="宋体" w:cs="Times New Roman"/>
                <w:color w:val="auto"/>
                <w:sz w:val="21"/>
                <w:szCs w:val="21"/>
                <w:vertAlign w:val="superscript"/>
                <w:lang w:eastAsia="zh-CN"/>
              </w:rPr>
              <w:t>-7</w:t>
            </w:r>
            <w:r>
              <w:rPr>
                <w:rFonts w:hint="eastAsia" w:ascii="Times New Roman" w:hAnsi="Times New Roman" w:eastAsia="宋体" w:cs="Times New Roman"/>
                <w:color w:val="auto"/>
                <w:sz w:val="21"/>
                <w:szCs w:val="21"/>
                <w:lang w:eastAsia="zh-CN"/>
              </w:rPr>
              <w:t>cm/s</w:t>
            </w:r>
            <w:r>
              <w:rPr>
                <w:rFonts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厂区道路及其他地面进行硬化；</w:t>
            </w:r>
            <w:r>
              <w:rPr>
                <w:rFonts w:hint="eastAsia" w:ascii="Times New Roman" w:hAnsi="Times New Roman" w:eastAsia="宋体" w:cs="Times New Roman"/>
                <w:color w:val="auto"/>
                <w:sz w:val="21"/>
                <w:szCs w:val="21"/>
                <w:lang w:val="en-US" w:eastAsia="zh-CN"/>
              </w:rPr>
              <w:t>危</w:t>
            </w:r>
            <w:r>
              <w:rPr>
                <w:rFonts w:hint="eastAsia" w:ascii="Times New Roman" w:hAnsi="Times New Roman" w:eastAsia="宋体" w:cs="Times New Roman"/>
                <w:color w:val="auto"/>
                <w:sz w:val="21"/>
                <w:szCs w:val="21"/>
                <w:lang w:eastAsia="zh-CN"/>
              </w:rPr>
              <w:t>废贮存库建设严格按照《危险废物贮存污染控制标准》（GB18597-2023）要求落实重点防渗措施</w:t>
            </w:r>
            <w:r>
              <w:rPr>
                <w:rFonts w:ascii="Times New Roman" w:hAnsi="Times New Roman" w:eastAsia="宋体" w:cs="Times New Roman"/>
                <w:color w:val="auto"/>
                <w:sz w:val="21"/>
                <w:szCs w:val="21"/>
                <w:lang w:eastAsia="zh-CN"/>
              </w:rPr>
              <w:t>；</w:t>
            </w:r>
          </w:p>
        </w:tc>
      </w:tr>
      <w:tr w14:paraId="18A293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tcBorders>
            <w:vAlign w:val="center"/>
          </w:tcPr>
          <w:p w14:paraId="336B3A9A">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生态保护措施</w:t>
            </w:r>
          </w:p>
        </w:tc>
        <w:tc>
          <w:tcPr>
            <w:tcW w:w="8028" w:type="dxa"/>
            <w:gridSpan w:val="4"/>
            <w:tcBorders>
              <w:right w:val="single" w:color="000000" w:sz="6" w:space="0"/>
            </w:tcBorders>
            <w:vAlign w:val="center"/>
          </w:tcPr>
          <w:p w14:paraId="33B3ED47">
            <w:pPr>
              <w:kinsoku/>
              <w:overflowPunct w:val="0"/>
              <w:autoSpaceDE/>
              <w:autoSpaceDN/>
              <w:adjustRightInd/>
              <w:snapToGrid/>
              <w:jc w:val="center"/>
              <w:rPr>
                <w:rFonts w:ascii="Times New Roman" w:hAnsi="Times New Roman" w:eastAsia="宋体" w:cs="Times New Roman"/>
                <w:color w:val="auto"/>
              </w:rPr>
            </w:pPr>
            <w:r>
              <w:rPr>
                <w:rFonts w:ascii="Times New Roman" w:hAnsi="Times New Roman" w:eastAsia="宋体" w:cs="Times New Roman"/>
                <w:color w:val="auto"/>
              </w:rPr>
              <w:t>/</w:t>
            </w:r>
          </w:p>
        </w:tc>
      </w:tr>
      <w:tr w14:paraId="345593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jc w:val="center"/>
        </w:trPr>
        <w:tc>
          <w:tcPr>
            <w:tcW w:w="1043" w:type="dxa"/>
            <w:tcBorders>
              <w:left w:val="single" w:color="000000" w:sz="6" w:space="0"/>
              <w:bottom w:val="single" w:color="000000" w:sz="2" w:space="0"/>
            </w:tcBorders>
            <w:vAlign w:val="center"/>
          </w:tcPr>
          <w:p w14:paraId="30069BB3">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环境风险</w:t>
            </w:r>
          </w:p>
          <w:p w14:paraId="088FE072">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防范措施</w:t>
            </w:r>
          </w:p>
        </w:tc>
        <w:tc>
          <w:tcPr>
            <w:tcW w:w="8028" w:type="dxa"/>
            <w:gridSpan w:val="4"/>
            <w:tcBorders>
              <w:right w:val="single" w:color="000000" w:sz="6" w:space="0"/>
            </w:tcBorders>
            <w:vAlign w:val="center"/>
          </w:tcPr>
          <w:p w14:paraId="12A234A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项目危险物质</w:t>
            </w:r>
            <w:r>
              <w:rPr>
                <w:rFonts w:hint="eastAsia" w:ascii="Times New Roman" w:hAnsi="Times New Roman" w:eastAsia="宋体" w:cs="Times New Roman"/>
                <w:color w:val="auto"/>
                <w:sz w:val="21"/>
                <w:szCs w:val="21"/>
                <w:lang w:eastAsia="zh-CN"/>
              </w:rPr>
              <w:t>为废机油、废含油手套及抹布</w:t>
            </w:r>
            <w:r>
              <w:rPr>
                <w:rFonts w:ascii="Times New Roman" w:hAnsi="Times New Roman" w:eastAsia="宋体" w:cs="Times New Roman"/>
                <w:color w:val="auto"/>
                <w:sz w:val="21"/>
                <w:szCs w:val="21"/>
                <w:lang w:eastAsia="zh-CN"/>
              </w:rPr>
              <w:t>，为了防止生产中出现危险，项目防范措施如下：</w:t>
            </w:r>
          </w:p>
          <w:p w14:paraId="73CAD031">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①定期检查废机油储存罐体是否完好，如出现损坏需及时更换和维修</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及时收集</w:t>
            </w:r>
            <w:r>
              <w:rPr>
                <w:rFonts w:ascii="Times New Roman" w:hAnsi="Times New Roman" w:eastAsia="宋体" w:cs="Times New Roman"/>
                <w:color w:val="auto"/>
                <w:sz w:val="21"/>
                <w:szCs w:val="21"/>
                <w:lang w:eastAsia="zh-CN"/>
              </w:rPr>
              <w:t>废含油手套及抹布</w:t>
            </w:r>
            <w:r>
              <w:rPr>
                <w:rFonts w:ascii="Times New Roman" w:hAnsi="Times New Roman" w:eastAsia="宋体" w:cs="Times New Roman"/>
                <w:color w:val="auto"/>
                <w:lang w:eastAsia="zh-CN"/>
              </w:rPr>
              <w:t>。</w:t>
            </w:r>
          </w:p>
          <w:p w14:paraId="46A1ECB9">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②定期检查危废贮存库地面及</w:t>
            </w:r>
            <w:r>
              <w:rPr>
                <w:rFonts w:hint="eastAsia" w:ascii="Times New Roman" w:hAnsi="Times New Roman" w:eastAsia="宋体" w:cs="Times New Roman"/>
                <w:color w:val="auto"/>
                <w:lang w:eastAsia="zh-CN"/>
              </w:rPr>
              <w:t>围堰</w:t>
            </w:r>
            <w:r>
              <w:rPr>
                <w:rFonts w:ascii="Times New Roman" w:hAnsi="Times New Roman" w:eastAsia="宋体" w:cs="Times New Roman"/>
                <w:color w:val="auto"/>
                <w:lang w:eastAsia="zh-CN"/>
              </w:rPr>
              <w:t>是否完好，如出现破损需及时修补，以保证达到重点防渗要求。</w:t>
            </w:r>
          </w:p>
          <w:p w14:paraId="4D035809">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③加强火源管理，杜绝火种，严禁闲杂人员入内；设置醒目的防火、禁止吸烟及明火标志，危废贮存库禁止一切火源（包括高热源）。</w:t>
            </w:r>
          </w:p>
          <w:p w14:paraId="14554184">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④在场内区内配备相应的灭火器材，且确保数量和质量上过关。</w:t>
            </w:r>
          </w:p>
          <w:p w14:paraId="25BF1C2D">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⑤工作人员要熟练掌握操作技术和防火安全管理规定。</w:t>
            </w:r>
          </w:p>
          <w:p w14:paraId="2FA8BF2B">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⑥制定灭火和应急疏散预案，同时设置安全疏散通道。灭火器应布置在明显便于取用的地方，并定期维护检查，确保能正常使用。</w:t>
            </w:r>
          </w:p>
          <w:p w14:paraId="77BA9FC5">
            <w:pPr>
              <w:kinsoku/>
              <w:overflowPunct w:val="0"/>
              <w:autoSpaceDE/>
              <w:autoSpaceDN/>
              <w:adjustRightInd/>
              <w:snapToGrid/>
              <w:textAlignment w:val="auto"/>
              <w:rPr>
                <w:rFonts w:ascii="Times New Roman" w:hAnsi="Times New Roman" w:eastAsia="宋体" w:cs="Times New Roman"/>
                <w:color w:val="auto"/>
                <w:lang w:eastAsia="zh-CN"/>
              </w:rPr>
            </w:pPr>
            <w:r>
              <w:rPr>
                <w:rFonts w:ascii="Times New Roman" w:hAnsi="Times New Roman" w:eastAsia="宋体" w:cs="Times New Roman"/>
                <w:color w:val="auto"/>
                <w:lang w:eastAsia="zh-CN"/>
              </w:rPr>
              <w:t>⑦制定和落实防火安全责任制及消防安全规章制度，除加强对员工的消防知识培训，对消防安全责任人及员工也定期进行消防知识培训，消防安全管理人员持证上岗。</w:t>
            </w:r>
          </w:p>
          <w:p w14:paraId="4D904FE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⑧如果发生火灾，应迅速撤离人员至上风处，禁止无关人员进入污染区。</w:t>
            </w:r>
          </w:p>
        </w:tc>
      </w:tr>
      <w:tr w14:paraId="67D0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043" w:type="dxa"/>
            <w:tcBorders>
              <w:top w:val="single" w:color="000000" w:sz="2" w:space="0"/>
              <w:right w:val="single" w:color="000000" w:sz="2" w:space="0"/>
            </w:tcBorders>
            <w:vAlign w:val="center"/>
          </w:tcPr>
          <w:p w14:paraId="51F92BE7">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其他环境</w:t>
            </w:r>
          </w:p>
          <w:p w14:paraId="5F16267E">
            <w:pPr>
              <w:pStyle w:val="30"/>
              <w:kinsoku/>
              <w:overflowPunct w:val="0"/>
              <w:autoSpaceDE/>
              <w:autoSpaceDN/>
              <w:adjustRightInd/>
              <w:snapToGrid/>
              <w:jc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管理要求</w:t>
            </w:r>
          </w:p>
        </w:tc>
        <w:tc>
          <w:tcPr>
            <w:tcW w:w="8028" w:type="dxa"/>
            <w:gridSpan w:val="4"/>
            <w:tcBorders>
              <w:top w:val="single" w:color="000000" w:sz="2" w:space="0"/>
              <w:left w:val="single" w:color="000000" w:sz="2" w:space="0"/>
            </w:tcBorders>
            <w:vAlign w:val="center"/>
          </w:tcPr>
          <w:p w14:paraId="6FCF86F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1</w:t>
            </w:r>
            <w:r>
              <w:rPr>
                <w:rFonts w:hint="eastAsia" w:ascii="Times New Roman" w:hAnsi="Times New Roman" w:eastAsia="宋体" w:cs="Times New Roman"/>
                <w:b/>
                <w:bCs/>
                <w:color w:val="auto"/>
                <w:sz w:val="21"/>
                <w:szCs w:val="21"/>
                <w:lang w:eastAsia="zh-CN"/>
              </w:rPr>
              <w:t>、排</w:t>
            </w:r>
            <w:r>
              <w:rPr>
                <w:rFonts w:ascii="Times New Roman" w:hAnsi="Times New Roman" w:eastAsia="宋体" w:cs="Times New Roman"/>
                <w:b/>
                <w:bCs/>
                <w:color w:val="auto"/>
                <w:sz w:val="21"/>
                <w:szCs w:val="21"/>
                <w:lang w:eastAsia="zh-CN"/>
              </w:rPr>
              <w:t>污许可证申报及排污口信息</w:t>
            </w:r>
          </w:p>
          <w:p w14:paraId="077A823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（1）排污许可证申报</w:t>
            </w:r>
          </w:p>
          <w:p w14:paraId="01E3080D">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根据《固定污染源排污许可分类管理名录》（2019年版）第四条规定，新建排污单位应当在启动生产设施或者发生实际排污之前申请取得排污许可证或者填报排污登记表。</w:t>
            </w:r>
          </w:p>
          <w:p w14:paraId="7DB87C70">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项目需要申领排污许可证。</w:t>
            </w:r>
          </w:p>
          <w:p w14:paraId="298ACADA">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（2）排污口设置及规范化管理</w:t>
            </w:r>
          </w:p>
          <w:p w14:paraId="4C94E8D5">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w:t>
            </w:r>
            <w:r>
              <w:rPr>
                <w:rFonts w:hint="eastAsia" w:ascii="Times New Roman" w:hAnsi="Times New Roman" w:eastAsia="宋体" w:cs="Times New Roman"/>
                <w:color w:val="auto"/>
                <w:sz w:val="21"/>
                <w:szCs w:val="21"/>
                <w:lang w:eastAsia="zh-CN"/>
              </w:rPr>
              <w:t>《排污口规范化整治要求（试行）》</w:t>
            </w:r>
            <w:r>
              <w:rPr>
                <w:rFonts w:ascii="Times New Roman" w:hAnsi="Times New Roman" w:eastAsia="宋体" w:cs="Times New Roman"/>
                <w:color w:val="auto"/>
                <w:sz w:val="21"/>
                <w:szCs w:val="21"/>
                <w:lang w:eastAsia="zh-CN"/>
              </w:rPr>
              <w:t>的技术要求，企业所有排放口必须按照“便于采集样品、便于计量监测、便于日常现场监督检查”的原则和规范要求，设置与之相适应的环境保护图形标志。</w:t>
            </w:r>
          </w:p>
          <w:p w14:paraId="07B512D7">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项目共设置</w:t>
            </w:r>
            <w:r>
              <w:rPr>
                <w:rFonts w:hint="eastAsia" w:ascii="Times New Roman" w:hAnsi="Times New Roman" w:eastAsia="宋体" w:cs="Times New Roman"/>
                <w:color w:val="auto"/>
                <w:sz w:val="21"/>
                <w:szCs w:val="21"/>
                <w:lang w:eastAsia="zh-CN"/>
              </w:rPr>
              <w:t>1</w:t>
            </w:r>
            <w:r>
              <w:rPr>
                <w:rFonts w:ascii="Times New Roman" w:hAnsi="Times New Roman" w:eastAsia="宋体" w:cs="Times New Roman"/>
                <w:color w:val="auto"/>
                <w:sz w:val="21"/>
                <w:szCs w:val="21"/>
                <w:lang w:eastAsia="zh-CN"/>
              </w:rPr>
              <w:t>个大气排污口，建设单位应严格按照规范要求设置大气排污口。</w:t>
            </w:r>
          </w:p>
          <w:p w14:paraId="48A08551">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2、运营期环境管理</w:t>
            </w:r>
          </w:p>
          <w:p w14:paraId="51274BA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（1）建立环境管理专业机构：组织</w:t>
            </w:r>
            <w:r>
              <w:rPr>
                <w:rFonts w:hint="eastAsia" w:ascii="Times New Roman" w:hAnsi="Times New Roman" w:eastAsia="宋体" w:cs="Times New Roman"/>
                <w:color w:val="auto"/>
                <w:sz w:val="21"/>
                <w:szCs w:val="21"/>
                <w:lang w:eastAsia="zh-CN"/>
              </w:rPr>
              <w:t>人员进行</w:t>
            </w:r>
            <w:r>
              <w:rPr>
                <w:rFonts w:ascii="Times New Roman" w:hAnsi="Times New Roman" w:eastAsia="宋体" w:cs="Times New Roman"/>
                <w:color w:val="auto"/>
                <w:sz w:val="21"/>
                <w:szCs w:val="21"/>
                <w:lang w:eastAsia="zh-CN"/>
              </w:rPr>
              <w:t>环境保护专业技术培训，组织、配合有资质环境监测部门开展污染源监测，编制环境保护验收报告，</w:t>
            </w:r>
            <w:r>
              <w:rPr>
                <w:rFonts w:hint="eastAsia" w:ascii="Times New Roman" w:hAnsi="Times New Roman" w:eastAsia="宋体" w:cs="Times New Roman"/>
                <w:color w:val="auto"/>
                <w:sz w:val="21"/>
                <w:szCs w:val="21"/>
                <w:lang w:eastAsia="zh-CN"/>
              </w:rPr>
              <w:t>组织</w:t>
            </w:r>
            <w:r>
              <w:rPr>
                <w:rFonts w:ascii="Times New Roman" w:hAnsi="Times New Roman" w:eastAsia="宋体" w:cs="Times New Roman"/>
                <w:color w:val="auto"/>
                <w:sz w:val="21"/>
                <w:szCs w:val="21"/>
                <w:lang w:eastAsia="zh-CN"/>
              </w:rPr>
              <w:t>工程竣工验收。</w:t>
            </w:r>
          </w:p>
          <w:p w14:paraId="6B8DBCE6">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（2）加强环保宣传，</w:t>
            </w:r>
            <w:r>
              <w:rPr>
                <w:rFonts w:hint="eastAsia" w:ascii="Times New Roman" w:hAnsi="Times New Roman" w:eastAsia="宋体" w:cs="Times New Roman"/>
                <w:color w:val="auto"/>
                <w:sz w:val="21"/>
                <w:szCs w:val="21"/>
                <w:lang w:eastAsia="zh-CN"/>
              </w:rPr>
              <w:t>增强</w:t>
            </w:r>
            <w:r>
              <w:rPr>
                <w:rFonts w:ascii="Times New Roman" w:hAnsi="Times New Roman" w:eastAsia="宋体" w:cs="Times New Roman"/>
                <w:color w:val="auto"/>
                <w:sz w:val="21"/>
                <w:szCs w:val="21"/>
                <w:lang w:eastAsia="zh-CN"/>
              </w:rPr>
              <w:t>环境意识：加强对全厂职工环保</w:t>
            </w:r>
            <w:r>
              <w:rPr>
                <w:rFonts w:hint="eastAsia" w:ascii="Times New Roman" w:hAnsi="Times New Roman" w:eastAsia="宋体" w:cs="Times New Roman"/>
                <w:color w:val="auto"/>
                <w:sz w:val="21"/>
                <w:szCs w:val="21"/>
                <w:lang w:eastAsia="zh-CN"/>
              </w:rPr>
              <w:t>法律法规</w:t>
            </w:r>
            <w:r>
              <w:rPr>
                <w:rFonts w:ascii="Times New Roman" w:hAnsi="Times New Roman" w:eastAsia="宋体" w:cs="Times New Roman"/>
                <w:color w:val="auto"/>
                <w:sz w:val="21"/>
                <w:szCs w:val="21"/>
                <w:lang w:eastAsia="zh-CN"/>
              </w:rPr>
              <w:t>宣传，</w:t>
            </w:r>
            <w:r>
              <w:rPr>
                <w:rFonts w:hint="eastAsia" w:ascii="Times New Roman" w:hAnsi="Times New Roman" w:eastAsia="宋体" w:cs="Times New Roman"/>
                <w:color w:val="auto"/>
                <w:sz w:val="21"/>
                <w:szCs w:val="21"/>
                <w:lang w:eastAsia="zh-CN"/>
              </w:rPr>
              <w:t>增强</w:t>
            </w:r>
            <w:r>
              <w:rPr>
                <w:rFonts w:ascii="Times New Roman" w:hAnsi="Times New Roman" w:eastAsia="宋体" w:cs="Times New Roman"/>
                <w:color w:val="auto"/>
                <w:sz w:val="21"/>
                <w:szCs w:val="21"/>
                <w:lang w:eastAsia="zh-CN"/>
              </w:rPr>
              <w:t>全厂职工的环保意识，在实际生产中能自觉遵守国家有关的环保</w:t>
            </w:r>
            <w:r>
              <w:rPr>
                <w:rFonts w:hint="eastAsia" w:ascii="Times New Roman" w:hAnsi="Times New Roman" w:eastAsia="宋体" w:cs="Times New Roman"/>
                <w:color w:val="auto"/>
                <w:sz w:val="21"/>
                <w:szCs w:val="21"/>
                <w:lang w:eastAsia="zh-CN"/>
              </w:rPr>
              <w:t>法律法规</w:t>
            </w:r>
            <w:r>
              <w:rPr>
                <w:rFonts w:ascii="Times New Roman" w:hAnsi="Times New Roman" w:eastAsia="宋体" w:cs="Times New Roman"/>
                <w:color w:val="auto"/>
                <w:sz w:val="21"/>
                <w:szCs w:val="21"/>
                <w:lang w:eastAsia="zh-CN"/>
              </w:rPr>
              <w:t>和企业内部制定的环保管理制度。</w:t>
            </w:r>
          </w:p>
          <w:p w14:paraId="3794BA18">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（3）建立健全环保管理规章制度和监督机制：建立健全有约束力的、奖惩分明的环保管理规章制度，完善环保指标的监督和考核机制。要做到有规必行，违规必罚。</w:t>
            </w:r>
          </w:p>
          <w:p w14:paraId="5FB3EBFB">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（4）严格遵守环保“三同时”规定：建设项目环保设施必须与主体工程同时设计，同时施工，同时投入运行。</w:t>
            </w:r>
          </w:p>
          <w:p w14:paraId="1470DE0B">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5）加强对环保设施的运行管理：项目在生产过程中应定岗定职，培训上岗。要严格按操作规程进行操作，必须保证污染治理设施的正常运行，从而确保污染物浓度及总量达标排放。定期对污染治理设施进行检修维护，以保证污染处理设施正常运转。</w:t>
            </w:r>
          </w:p>
          <w:p w14:paraId="49030803">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b/>
                <w:bCs/>
                <w:color w:val="auto"/>
                <w:sz w:val="21"/>
                <w:szCs w:val="21"/>
                <w:lang w:eastAsia="zh-CN"/>
              </w:rPr>
              <w:t>3、环境管理台账的要求</w:t>
            </w:r>
          </w:p>
          <w:p w14:paraId="145747E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根据《环境管理台账及排污许可证执行报告技术规范总则（试行）》（HJ944-2018）及相关法律法规和规范要求，本项目在运行过程中应落实环境管理台账记录制度，明确责任人和人员工作职责，包括台账的记录、整理、维护和管理等，并对台账的真实性、完整性和规范性负责。</w:t>
            </w:r>
          </w:p>
          <w:p w14:paraId="736D9F69">
            <w:pPr>
              <w:pStyle w:val="30"/>
              <w:kinsoku/>
              <w:overflowPunct w:val="0"/>
              <w:autoSpaceDE/>
              <w:autoSpaceDN/>
              <w:adjustRightInd/>
              <w:snapToGrid/>
              <w:rPr>
                <w:rFonts w:ascii="Times New Roman" w:hAnsi="Times New Roman" w:eastAsia="宋体" w:cs="Times New Roman"/>
                <w:b/>
                <w:bCs/>
                <w:color w:val="auto"/>
                <w:sz w:val="21"/>
                <w:szCs w:val="21"/>
                <w:lang w:eastAsia="zh-CN"/>
              </w:rPr>
            </w:pPr>
            <w:r>
              <w:rPr>
                <w:rFonts w:ascii="Times New Roman" w:hAnsi="Times New Roman" w:eastAsia="宋体" w:cs="Times New Roman"/>
                <w:b/>
                <w:bCs/>
                <w:color w:val="auto"/>
                <w:sz w:val="21"/>
                <w:szCs w:val="21"/>
                <w:lang w:eastAsia="zh-CN"/>
              </w:rPr>
              <w:t>4、突发环境事件应急预案</w:t>
            </w:r>
          </w:p>
          <w:p w14:paraId="4F897814">
            <w:pPr>
              <w:pStyle w:val="30"/>
              <w:kinsoku/>
              <w:overflowPunct w:val="0"/>
              <w:autoSpaceDE/>
              <w:autoSpaceDN/>
              <w:adjustRightInd/>
              <w:snapToGrid/>
              <w:rPr>
                <w:rFonts w:ascii="Times New Roman" w:hAnsi="Times New Roman" w:eastAsia="宋体" w:cs="Times New Roman"/>
                <w:color w:val="auto"/>
                <w:sz w:val="21"/>
                <w:szCs w:val="21"/>
                <w:lang w:eastAsia="zh-CN"/>
              </w:rPr>
            </w:pPr>
            <w:r>
              <w:rPr>
                <w:rFonts w:ascii="Times New Roman" w:hAnsi="Times New Roman" w:eastAsia="宋体" w:cs="Times New Roman"/>
                <w:color w:val="auto"/>
                <w:sz w:val="21"/>
                <w:szCs w:val="21"/>
                <w:lang w:eastAsia="zh-CN"/>
              </w:rPr>
              <w:t>对照《企业事业单位突发环境事件应急预案备案管理办法（试行）》（环发</w:t>
            </w:r>
            <w:r>
              <w:rPr>
                <w:rFonts w:hint="eastAsia" w:ascii="Times New Roman" w:hAnsi="Times New Roman" w:eastAsia="宋体" w:cs="Times New Roman"/>
                <w:color w:val="auto"/>
                <w:sz w:val="21"/>
                <w:szCs w:val="21"/>
                <w:lang w:eastAsia="zh-CN"/>
              </w:rPr>
              <w:t>〔2015〕4号</w:t>
            </w:r>
            <w:r>
              <w:rPr>
                <w:rFonts w:ascii="Times New Roman" w:hAnsi="Times New Roman" w:eastAsia="宋体" w:cs="Times New Roman"/>
                <w:color w:val="auto"/>
                <w:sz w:val="21"/>
                <w:szCs w:val="21"/>
                <w:lang w:eastAsia="zh-CN"/>
              </w:rPr>
              <w:t>文）中的要求，编制突发环境事件应急预案并在当地环保部门备案</w:t>
            </w:r>
            <w:r>
              <w:rPr>
                <w:rFonts w:hint="eastAsia" w:ascii="Times New Roman" w:hAnsi="Times New Roman" w:eastAsia="宋体" w:cs="Times New Roman"/>
                <w:color w:val="auto"/>
                <w:sz w:val="21"/>
                <w:szCs w:val="21"/>
                <w:lang w:eastAsia="zh-CN"/>
              </w:rPr>
              <w:t>。</w:t>
            </w:r>
          </w:p>
        </w:tc>
      </w:tr>
    </w:tbl>
    <w:p w14:paraId="438CDF1A">
      <w:pPr>
        <w:spacing w:line="20" w:lineRule="exact"/>
        <w:rPr>
          <w:rFonts w:ascii="Times New Roman" w:hAnsi="Times New Roman" w:eastAsia="宋体" w:cs="Times New Roman"/>
          <w:color w:val="auto"/>
          <w:lang w:eastAsia="zh-CN"/>
        </w:rPr>
      </w:pPr>
    </w:p>
    <w:p w14:paraId="5628CEDE">
      <w:pPr>
        <w:rPr>
          <w:rFonts w:ascii="Times New Roman" w:hAnsi="Times New Roman" w:eastAsia="宋体" w:cs="Times New Roman"/>
          <w:color w:val="auto"/>
          <w:lang w:eastAsia="zh-CN"/>
        </w:rPr>
        <w:sectPr>
          <w:footerReference r:id="rId9" w:type="default"/>
          <w:pgSz w:w="11906" w:h="16839"/>
          <w:pgMar w:top="1440" w:right="1800" w:bottom="1440" w:left="1800" w:header="0" w:footer="850" w:gutter="0"/>
          <w:cols w:space="720" w:num="1"/>
        </w:sectPr>
      </w:pPr>
    </w:p>
    <w:p w14:paraId="55191AF8">
      <w:pPr>
        <w:pStyle w:val="7"/>
        <w:jc w:val="center"/>
        <w:outlineLvl w:val="0"/>
        <w:rPr>
          <w:rFonts w:ascii="Times New Roman" w:hAnsi="Times New Roman" w:eastAsia="宋体" w:cs="Times New Roman"/>
          <w:b/>
          <w:bCs/>
          <w:color w:val="auto"/>
          <w:sz w:val="32"/>
          <w:szCs w:val="32"/>
        </w:rPr>
      </w:pPr>
      <w:bookmarkStart w:id="14" w:name="_Toc31004"/>
      <w:r>
        <w:rPr>
          <w:rFonts w:ascii="Times New Roman" w:hAnsi="Times New Roman" w:eastAsia="宋体" w:cs="Times New Roman"/>
          <w:b/>
          <w:bCs/>
          <w:color w:val="auto"/>
          <w:sz w:val="32"/>
          <w:szCs w:val="32"/>
        </w:rPr>
        <w:t>六、结论</w:t>
      </w:r>
      <w:bookmarkEnd w:id="14"/>
    </w:p>
    <w:tbl>
      <w:tblPr>
        <w:tblStyle w:val="29"/>
        <w:tblW w:w="8869" w:type="dxa"/>
        <w:jc w:val="center"/>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108" w:type="dxa"/>
          <w:bottom w:w="0" w:type="dxa"/>
          <w:right w:w="108" w:type="dxa"/>
        </w:tblCellMar>
      </w:tblPr>
      <w:tblGrid>
        <w:gridCol w:w="8869"/>
      </w:tblGrid>
      <w:tr w14:paraId="2AE57EC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108" w:type="dxa"/>
            <w:bottom w:w="0" w:type="dxa"/>
            <w:right w:w="108" w:type="dxa"/>
          </w:tblCellMar>
        </w:tblPrEx>
        <w:trPr>
          <w:trHeight w:val="12486" w:hRule="atLeast"/>
          <w:jc w:val="center"/>
        </w:trPr>
        <w:tc>
          <w:tcPr>
            <w:tcW w:w="8869" w:type="dxa"/>
          </w:tcPr>
          <w:p w14:paraId="3F2C8B36">
            <w:pPr>
              <w:pStyle w:val="30"/>
              <w:kinsoku/>
              <w:overflowPunct w:val="0"/>
              <w:autoSpaceDE/>
              <w:autoSpaceDN/>
              <w:adjustRightInd/>
              <w:snapToGrid/>
              <w:spacing w:line="360" w:lineRule="auto"/>
              <w:ind w:firstLine="480" w:firstLineChars="200"/>
              <w:jc w:val="both"/>
              <w:rPr>
                <w:rFonts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lang w:eastAsia="zh-CN"/>
              </w:rPr>
              <w:t>综上所述，项目建设符合国家产业政策；无明显环境制约因素，选址及总图布置基本合理。项目在运营期将产生一定量的废气、废水、噪声及固废的污染，项目在严格落实“三同时”要求、落实各项污染物处理处置措施的条件下，项目对周围环境的影响可以控制在国家有关标准和要求的允许范围以内，并将产生较好的社会、经济和环境效益。从环境保护的角度分析，项目的建设是可行的。</w:t>
            </w:r>
          </w:p>
        </w:tc>
      </w:tr>
    </w:tbl>
    <w:p w14:paraId="413D117A">
      <w:pPr>
        <w:rPr>
          <w:rFonts w:ascii="Times New Roman" w:hAnsi="Times New Roman" w:eastAsia="宋体" w:cs="Times New Roman"/>
          <w:color w:val="auto"/>
          <w:sz w:val="2"/>
          <w:lang w:eastAsia="zh-CN"/>
        </w:rPr>
      </w:pPr>
    </w:p>
    <w:p w14:paraId="5ED43ADA">
      <w:pPr>
        <w:rPr>
          <w:rFonts w:ascii="Times New Roman" w:hAnsi="Times New Roman" w:eastAsia="宋体" w:cs="Times New Roman"/>
          <w:color w:val="auto"/>
          <w:sz w:val="2"/>
          <w:lang w:eastAsia="zh-CN"/>
        </w:rPr>
      </w:pPr>
    </w:p>
    <w:p w14:paraId="6179B83D">
      <w:pPr>
        <w:widowControl w:val="0"/>
        <w:kinsoku/>
        <w:autoSpaceDE/>
        <w:autoSpaceDN/>
        <w:adjustRightInd/>
        <w:snapToGrid/>
        <w:jc w:val="both"/>
        <w:textAlignment w:val="auto"/>
        <w:rPr>
          <w:rFonts w:ascii="Times New Roman" w:hAnsi="Times New Roman" w:eastAsia="宋体" w:cs="Times New Roman"/>
          <w:b/>
          <w:bCs/>
          <w:snapToGrid/>
          <w:color w:val="auto"/>
          <w:spacing w:val="6"/>
          <w:kern w:val="2"/>
          <w:sz w:val="28"/>
          <w:szCs w:val="28"/>
          <w:lang w:eastAsia="zh-CN"/>
        </w:rPr>
        <w:sectPr>
          <w:headerReference r:id="rId10" w:type="default"/>
          <w:footerReference r:id="rId11" w:type="default"/>
          <w:pgSz w:w="11906" w:h="16838"/>
          <w:pgMar w:top="1440" w:right="1800" w:bottom="1440" w:left="1800" w:header="567" w:footer="850" w:gutter="0"/>
          <w:cols w:space="720" w:num="1"/>
        </w:sectPr>
      </w:pPr>
    </w:p>
    <w:p w14:paraId="2904E0B2">
      <w:pPr>
        <w:widowControl w:val="0"/>
        <w:kinsoku/>
        <w:autoSpaceDE/>
        <w:autoSpaceDN/>
        <w:adjustRightInd/>
        <w:snapToGrid/>
        <w:jc w:val="both"/>
        <w:textAlignment w:val="auto"/>
        <w:rPr>
          <w:rFonts w:ascii="Times New Roman" w:hAnsi="Times New Roman" w:eastAsia="宋体" w:cs="Times New Roman"/>
          <w:b/>
          <w:bCs/>
          <w:snapToGrid/>
          <w:color w:val="auto"/>
          <w:spacing w:val="6"/>
          <w:kern w:val="2"/>
          <w:sz w:val="28"/>
          <w:szCs w:val="28"/>
          <w:lang w:eastAsia="zh-CN"/>
        </w:rPr>
      </w:pPr>
      <w:r>
        <w:rPr>
          <w:rFonts w:hint="eastAsia" w:ascii="Times New Roman" w:hAnsi="Times New Roman" w:eastAsia="宋体" w:cs="Times New Roman"/>
          <w:b/>
          <w:bCs/>
          <w:snapToGrid/>
          <w:color w:val="auto"/>
          <w:spacing w:val="6"/>
          <w:kern w:val="2"/>
          <w:sz w:val="28"/>
          <w:szCs w:val="28"/>
          <w:lang w:eastAsia="zh-CN"/>
        </w:rPr>
        <w:t>附表</w:t>
      </w:r>
    </w:p>
    <w:p w14:paraId="3B2CE874">
      <w:pPr>
        <w:widowControl w:val="0"/>
        <w:kinsoku/>
        <w:autoSpaceDE/>
        <w:autoSpaceDN/>
        <w:adjustRightInd/>
        <w:snapToGrid/>
        <w:spacing w:line="480" w:lineRule="auto"/>
        <w:jc w:val="center"/>
        <w:textAlignment w:val="auto"/>
        <w:rPr>
          <w:rFonts w:ascii="Times New Roman" w:hAnsi="Times New Roman" w:eastAsia="宋体" w:cs="Times New Roman"/>
          <w:snapToGrid/>
          <w:color w:val="auto"/>
          <w:kern w:val="2"/>
          <w:sz w:val="28"/>
          <w:szCs w:val="28"/>
          <w:lang w:eastAsia="zh-CN"/>
        </w:rPr>
      </w:pPr>
      <w:r>
        <w:rPr>
          <w:rFonts w:ascii="Times New Roman" w:hAnsi="Times New Roman" w:eastAsia="宋体" w:cs="Times New Roman"/>
          <w:b/>
          <w:bCs/>
          <w:snapToGrid/>
          <w:color w:val="auto"/>
          <w:spacing w:val="6"/>
          <w:kern w:val="2"/>
          <w:sz w:val="32"/>
          <w:szCs w:val="32"/>
          <w:lang w:eastAsia="zh-CN"/>
        </w:rPr>
        <w:t>建设项目污染物排放量汇总表</w:t>
      </w:r>
      <w:r>
        <w:rPr>
          <w:rFonts w:ascii="Times New Roman" w:hAnsi="Times New Roman" w:eastAsia="宋体" w:cs="Times New Roman"/>
          <w:snapToGrid/>
          <w:color w:val="auto"/>
          <w:spacing w:val="6"/>
          <w:kern w:val="2"/>
          <w:sz w:val="28"/>
          <w:szCs w:val="28"/>
          <w:lang w:eastAsia="zh-CN"/>
        </w:rPr>
        <w:t xml:space="preserve">  </w:t>
      </w:r>
      <w:r>
        <w:rPr>
          <w:rFonts w:ascii="Times New Roman" w:hAnsi="Times New Roman" w:eastAsia="宋体" w:cs="Times New Roman"/>
          <w:b/>
          <w:bCs/>
          <w:snapToGrid/>
          <w:color w:val="auto"/>
          <w:spacing w:val="6"/>
          <w:kern w:val="2"/>
          <w:sz w:val="28"/>
          <w:szCs w:val="28"/>
          <w:lang w:eastAsia="zh-CN"/>
        </w:rPr>
        <w:t>单位：t/a</w:t>
      </w:r>
    </w:p>
    <w:tbl>
      <w:tblPr>
        <w:tblStyle w:val="29"/>
        <w:tblW w:w="512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044"/>
        <w:gridCol w:w="843"/>
        <w:gridCol w:w="1444"/>
        <w:gridCol w:w="1398"/>
        <w:gridCol w:w="1210"/>
        <w:gridCol w:w="1610"/>
        <w:gridCol w:w="1477"/>
        <w:gridCol w:w="1477"/>
        <w:gridCol w:w="1882"/>
        <w:gridCol w:w="1200"/>
      </w:tblGrid>
      <w:tr w14:paraId="7DB43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tcBorders>
              <w:tl2br w:val="single" w:color="000000" w:sz="6" w:space="0"/>
            </w:tcBorders>
            <w:vAlign w:val="center"/>
          </w:tcPr>
          <w:p w14:paraId="44DE712C">
            <w:pPr>
              <w:widowControl w:val="0"/>
              <w:jc w:val="right"/>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项目</w:t>
            </w:r>
          </w:p>
          <w:p w14:paraId="24A88651">
            <w:pPr>
              <w:widowControl w:val="0"/>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分类</w:t>
            </w:r>
          </w:p>
        </w:tc>
        <w:tc>
          <w:tcPr>
            <w:tcW w:w="841" w:type="pct"/>
            <w:gridSpan w:val="2"/>
            <w:tcBorders>
              <w:tl2br w:val="nil"/>
              <w:tr2bl w:val="nil"/>
            </w:tcBorders>
            <w:vAlign w:val="center"/>
          </w:tcPr>
          <w:p w14:paraId="7035A964">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污染物名称</w:t>
            </w:r>
          </w:p>
        </w:tc>
        <w:tc>
          <w:tcPr>
            <w:tcW w:w="514" w:type="pct"/>
            <w:tcBorders>
              <w:tl2br w:val="nil"/>
              <w:tr2bl w:val="nil"/>
            </w:tcBorders>
            <w:vAlign w:val="center"/>
          </w:tcPr>
          <w:p w14:paraId="55B0449B">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现有工程</w:t>
            </w:r>
          </w:p>
          <w:p w14:paraId="6644E212">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排放量（固体废 物产生量）①</w:t>
            </w:r>
          </w:p>
        </w:tc>
        <w:tc>
          <w:tcPr>
            <w:tcW w:w="445" w:type="pct"/>
            <w:tcBorders>
              <w:tl2br w:val="nil"/>
              <w:tr2bl w:val="nil"/>
            </w:tcBorders>
            <w:vAlign w:val="center"/>
          </w:tcPr>
          <w:p w14:paraId="7BA1BEB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现有工程</w:t>
            </w:r>
          </w:p>
          <w:p w14:paraId="071EDEE2">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许可排放量</w:t>
            </w:r>
          </w:p>
          <w:p w14:paraId="46593A93">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②</w:t>
            </w:r>
          </w:p>
        </w:tc>
        <w:tc>
          <w:tcPr>
            <w:tcW w:w="592" w:type="pct"/>
            <w:tcBorders>
              <w:tl2br w:val="nil"/>
              <w:tr2bl w:val="nil"/>
            </w:tcBorders>
            <w:vAlign w:val="center"/>
          </w:tcPr>
          <w:p w14:paraId="6828F543">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在建工程</w:t>
            </w:r>
          </w:p>
          <w:p w14:paraId="0655FFB5">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排放量（固体废 物产生量）③</w:t>
            </w:r>
          </w:p>
        </w:tc>
        <w:tc>
          <w:tcPr>
            <w:tcW w:w="543" w:type="pct"/>
            <w:tcBorders>
              <w:tl2br w:val="nil"/>
              <w:tr2bl w:val="nil"/>
            </w:tcBorders>
            <w:vAlign w:val="center"/>
          </w:tcPr>
          <w:p w14:paraId="2C3F799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本项目排放量</w:t>
            </w:r>
          </w:p>
          <w:p w14:paraId="1A28E14A">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（固体废物产</w:t>
            </w:r>
          </w:p>
          <w:p w14:paraId="2D578D48">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生量）④</w:t>
            </w:r>
          </w:p>
        </w:tc>
        <w:tc>
          <w:tcPr>
            <w:tcW w:w="543" w:type="pct"/>
            <w:tcBorders>
              <w:tl2br w:val="nil"/>
              <w:tr2bl w:val="nil"/>
            </w:tcBorders>
            <w:vAlign w:val="center"/>
          </w:tcPr>
          <w:p w14:paraId="12D3BBE1">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以新带老削减</w:t>
            </w:r>
          </w:p>
          <w:p w14:paraId="5FDB6D78">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量（新建项目</w:t>
            </w:r>
          </w:p>
          <w:p w14:paraId="0003806B">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不填）⑤</w:t>
            </w:r>
          </w:p>
        </w:tc>
        <w:tc>
          <w:tcPr>
            <w:tcW w:w="692" w:type="pct"/>
            <w:tcBorders>
              <w:tl2br w:val="nil"/>
              <w:tr2bl w:val="nil"/>
            </w:tcBorders>
            <w:vAlign w:val="center"/>
          </w:tcPr>
          <w:p w14:paraId="21624AF6">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本项目建成后</w:t>
            </w:r>
          </w:p>
          <w:p w14:paraId="52E27AC9">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全厂排放量（固体废物产生量）⑥</w:t>
            </w:r>
          </w:p>
        </w:tc>
        <w:tc>
          <w:tcPr>
            <w:tcW w:w="441" w:type="pct"/>
            <w:tcBorders>
              <w:tl2br w:val="nil"/>
              <w:tr2bl w:val="nil"/>
            </w:tcBorders>
            <w:vAlign w:val="center"/>
          </w:tcPr>
          <w:p w14:paraId="558D5A41">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变化量</w:t>
            </w:r>
          </w:p>
          <w:p w14:paraId="2ACC610E">
            <w:pPr>
              <w:widowControl w:val="0"/>
              <w:jc w:val="center"/>
              <w:rPr>
                <w:rFonts w:ascii="Times New Roman" w:hAnsi="Times New Roman" w:eastAsia="宋体" w:cs="Times New Roman"/>
                <w:b/>
                <w:bCs/>
                <w:color w:val="auto"/>
                <w:spacing w:val="-6"/>
                <w:kern w:val="2"/>
                <w:sz w:val="24"/>
                <w:szCs w:val="24"/>
                <w:lang w:eastAsia="zh-CN"/>
              </w:rPr>
            </w:pPr>
            <w:r>
              <w:rPr>
                <w:rFonts w:ascii="Times New Roman" w:hAnsi="Times New Roman" w:eastAsia="宋体" w:cs="Times New Roman"/>
                <w:b/>
                <w:bCs/>
                <w:color w:val="auto"/>
                <w:spacing w:val="-6"/>
                <w:kern w:val="2"/>
                <w:sz w:val="24"/>
                <w:szCs w:val="24"/>
                <w:lang w:eastAsia="zh-CN"/>
              </w:rPr>
              <w:t>⑦</w:t>
            </w:r>
          </w:p>
        </w:tc>
      </w:tr>
      <w:tr w14:paraId="419A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04A52884">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废气</w:t>
            </w:r>
          </w:p>
        </w:tc>
        <w:tc>
          <w:tcPr>
            <w:tcW w:w="310" w:type="pct"/>
            <w:vMerge w:val="restart"/>
            <w:tcBorders>
              <w:tl2br w:val="nil"/>
              <w:tr2bl w:val="nil"/>
            </w:tcBorders>
            <w:vAlign w:val="center"/>
          </w:tcPr>
          <w:p w14:paraId="4F0FFABD">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有组织</w:t>
            </w:r>
          </w:p>
        </w:tc>
        <w:tc>
          <w:tcPr>
            <w:tcW w:w="531" w:type="pct"/>
            <w:tcBorders>
              <w:tl2br w:val="nil"/>
              <w:tr2bl w:val="nil"/>
            </w:tcBorders>
            <w:vAlign w:val="center"/>
          </w:tcPr>
          <w:p w14:paraId="3312F3A3">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废气量</w:t>
            </w:r>
          </w:p>
        </w:tc>
        <w:tc>
          <w:tcPr>
            <w:tcW w:w="514" w:type="pct"/>
            <w:tcBorders>
              <w:tl2br w:val="nil"/>
              <w:tr2bl w:val="nil"/>
            </w:tcBorders>
            <w:vAlign w:val="center"/>
          </w:tcPr>
          <w:p w14:paraId="791978EC">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445" w:type="pct"/>
            <w:tcBorders>
              <w:tl2br w:val="nil"/>
              <w:tr2bl w:val="nil"/>
            </w:tcBorders>
            <w:vAlign w:val="center"/>
          </w:tcPr>
          <w:p w14:paraId="6140E53A">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592" w:type="pct"/>
            <w:tcBorders>
              <w:tl2br w:val="nil"/>
              <w:tr2bl w:val="nil"/>
            </w:tcBorders>
            <w:vAlign w:val="center"/>
          </w:tcPr>
          <w:p w14:paraId="11A6C6B4">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543" w:type="pct"/>
            <w:tcBorders>
              <w:tl2br w:val="nil"/>
              <w:tr2bl w:val="nil"/>
            </w:tcBorders>
            <w:vAlign w:val="center"/>
          </w:tcPr>
          <w:p w14:paraId="462198B2">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bCs/>
                <w:color w:val="auto"/>
                <w:spacing w:val="-6"/>
                <w:kern w:val="2"/>
                <w:sz w:val="24"/>
                <w:szCs w:val="24"/>
                <w:lang w:val="en-US" w:eastAsia="zh-CN"/>
              </w:rPr>
              <w:t>16</w:t>
            </w:r>
            <w:r>
              <w:rPr>
                <w:rFonts w:hint="eastAsia" w:ascii="Times New Roman" w:hAnsi="Times New Roman" w:eastAsia="宋体" w:cs="Times New Roman"/>
                <w:bCs/>
                <w:color w:val="auto"/>
                <w:spacing w:val="-6"/>
                <w:kern w:val="2"/>
                <w:sz w:val="24"/>
                <w:szCs w:val="24"/>
                <w:lang w:val="en-US" w:eastAsia="zh-CN"/>
              </w:rPr>
              <w:t>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c>
          <w:tcPr>
            <w:tcW w:w="543" w:type="pct"/>
            <w:tcBorders>
              <w:tl2br w:val="nil"/>
              <w:tr2bl w:val="nil"/>
            </w:tcBorders>
            <w:vAlign w:val="center"/>
          </w:tcPr>
          <w:p w14:paraId="11EBAC13">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19350C5A">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bCs/>
                <w:color w:val="auto"/>
                <w:spacing w:val="-6"/>
                <w:kern w:val="2"/>
                <w:sz w:val="24"/>
                <w:szCs w:val="24"/>
                <w:lang w:val="en-US" w:eastAsia="zh-CN"/>
              </w:rPr>
              <w:t>16</w:t>
            </w:r>
            <w:r>
              <w:rPr>
                <w:rFonts w:hint="eastAsia" w:ascii="Times New Roman" w:hAnsi="Times New Roman" w:eastAsia="宋体" w:cs="Times New Roman"/>
                <w:bCs/>
                <w:color w:val="auto"/>
                <w:spacing w:val="-6"/>
                <w:kern w:val="2"/>
                <w:sz w:val="24"/>
                <w:szCs w:val="24"/>
                <w:lang w:val="en-US" w:eastAsia="zh-CN"/>
              </w:rPr>
              <w:t>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c>
          <w:tcPr>
            <w:tcW w:w="441" w:type="pct"/>
            <w:tcBorders>
              <w:tl2br w:val="nil"/>
              <w:tr2bl w:val="nil"/>
            </w:tcBorders>
            <w:vAlign w:val="center"/>
          </w:tcPr>
          <w:p w14:paraId="23279C0F">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bCs/>
                <w:color w:val="auto"/>
                <w:spacing w:val="-6"/>
                <w:kern w:val="2"/>
                <w:sz w:val="24"/>
                <w:szCs w:val="24"/>
                <w:lang w:val="en-US" w:eastAsia="zh-CN"/>
              </w:rPr>
              <w:t>16</w:t>
            </w:r>
            <w:r>
              <w:rPr>
                <w:rFonts w:hint="eastAsia" w:ascii="Times New Roman" w:hAnsi="Times New Roman" w:eastAsia="宋体" w:cs="Times New Roman"/>
                <w:bCs/>
                <w:color w:val="auto"/>
                <w:spacing w:val="-6"/>
                <w:kern w:val="2"/>
                <w:sz w:val="24"/>
                <w:szCs w:val="24"/>
                <w:lang w:val="en-US" w:eastAsia="zh-CN"/>
              </w:rPr>
              <w:t>8</w:t>
            </w:r>
            <w:r>
              <w:rPr>
                <w:rFonts w:hint="eastAsia" w:ascii="Times New Roman" w:hAnsi="Times New Roman" w:eastAsia="宋体" w:cs="Times New Roman"/>
                <w:bCs/>
                <w:color w:val="auto"/>
                <w:spacing w:val="-6"/>
                <w:kern w:val="2"/>
                <w:sz w:val="24"/>
                <w:szCs w:val="24"/>
                <w:lang w:eastAsia="zh-CN"/>
              </w:rPr>
              <w:t>0万m</w:t>
            </w:r>
            <w:r>
              <w:rPr>
                <w:rFonts w:hint="eastAsia" w:ascii="Times New Roman" w:hAnsi="Times New Roman" w:eastAsia="宋体" w:cs="Times New Roman"/>
                <w:bCs/>
                <w:color w:val="auto"/>
                <w:spacing w:val="-6"/>
                <w:kern w:val="2"/>
                <w:sz w:val="24"/>
                <w:szCs w:val="24"/>
                <w:vertAlign w:val="superscript"/>
                <w:lang w:eastAsia="zh-CN"/>
              </w:rPr>
              <w:t>3</w:t>
            </w:r>
            <w:r>
              <w:rPr>
                <w:rFonts w:hint="eastAsia" w:ascii="Times New Roman" w:hAnsi="Times New Roman" w:eastAsia="宋体" w:cs="Times New Roman"/>
                <w:bCs/>
                <w:color w:val="auto"/>
                <w:spacing w:val="-6"/>
                <w:kern w:val="2"/>
                <w:sz w:val="24"/>
                <w:szCs w:val="24"/>
                <w:lang w:eastAsia="zh-CN"/>
              </w:rPr>
              <w:t>/a</w:t>
            </w:r>
          </w:p>
        </w:tc>
      </w:tr>
      <w:tr w14:paraId="78125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6581C83D">
            <w:pPr>
              <w:widowControl w:val="0"/>
              <w:jc w:val="center"/>
              <w:rPr>
                <w:rFonts w:ascii="Times New Roman" w:hAnsi="Times New Roman" w:eastAsia="宋体" w:cs="Times New Roman"/>
                <w:color w:val="auto"/>
                <w:spacing w:val="-6"/>
                <w:kern w:val="2"/>
                <w:sz w:val="24"/>
                <w:szCs w:val="24"/>
                <w:lang w:eastAsia="zh-CN"/>
              </w:rPr>
            </w:pPr>
          </w:p>
        </w:tc>
        <w:tc>
          <w:tcPr>
            <w:tcW w:w="310" w:type="pct"/>
            <w:vMerge w:val="continue"/>
            <w:tcBorders>
              <w:tl2br w:val="nil"/>
              <w:tr2bl w:val="nil"/>
            </w:tcBorders>
            <w:vAlign w:val="center"/>
          </w:tcPr>
          <w:p w14:paraId="3EEBC372">
            <w:pPr>
              <w:widowControl w:val="0"/>
              <w:jc w:val="center"/>
              <w:rPr>
                <w:rFonts w:ascii="Times New Roman" w:hAnsi="Times New Roman" w:eastAsia="宋体" w:cs="Times New Roman"/>
                <w:color w:val="auto"/>
                <w:spacing w:val="-6"/>
                <w:kern w:val="2"/>
                <w:sz w:val="24"/>
                <w:szCs w:val="24"/>
                <w:lang w:eastAsia="zh-CN"/>
              </w:rPr>
            </w:pPr>
          </w:p>
        </w:tc>
        <w:tc>
          <w:tcPr>
            <w:tcW w:w="531" w:type="pct"/>
            <w:tcBorders>
              <w:tl2br w:val="nil"/>
              <w:tr2bl w:val="nil"/>
            </w:tcBorders>
            <w:vAlign w:val="center"/>
          </w:tcPr>
          <w:p w14:paraId="75B5CCD8">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颗粒物</w:t>
            </w:r>
          </w:p>
        </w:tc>
        <w:tc>
          <w:tcPr>
            <w:tcW w:w="514" w:type="pct"/>
            <w:tcBorders>
              <w:tl2br w:val="nil"/>
              <w:tr2bl w:val="nil"/>
            </w:tcBorders>
            <w:vAlign w:val="center"/>
          </w:tcPr>
          <w:p w14:paraId="5A8071E7">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445" w:type="pct"/>
            <w:tcBorders>
              <w:tl2br w:val="nil"/>
              <w:tr2bl w:val="nil"/>
            </w:tcBorders>
            <w:vAlign w:val="center"/>
          </w:tcPr>
          <w:p w14:paraId="0C9E9971">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92" w:type="pct"/>
            <w:tcBorders>
              <w:tl2br w:val="nil"/>
              <w:tr2bl w:val="nil"/>
            </w:tcBorders>
            <w:vAlign w:val="center"/>
          </w:tcPr>
          <w:p w14:paraId="3B713474">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43" w:type="pct"/>
            <w:tcBorders>
              <w:tl2br w:val="nil"/>
              <w:tr2bl w:val="nil"/>
            </w:tcBorders>
            <w:vAlign w:val="center"/>
          </w:tcPr>
          <w:p w14:paraId="00F62D05">
            <w:pPr>
              <w:widowControl w:val="0"/>
              <w:jc w:val="center"/>
              <w:rPr>
                <w:rFonts w:hint="default" w:ascii="Times New Roman" w:hAnsi="Times New Roman" w:eastAsia="宋体" w:cs="Times New Roman"/>
                <w:color w:val="auto"/>
                <w:spacing w:val="-6"/>
                <w:kern w:val="2"/>
                <w:sz w:val="24"/>
                <w:szCs w:val="24"/>
                <w:lang w:val="en-US" w:eastAsia="zh-CN"/>
              </w:rPr>
            </w:pPr>
            <w:r>
              <w:rPr>
                <w:rFonts w:hint="eastAsia" w:cs="Times New Roman"/>
                <w:color w:val="auto"/>
                <w:spacing w:val="-6"/>
                <w:kern w:val="2"/>
                <w:sz w:val="24"/>
                <w:szCs w:val="24"/>
                <w:lang w:val="en-US" w:eastAsia="zh-CN"/>
              </w:rPr>
              <w:t>0.562</w:t>
            </w:r>
          </w:p>
        </w:tc>
        <w:tc>
          <w:tcPr>
            <w:tcW w:w="543" w:type="pct"/>
            <w:tcBorders>
              <w:tl2br w:val="nil"/>
              <w:tr2bl w:val="nil"/>
            </w:tcBorders>
            <w:vAlign w:val="center"/>
          </w:tcPr>
          <w:p w14:paraId="7F29DB59">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03D0F0EE">
            <w:pPr>
              <w:widowControl w:val="0"/>
              <w:jc w:val="center"/>
              <w:rPr>
                <w:rFonts w:ascii="Times New Roman" w:hAnsi="Times New Roman" w:eastAsia="宋体" w:cs="Times New Roman"/>
                <w:color w:val="auto"/>
                <w:spacing w:val="-6"/>
                <w:kern w:val="2"/>
                <w:sz w:val="24"/>
                <w:szCs w:val="24"/>
                <w:lang w:eastAsia="zh-CN"/>
              </w:rPr>
            </w:pPr>
            <w:r>
              <w:rPr>
                <w:rFonts w:hint="eastAsia" w:cs="Times New Roman"/>
                <w:color w:val="auto"/>
                <w:spacing w:val="-6"/>
                <w:kern w:val="2"/>
                <w:sz w:val="24"/>
                <w:szCs w:val="24"/>
                <w:lang w:val="en-US" w:eastAsia="zh-CN"/>
              </w:rPr>
              <w:t>0.562</w:t>
            </w:r>
          </w:p>
        </w:tc>
        <w:tc>
          <w:tcPr>
            <w:tcW w:w="441" w:type="pct"/>
            <w:tcBorders>
              <w:tl2br w:val="nil"/>
              <w:tr2bl w:val="nil"/>
            </w:tcBorders>
            <w:vAlign w:val="center"/>
          </w:tcPr>
          <w:p w14:paraId="01B78267">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color w:val="auto"/>
                <w:spacing w:val="-6"/>
                <w:kern w:val="2"/>
                <w:sz w:val="24"/>
                <w:szCs w:val="24"/>
                <w:lang w:val="en-US" w:eastAsia="zh-CN"/>
              </w:rPr>
              <w:t>0.562</w:t>
            </w:r>
          </w:p>
        </w:tc>
      </w:tr>
      <w:tr w14:paraId="092D1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72717B26">
            <w:pPr>
              <w:widowControl w:val="0"/>
              <w:jc w:val="center"/>
              <w:rPr>
                <w:rFonts w:ascii="Times New Roman" w:hAnsi="Times New Roman" w:eastAsia="宋体" w:cs="Times New Roman"/>
                <w:color w:val="auto"/>
                <w:spacing w:val="-6"/>
                <w:kern w:val="2"/>
                <w:sz w:val="24"/>
                <w:szCs w:val="24"/>
                <w:lang w:eastAsia="zh-CN"/>
              </w:rPr>
            </w:pPr>
          </w:p>
        </w:tc>
        <w:tc>
          <w:tcPr>
            <w:tcW w:w="310" w:type="pct"/>
            <w:vMerge w:val="restart"/>
            <w:tcBorders>
              <w:tl2br w:val="nil"/>
              <w:tr2bl w:val="nil"/>
            </w:tcBorders>
            <w:vAlign w:val="center"/>
          </w:tcPr>
          <w:p w14:paraId="068E5912">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无组织</w:t>
            </w:r>
          </w:p>
        </w:tc>
        <w:tc>
          <w:tcPr>
            <w:tcW w:w="531" w:type="pct"/>
            <w:tcBorders>
              <w:tl2br w:val="nil"/>
              <w:tr2bl w:val="nil"/>
            </w:tcBorders>
            <w:vAlign w:val="center"/>
          </w:tcPr>
          <w:p w14:paraId="1DFBA92F">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颗粒物</w:t>
            </w:r>
          </w:p>
        </w:tc>
        <w:tc>
          <w:tcPr>
            <w:tcW w:w="514" w:type="pct"/>
            <w:tcBorders>
              <w:tl2br w:val="nil"/>
              <w:tr2bl w:val="nil"/>
            </w:tcBorders>
            <w:vAlign w:val="center"/>
          </w:tcPr>
          <w:p w14:paraId="5A9638E7">
            <w:pPr>
              <w:widowControl w:val="0"/>
              <w:kinsoku/>
              <w:autoSpaceDE/>
              <w:autoSpaceDN/>
              <w:adjustRightInd/>
              <w:snapToGrid/>
              <w:jc w:val="center"/>
              <w:textAlignment w:val="auto"/>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5011E50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598C726B">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C0E5F24">
            <w:pPr>
              <w:widowControl w:val="0"/>
              <w:jc w:val="center"/>
              <w:rPr>
                <w:rFonts w:hint="default" w:ascii="Times New Roman" w:hAnsi="Times New Roman" w:eastAsia="宋体" w:cs="Times New Roman"/>
                <w:bCs/>
                <w:color w:val="auto"/>
                <w:spacing w:val="-6"/>
                <w:kern w:val="2"/>
                <w:sz w:val="24"/>
                <w:szCs w:val="24"/>
                <w:lang w:val="en-US" w:eastAsia="zh-CN"/>
              </w:rPr>
            </w:pPr>
            <w:r>
              <w:rPr>
                <w:rFonts w:hint="eastAsia" w:cs="Times New Roman"/>
                <w:bCs/>
                <w:color w:val="auto"/>
                <w:spacing w:val="-6"/>
                <w:kern w:val="2"/>
                <w:sz w:val="24"/>
                <w:szCs w:val="24"/>
                <w:lang w:val="en-US" w:eastAsia="zh-CN"/>
              </w:rPr>
              <w:t>3.643</w:t>
            </w:r>
          </w:p>
        </w:tc>
        <w:tc>
          <w:tcPr>
            <w:tcW w:w="543" w:type="pct"/>
            <w:tcBorders>
              <w:tl2br w:val="nil"/>
              <w:tr2bl w:val="nil"/>
            </w:tcBorders>
            <w:vAlign w:val="center"/>
          </w:tcPr>
          <w:p w14:paraId="4E64D3F9">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w:t>
            </w:r>
          </w:p>
        </w:tc>
        <w:tc>
          <w:tcPr>
            <w:tcW w:w="692" w:type="pct"/>
            <w:tcBorders>
              <w:tl2br w:val="nil"/>
              <w:tr2bl w:val="nil"/>
            </w:tcBorders>
            <w:vAlign w:val="center"/>
          </w:tcPr>
          <w:p w14:paraId="0D24E6E1">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bCs/>
                <w:color w:val="auto"/>
                <w:spacing w:val="-6"/>
                <w:kern w:val="2"/>
                <w:sz w:val="24"/>
                <w:szCs w:val="24"/>
                <w:lang w:val="en-US" w:eastAsia="zh-CN"/>
              </w:rPr>
              <w:t>3.643</w:t>
            </w:r>
          </w:p>
        </w:tc>
        <w:tc>
          <w:tcPr>
            <w:tcW w:w="441" w:type="pct"/>
            <w:tcBorders>
              <w:tl2br w:val="nil"/>
              <w:tr2bl w:val="nil"/>
            </w:tcBorders>
            <w:vAlign w:val="center"/>
          </w:tcPr>
          <w:p w14:paraId="5BB9FD09">
            <w:pPr>
              <w:widowControl w:val="0"/>
              <w:jc w:val="center"/>
              <w:rPr>
                <w:rFonts w:ascii="Times New Roman" w:hAnsi="Times New Roman" w:eastAsia="宋体" w:cs="Times New Roman"/>
                <w:bCs/>
                <w:color w:val="auto"/>
                <w:spacing w:val="-6"/>
                <w:kern w:val="2"/>
                <w:sz w:val="24"/>
                <w:szCs w:val="24"/>
                <w:lang w:eastAsia="zh-CN"/>
              </w:rPr>
            </w:pPr>
            <w:r>
              <w:rPr>
                <w:rFonts w:hint="eastAsia" w:cs="Times New Roman"/>
                <w:bCs/>
                <w:color w:val="auto"/>
                <w:spacing w:val="-6"/>
                <w:kern w:val="2"/>
                <w:sz w:val="24"/>
                <w:szCs w:val="24"/>
                <w:lang w:val="en-US" w:eastAsia="zh-CN"/>
              </w:rPr>
              <w:t>3.643</w:t>
            </w:r>
          </w:p>
        </w:tc>
      </w:tr>
      <w:tr w14:paraId="7C4CF9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22E6EC7C">
            <w:pPr>
              <w:widowControl w:val="0"/>
              <w:jc w:val="center"/>
              <w:rPr>
                <w:rFonts w:ascii="Times New Roman" w:hAnsi="Times New Roman" w:eastAsia="宋体" w:cs="Times New Roman"/>
                <w:color w:val="auto"/>
                <w:spacing w:val="-6"/>
                <w:kern w:val="2"/>
                <w:sz w:val="24"/>
                <w:szCs w:val="24"/>
                <w:lang w:eastAsia="zh-CN"/>
              </w:rPr>
            </w:pPr>
          </w:p>
        </w:tc>
        <w:tc>
          <w:tcPr>
            <w:tcW w:w="310" w:type="pct"/>
            <w:vMerge w:val="continue"/>
            <w:tcBorders>
              <w:tl2br w:val="nil"/>
              <w:tr2bl w:val="nil"/>
            </w:tcBorders>
            <w:vAlign w:val="center"/>
          </w:tcPr>
          <w:p w14:paraId="100B0C05">
            <w:pPr>
              <w:widowControl w:val="0"/>
              <w:jc w:val="center"/>
              <w:rPr>
                <w:rFonts w:ascii="Times New Roman" w:hAnsi="Times New Roman" w:eastAsia="宋体" w:cs="Times New Roman"/>
                <w:color w:val="auto"/>
                <w:spacing w:val="-6"/>
                <w:kern w:val="2"/>
                <w:sz w:val="24"/>
                <w:szCs w:val="24"/>
                <w:lang w:eastAsia="zh-CN"/>
              </w:rPr>
            </w:pPr>
          </w:p>
        </w:tc>
        <w:tc>
          <w:tcPr>
            <w:tcW w:w="531" w:type="pct"/>
            <w:tcBorders>
              <w:tl2br w:val="nil"/>
              <w:tr2bl w:val="nil"/>
            </w:tcBorders>
            <w:vAlign w:val="center"/>
          </w:tcPr>
          <w:p w14:paraId="12D8CD6C">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油烟</w:t>
            </w:r>
          </w:p>
        </w:tc>
        <w:tc>
          <w:tcPr>
            <w:tcW w:w="514" w:type="pct"/>
            <w:tcBorders>
              <w:tl2br w:val="nil"/>
              <w:tr2bl w:val="nil"/>
            </w:tcBorders>
            <w:vAlign w:val="center"/>
          </w:tcPr>
          <w:p w14:paraId="224D652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0E2E567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2B90AF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2FE7AFB4">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c>
          <w:tcPr>
            <w:tcW w:w="543" w:type="pct"/>
            <w:tcBorders>
              <w:tl2br w:val="nil"/>
              <w:tr2bl w:val="nil"/>
            </w:tcBorders>
            <w:vAlign w:val="center"/>
          </w:tcPr>
          <w:p w14:paraId="664C68C6">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C5C72B6">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c>
          <w:tcPr>
            <w:tcW w:w="441" w:type="pct"/>
            <w:tcBorders>
              <w:tl2br w:val="nil"/>
              <w:tr2bl w:val="nil"/>
            </w:tcBorders>
            <w:vAlign w:val="center"/>
          </w:tcPr>
          <w:p w14:paraId="21A9707C">
            <w:pPr>
              <w:widowControl w:val="0"/>
              <w:jc w:val="center"/>
              <w:rPr>
                <w:rFonts w:ascii="Times New Roman" w:hAnsi="Times New Roman" w:eastAsia="宋体" w:cs="Times New Roman"/>
                <w:bCs/>
                <w:color w:val="auto"/>
                <w:spacing w:val="-6"/>
                <w:kern w:val="2"/>
                <w:sz w:val="24"/>
                <w:szCs w:val="24"/>
                <w:lang w:eastAsia="zh-CN"/>
              </w:rPr>
            </w:pPr>
            <w:r>
              <w:rPr>
                <w:rFonts w:hint="eastAsia" w:ascii="Times New Roman" w:hAnsi="Times New Roman" w:eastAsia="宋体" w:cs="Times New Roman"/>
                <w:bCs/>
                <w:color w:val="auto"/>
                <w:spacing w:val="-6"/>
                <w:kern w:val="2"/>
                <w:sz w:val="24"/>
                <w:szCs w:val="24"/>
                <w:lang w:eastAsia="zh-CN"/>
              </w:rPr>
              <w:t>0.001524</w:t>
            </w:r>
          </w:p>
        </w:tc>
      </w:tr>
      <w:tr w14:paraId="260B8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tcBorders>
              <w:tl2br w:val="nil"/>
              <w:tr2bl w:val="nil"/>
            </w:tcBorders>
            <w:vAlign w:val="center"/>
          </w:tcPr>
          <w:p w14:paraId="30121C6A">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废水</w:t>
            </w:r>
          </w:p>
        </w:tc>
        <w:tc>
          <w:tcPr>
            <w:tcW w:w="841" w:type="pct"/>
            <w:gridSpan w:val="2"/>
            <w:tcBorders>
              <w:tl2br w:val="nil"/>
              <w:tr2bl w:val="nil"/>
            </w:tcBorders>
            <w:vAlign w:val="center"/>
          </w:tcPr>
          <w:p w14:paraId="41D8D08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14" w:type="pct"/>
            <w:tcBorders>
              <w:tl2br w:val="nil"/>
              <w:tr2bl w:val="nil"/>
            </w:tcBorders>
            <w:vAlign w:val="center"/>
          </w:tcPr>
          <w:p w14:paraId="35C4592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489C268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97EACDC">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BBA470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34434F2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54057D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1" w:type="pct"/>
            <w:tcBorders>
              <w:tl2br w:val="nil"/>
              <w:tr2bl w:val="nil"/>
            </w:tcBorders>
            <w:vAlign w:val="center"/>
          </w:tcPr>
          <w:p w14:paraId="6075E628">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r>
      <w:tr w14:paraId="1CC1B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2387A0F4">
            <w:pPr>
              <w:widowControl w:val="0"/>
              <w:jc w:val="center"/>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一般工业固体废物</w:t>
            </w:r>
          </w:p>
        </w:tc>
        <w:tc>
          <w:tcPr>
            <w:tcW w:w="841" w:type="pct"/>
            <w:gridSpan w:val="2"/>
            <w:tcBorders>
              <w:tl2br w:val="nil"/>
              <w:tr2bl w:val="nil"/>
            </w:tcBorders>
            <w:vAlign w:val="center"/>
          </w:tcPr>
          <w:p w14:paraId="2536826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生活垃圾</w:t>
            </w:r>
          </w:p>
        </w:tc>
        <w:tc>
          <w:tcPr>
            <w:tcW w:w="514" w:type="pct"/>
            <w:tcBorders>
              <w:tl2br w:val="nil"/>
              <w:tr2bl w:val="nil"/>
            </w:tcBorders>
            <w:vAlign w:val="center"/>
          </w:tcPr>
          <w:p w14:paraId="3734F05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04F46A4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2F9D321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3C97FE4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c>
          <w:tcPr>
            <w:tcW w:w="543" w:type="pct"/>
            <w:tcBorders>
              <w:tl2br w:val="nil"/>
              <w:tr2bl w:val="nil"/>
            </w:tcBorders>
            <w:vAlign w:val="center"/>
          </w:tcPr>
          <w:p w14:paraId="2E0242FB">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27D06D9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c>
          <w:tcPr>
            <w:tcW w:w="441" w:type="pct"/>
            <w:tcBorders>
              <w:tl2br w:val="nil"/>
              <w:tr2bl w:val="nil"/>
            </w:tcBorders>
            <w:vAlign w:val="center"/>
          </w:tcPr>
          <w:p w14:paraId="02088AC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2.25</w:t>
            </w:r>
          </w:p>
        </w:tc>
      </w:tr>
      <w:tr w14:paraId="2C68F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4DC7B764">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01D362A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900-099-S59</w:t>
            </w:r>
          </w:p>
          <w:p w14:paraId="257B722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收集尘</w:t>
            </w:r>
          </w:p>
        </w:tc>
        <w:tc>
          <w:tcPr>
            <w:tcW w:w="514" w:type="pct"/>
            <w:tcBorders>
              <w:tl2br w:val="nil"/>
              <w:tr2bl w:val="nil"/>
            </w:tcBorders>
            <w:vAlign w:val="center"/>
          </w:tcPr>
          <w:p w14:paraId="0BD7672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619D7FB0">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72385D13">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7578F72">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14.256</w:t>
            </w:r>
          </w:p>
        </w:tc>
        <w:tc>
          <w:tcPr>
            <w:tcW w:w="543" w:type="pct"/>
            <w:tcBorders>
              <w:tl2br w:val="nil"/>
              <w:tr2bl w:val="nil"/>
            </w:tcBorders>
            <w:vAlign w:val="center"/>
          </w:tcPr>
          <w:p w14:paraId="7526F7D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72FE841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14.256</w:t>
            </w:r>
          </w:p>
        </w:tc>
        <w:tc>
          <w:tcPr>
            <w:tcW w:w="441" w:type="pct"/>
            <w:tcBorders>
              <w:tl2br w:val="nil"/>
              <w:tr2bl w:val="nil"/>
            </w:tcBorders>
            <w:vAlign w:val="center"/>
          </w:tcPr>
          <w:p w14:paraId="291F2F5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14.256</w:t>
            </w:r>
          </w:p>
        </w:tc>
      </w:tr>
      <w:tr w14:paraId="2024A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51431100">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14EFFDB3">
            <w:pPr>
              <w:pStyle w:val="45"/>
              <w:widowControl/>
              <w:adjustRightInd w:val="0"/>
              <w:snapToGrid w:val="0"/>
              <w:jc w:val="center"/>
              <w:rPr>
                <w:rFonts w:ascii="Times New Roman" w:hAnsi="Times New Roman" w:eastAsia="宋体" w:cs="Times New Roman"/>
                <w:color w:val="auto"/>
                <w:sz w:val="24"/>
                <w:szCs w:val="24"/>
                <w:lang w:bidi="ar"/>
              </w:rPr>
            </w:pPr>
            <w:r>
              <w:rPr>
                <w:rFonts w:hint="eastAsia" w:ascii="Times New Roman" w:hAnsi="Times New Roman" w:eastAsia="宋体" w:cs="Times New Roman"/>
                <w:color w:val="auto"/>
                <w:sz w:val="24"/>
                <w:szCs w:val="24"/>
                <w:lang w:bidi="ar"/>
              </w:rPr>
              <w:t>900-099-S07</w:t>
            </w:r>
          </w:p>
          <w:p w14:paraId="55E4878E">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bidi="ar"/>
              </w:rPr>
              <w:t>初期雨水收集池污泥</w:t>
            </w:r>
          </w:p>
        </w:tc>
        <w:tc>
          <w:tcPr>
            <w:tcW w:w="514" w:type="pct"/>
            <w:tcBorders>
              <w:tl2br w:val="nil"/>
              <w:tr2bl w:val="nil"/>
            </w:tcBorders>
            <w:vAlign w:val="center"/>
          </w:tcPr>
          <w:p w14:paraId="3B31300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690C1D0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10C3C23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40FE4B76">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c>
          <w:tcPr>
            <w:tcW w:w="543" w:type="pct"/>
            <w:tcBorders>
              <w:tl2br w:val="nil"/>
              <w:tr2bl w:val="nil"/>
            </w:tcBorders>
            <w:vAlign w:val="center"/>
          </w:tcPr>
          <w:p w14:paraId="76A1D06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38C4AD6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c>
          <w:tcPr>
            <w:tcW w:w="441" w:type="pct"/>
            <w:tcBorders>
              <w:tl2br w:val="nil"/>
              <w:tr2bl w:val="nil"/>
            </w:tcBorders>
            <w:vAlign w:val="center"/>
          </w:tcPr>
          <w:p w14:paraId="6C3DF67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1.18</w:t>
            </w:r>
          </w:p>
        </w:tc>
      </w:tr>
      <w:tr w14:paraId="08C2D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38509734">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06C574DE">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900-099-S07</w:t>
            </w:r>
          </w:p>
          <w:p w14:paraId="60212D5B">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隔油池油污</w:t>
            </w:r>
          </w:p>
        </w:tc>
        <w:tc>
          <w:tcPr>
            <w:tcW w:w="514" w:type="pct"/>
            <w:tcBorders>
              <w:tl2br w:val="nil"/>
              <w:tr2bl w:val="nil"/>
            </w:tcBorders>
            <w:vAlign w:val="center"/>
          </w:tcPr>
          <w:p w14:paraId="73D5EB8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70BA64D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39BBD6F0">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63183A2">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c>
          <w:tcPr>
            <w:tcW w:w="543" w:type="pct"/>
            <w:tcBorders>
              <w:tl2br w:val="nil"/>
              <w:tr2bl w:val="nil"/>
            </w:tcBorders>
            <w:vAlign w:val="center"/>
          </w:tcPr>
          <w:p w14:paraId="6493E4D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18C02524">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c>
          <w:tcPr>
            <w:tcW w:w="441" w:type="pct"/>
            <w:tcBorders>
              <w:tl2br w:val="nil"/>
              <w:tr2bl w:val="nil"/>
            </w:tcBorders>
            <w:vAlign w:val="center"/>
          </w:tcPr>
          <w:p w14:paraId="1E5D9FA9">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0.072</w:t>
            </w:r>
          </w:p>
        </w:tc>
      </w:tr>
      <w:tr w14:paraId="07210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35E9691D">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56724730">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462-001-S90</w:t>
            </w:r>
          </w:p>
          <w:p w14:paraId="7921EB7A">
            <w:pPr>
              <w:pStyle w:val="45"/>
              <w:widowControl/>
              <w:adjustRightInd w:val="0"/>
              <w:snapToGrid w:val="0"/>
              <w:jc w:val="center"/>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污水处理污泥</w:t>
            </w:r>
          </w:p>
        </w:tc>
        <w:tc>
          <w:tcPr>
            <w:tcW w:w="514" w:type="pct"/>
            <w:tcBorders>
              <w:tl2br w:val="nil"/>
              <w:tr2bl w:val="nil"/>
            </w:tcBorders>
            <w:vAlign w:val="center"/>
          </w:tcPr>
          <w:p w14:paraId="2553AED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166844C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39226C3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789F4EF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c>
          <w:tcPr>
            <w:tcW w:w="543" w:type="pct"/>
            <w:tcBorders>
              <w:tl2br w:val="nil"/>
              <w:tr2bl w:val="nil"/>
            </w:tcBorders>
            <w:vAlign w:val="center"/>
          </w:tcPr>
          <w:p w14:paraId="12A5BF7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7BAEE868">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c>
          <w:tcPr>
            <w:tcW w:w="441" w:type="pct"/>
            <w:tcBorders>
              <w:tl2br w:val="nil"/>
              <w:tr2bl w:val="nil"/>
            </w:tcBorders>
            <w:vAlign w:val="center"/>
          </w:tcPr>
          <w:p w14:paraId="0016D61F">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0.2</w:t>
            </w:r>
          </w:p>
        </w:tc>
      </w:tr>
      <w:tr w14:paraId="32F42D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restart"/>
            <w:tcBorders>
              <w:tl2br w:val="nil"/>
              <w:tr2bl w:val="nil"/>
            </w:tcBorders>
            <w:vAlign w:val="center"/>
          </w:tcPr>
          <w:p w14:paraId="19D434F5">
            <w:pPr>
              <w:widowControl w:val="0"/>
              <w:jc w:val="center"/>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危险废物</w:t>
            </w:r>
          </w:p>
        </w:tc>
        <w:tc>
          <w:tcPr>
            <w:tcW w:w="841" w:type="pct"/>
            <w:gridSpan w:val="2"/>
            <w:tcBorders>
              <w:tl2br w:val="nil"/>
              <w:tr2bl w:val="nil"/>
            </w:tcBorders>
            <w:vAlign w:val="center"/>
          </w:tcPr>
          <w:p w14:paraId="7D006DAA">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900-214-08废机油</w:t>
            </w:r>
          </w:p>
        </w:tc>
        <w:tc>
          <w:tcPr>
            <w:tcW w:w="514" w:type="pct"/>
            <w:tcBorders>
              <w:tl2br w:val="nil"/>
              <w:tr2bl w:val="nil"/>
            </w:tcBorders>
            <w:vAlign w:val="center"/>
          </w:tcPr>
          <w:p w14:paraId="147C188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5" w:type="pct"/>
            <w:tcBorders>
              <w:tl2br w:val="nil"/>
              <w:tr2bl w:val="nil"/>
            </w:tcBorders>
            <w:vAlign w:val="center"/>
          </w:tcPr>
          <w:p w14:paraId="77C5A79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92" w:type="pct"/>
            <w:tcBorders>
              <w:tl2br w:val="nil"/>
              <w:tr2bl w:val="nil"/>
            </w:tcBorders>
            <w:vAlign w:val="center"/>
          </w:tcPr>
          <w:p w14:paraId="74BA4C2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543" w:type="pct"/>
            <w:tcBorders>
              <w:tl2br w:val="nil"/>
              <w:tr2bl w:val="nil"/>
            </w:tcBorders>
            <w:vAlign w:val="center"/>
          </w:tcPr>
          <w:p w14:paraId="2A0946C5">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0.1</w:t>
            </w:r>
          </w:p>
        </w:tc>
        <w:tc>
          <w:tcPr>
            <w:tcW w:w="543" w:type="pct"/>
            <w:tcBorders>
              <w:tl2br w:val="nil"/>
              <w:tr2bl w:val="nil"/>
            </w:tcBorders>
            <w:vAlign w:val="center"/>
          </w:tcPr>
          <w:p w14:paraId="40ECC71D">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692" w:type="pct"/>
            <w:tcBorders>
              <w:tl2br w:val="nil"/>
              <w:tr2bl w:val="nil"/>
            </w:tcBorders>
            <w:vAlign w:val="center"/>
          </w:tcPr>
          <w:p w14:paraId="569F6B51">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w:t>
            </w:r>
          </w:p>
        </w:tc>
        <w:tc>
          <w:tcPr>
            <w:tcW w:w="441" w:type="pct"/>
            <w:tcBorders>
              <w:tl2br w:val="nil"/>
              <w:tr2bl w:val="nil"/>
            </w:tcBorders>
            <w:vAlign w:val="center"/>
          </w:tcPr>
          <w:p w14:paraId="3CE4DCB7">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hint="eastAsia" w:ascii="Times New Roman" w:hAnsi="Times New Roman" w:eastAsia="宋体" w:cs="Times New Roman"/>
                <w:snapToGrid/>
                <w:color w:val="auto"/>
                <w:kern w:val="2"/>
                <w:sz w:val="24"/>
                <w:szCs w:val="24"/>
                <w:lang w:eastAsia="zh-CN"/>
              </w:rPr>
              <w:t>0.1</w:t>
            </w:r>
          </w:p>
        </w:tc>
      </w:tr>
      <w:tr w14:paraId="50408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384" w:type="pct"/>
            <w:vMerge w:val="continue"/>
            <w:tcBorders>
              <w:tl2br w:val="nil"/>
              <w:tr2bl w:val="nil"/>
            </w:tcBorders>
            <w:vAlign w:val="center"/>
          </w:tcPr>
          <w:p w14:paraId="5C862D9B">
            <w:pPr>
              <w:widowControl w:val="0"/>
              <w:jc w:val="center"/>
              <w:rPr>
                <w:rFonts w:ascii="Times New Roman" w:hAnsi="Times New Roman" w:eastAsia="宋体" w:cs="Times New Roman"/>
                <w:color w:val="auto"/>
                <w:spacing w:val="-6"/>
                <w:kern w:val="2"/>
                <w:sz w:val="24"/>
                <w:szCs w:val="24"/>
                <w:lang w:eastAsia="zh-CN"/>
              </w:rPr>
            </w:pPr>
          </w:p>
        </w:tc>
        <w:tc>
          <w:tcPr>
            <w:tcW w:w="841" w:type="pct"/>
            <w:gridSpan w:val="2"/>
            <w:tcBorders>
              <w:tl2br w:val="nil"/>
              <w:tr2bl w:val="nil"/>
            </w:tcBorders>
            <w:vAlign w:val="center"/>
          </w:tcPr>
          <w:p w14:paraId="22908A26">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ascii="Times New Roman" w:hAnsi="Times New Roman" w:eastAsia="宋体" w:cs="Times New Roman"/>
                <w:color w:val="auto"/>
                <w:spacing w:val="-6"/>
                <w:kern w:val="2"/>
                <w:sz w:val="24"/>
                <w:szCs w:val="24"/>
                <w:lang w:eastAsia="zh-CN"/>
              </w:rPr>
              <w:t>900-041-49</w:t>
            </w:r>
          </w:p>
          <w:p w14:paraId="1E108A6E">
            <w:pPr>
              <w:widowControl w:val="0"/>
              <w:kinsoku/>
              <w:autoSpaceDE/>
              <w:autoSpaceDN/>
              <w:adjustRightInd/>
              <w:snapToGrid/>
              <w:jc w:val="center"/>
              <w:textAlignment w:val="auto"/>
              <w:rPr>
                <w:rFonts w:ascii="Times New Roman" w:hAnsi="Times New Roman" w:eastAsia="宋体" w:cs="Times New Roman"/>
                <w:snapToGrid/>
                <w:color w:val="auto"/>
                <w:kern w:val="2"/>
                <w:sz w:val="24"/>
                <w:szCs w:val="24"/>
                <w:lang w:eastAsia="zh-CN"/>
              </w:rPr>
            </w:pPr>
            <w:r>
              <w:rPr>
                <w:rFonts w:ascii="Times New Roman" w:hAnsi="Times New Roman" w:eastAsia="宋体" w:cs="Times New Roman"/>
                <w:color w:val="auto"/>
                <w:spacing w:val="-6"/>
                <w:kern w:val="2"/>
                <w:sz w:val="24"/>
                <w:szCs w:val="24"/>
                <w:lang w:eastAsia="zh-CN"/>
              </w:rPr>
              <w:t>废含油手套及抹布</w:t>
            </w:r>
          </w:p>
        </w:tc>
        <w:tc>
          <w:tcPr>
            <w:tcW w:w="514" w:type="pct"/>
            <w:tcBorders>
              <w:tl2br w:val="nil"/>
              <w:tr2bl w:val="nil"/>
            </w:tcBorders>
            <w:vAlign w:val="center"/>
          </w:tcPr>
          <w:p w14:paraId="7B9B6165">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445" w:type="pct"/>
            <w:tcBorders>
              <w:tl2br w:val="nil"/>
              <w:tr2bl w:val="nil"/>
            </w:tcBorders>
            <w:vAlign w:val="center"/>
          </w:tcPr>
          <w:p w14:paraId="12F44BD1">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92" w:type="pct"/>
            <w:tcBorders>
              <w:tl2br w:val="nil"/>
              <w:tr2bl w:val="nil"/>
            </w:tcBorders>
            <w:vAlign w:val="center"/>
          </w:tcPr>
          <w:p w14:paraId="410D489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543" w:type="pct"/>
            <w:tcBorders>
              <w:tl2br w:val="nil"/>
              <w:tr2bl w:val="nil"/>
            </w:tcBorders>
            <w:vAlign w:val="center"/>
          </w:tcPr>
          <w:p w14:paraId="35A6EDD9">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c>
          <w:tcPr>
            <w:tcW w:w="543" w:type="pct"/>
            <w:tcBorders>
              <w:tl2br w:val="nil"/>
              <w:tr2bl w:val="nil"/>
            </w:tcBorders>
            <w:vAlign w:val="center"/>
          </w:tcPr>
          <w:p w14:paraId="5FFF769F">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w:t>
            </w:r>
          </w:p>
        </w:tc>
        <w:tc>
          <w:tcPr>
            <w:tcW w:w="692" w:type="pct"/>
            <w:tcBorders>
              <w:tl2br w:val="nil"/>
              <w:tr2bl w:val="nil"/>
            </w:tcBorders>
            <w:vAlign w:val="center"/>
          </w:tcPr>
          <w:p w14:paraId="667694F7">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c>
          <w:tcPr>
            <w:tcW w:w="441" w:type="pct"/>
            <w:tcBorders>
              <w:tl2br w:val="nil"/>
              <w:tr2bl w:val="nil"/>
            </w:tcBorders>
            <w:vAlign w:val="center"/>
          </w:tcPr>
          <w:p w14:paraId="6E3DB473">
            <w:pPr>
              <w:widowControl w:val="0"/>
              <w:kinsoku/>
              <w:autoSpaceDE/>
              <w:autoSpaceDN/>
              <w:adjustRightInd/>
              <w:snapToGrid/>
              <w:jc w:val="center"/>
              <w:textAlignment w:val="auto"/>
              <w:rPr>
                <w:rFonts w:ascii="Times New Roman" w:hAnsi="Times New Roman" w:eastAsia="宋体" w:cs="Times New Roman"/>
                <w:color w:val="auto"/>
                <w:spacing w:val="-6"/>
                <w:kern w:val="2"/>
                <w:sz w:val="24"/>
                <w:szCs w:val="24"/>
                <w:lang w:eastAsia="zh-CN"/>
              </w:rPr>
            </w:pPr>
            <w:r>
              <w:rPr>
                <w:rFonts w:hint="eastAsia" w:ascii="Times New Roman" w:hAnsi="Times New Roman" w:eastAsia="宋体" w:cs="Times New Roman"/>
                <w:color w:val="auto"/>
                <w:spacing w:val="-6"/>
                <w:kern w:val="2"/>
                <w:sz w:val="24"/>
                <w:szCs w:val="24"/>
                <w:lang w:eastAsia="zh-CN"/>
              </w:rPr>
              <w:t>0.01</w:t>
            </w:r>
          </w:p>
        </w:tc>
      </w:tr>
    </w:tbl>
    <w:p w14:paraId="57BF6F1A">
      <w:pPr>
        <w:widowControl w:val="0"/>
        <w:kinsoku/>
        <w:autoSpaceDE/>
        <w:autoSpaceDN/>
        <w:adjustRightInd/>
        <w:snapToGrid/>
        <w:spacing w:before="34" w:line="230" w:lineRule="auto"/>
        <w:ind w:left="47"/>
        <w:jc w:val="both"/>
        <w:textAlignment w:val="auto"/>
        <w:rPr>
          <w:rFonts w:ascii="Times New Roman" w:hAnsi="Times New Roman" w:eastAsia="宋体" w:cs="Times New Roman"/>
          <w:snapToGrid/>
          <w:color w:val="auto"/>
          <w:kern w:val="2"/>
          <w:szCs w:val="24"/>
          <w:lang w:eastAsia="zh-CN"/>
        </w:rPr>
      </w:pPr>
      <w:r>
        <w:rPr>
          <w:rFonts w:ascii="Times New Roman" w:hAnsi="Times New Roman" w:eastAsia="宋体" w:cs="Times New Roman"/>
          <w:snapToGrid/>
          <w:color w:val="auto"/>
          <w:spacing w:val="1"/>
          <w:kern w:val="2"/>
          <w:sz w:val="24"/>
          <w:szCs w:val="24"/>
          <w:lang w:eastAsia="zh-CN"/>
        </w:rPr>
        <w:t>注：⑥=①+③+④-⑤</w:t>
      </w:r>
      <w:r>
        <w:rPr>
          <w:rFonts w:hint="eastAsia" w:ascii="Times New Roman" w:hAnsi="Times New Roman" w:eastAsia="宋体" w:cs="Times New Roman"/>
          <w:snapToGrid/>
          <w:color w:val="auto"/>
          <w:spacing w:val="1"/>
          <w:kern w:val="2"/>
          <w:sz w:val="24"/>
          <w:szCs w:val="24"/>
          <w:lang w:eastAsia="zh-CN"/>
        </w:rPr>
        <w:t>；</w:t>
      </w:r>
      <w:r>
        <w:rPr>
          <w:rFonts w:ascii="Times New Roman" w:hAnsi="Times New Roman" w:eastAsia="宋体" w:cs="Times New Roman"/>
          <w:snapToGrid/>
          <w:color w:val="auto"/>
          <w:spacing w:val="1"/>
          <w:kern w:val="2"/>
          <w:sz w:val="24"/>
          <w:szCs w:val="24"/>
          <w:lang w:eastAsia="zh-CN"/>
        </w:rPr>
        <w:t>⑦=⑥-①</w:t>
      </w:r>
      <w:r>
        <w:rPr>
          <w:rFonts w:hint="eastAsia" w:ascii="Times New Roman" w:hAnsi="Times New Roman" w:eastAsia="宋体" w:cs="Times New Roman"/>
          <w:snapToGrid/>
          <w:color w:val="auto"/>
          <w:spacing w:val="1"/>
          <w:kern w:val="2"/>
          <w:sz w:val="24"/>
          <w:szCs w:val="24"/>
          <w:lang w:eastAsia="zh-CN"/>
        </w:rPr>
        <w:t>。</w:t>
      </w:r>
    </w:p>
    <w:p w14:paraId="7B552F56">
      <w:pPr>
        <w:rPr>
          <w:rFonts w:ascii="Times New Roman" w:hAnsi="Times New Roman" w:eastAsia="宋体" w:cs="Times New Roman"/>
          <w:color w:val="auto"/>
          <w:sz w:val="2"/>
        </w:rPr>
      </w:pPr>
    </w:p>
    <w:sectPr>
      <w:footerReference r:id="rId12" w:type="default"/>
      <w:pgSz w:w="16838" w:h="11906" w:orient="landscape"/>
      <w:pgMar w:top="1440" w:right="1800" w:bottom="1440" w:left="1800" w:header="567" w:footer="85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華康細圓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楷体_GB2312">
    <w:panose1 w:val="02010609030101010101"/>
    <w:charset w:val="86"/>
    <w:family w:val="modern"/>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CB389">
    <w:pPr>
      <w:pStyle w:val="1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78C72">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4A56">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C3C3F">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369C3C3F">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14104A">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E45E60">
                          <w:pPr>
                            <w:pStyle w:val="10"/>
                          </w:pPr>
                          <w:r>
                            <w:t xml:space="preserve">— </w:t>
                          </w:r>
                          <w:r>
                            <w:fldChar w:fldCharType="begin"/>
                          </w:r>
                          <w:r>
                            <w:instrText xml:space="preserve"> PAGE  \* MERGEFORMAT </w:instrText>
                          </w:r>
                          <w:r>
                            <w:fldChar w:fldCharType="separate"/>
                          </w:r>
                          <w:r>
                            <w:t>25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3CE45E60">
                    <w:pPr>
                      <w:pStyle w:val="10"/>
                    </w:pPr>
                    <w:r>
                      <w:t xml:space="preserve">— </w:t>
                    </w:r>
                    <w:r>
                      <w:fldChar w:fldCharType="begin"/>
                    </w:r>
                    <w:r>
                      <w:instrText xml:space="preserve"> PAGE  \* MERGEFORMAT </w:instrText>
                    </w:r>
                    <w:r>
                      <w:fldChar w:fldCharType="separate"/>
                    </w:r>
                    <w:r>
                      <w:t>25</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B7C89">
    <w:pPr>
      <w:pStyle w:val="10"/>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C5583">
                          <w:pPr>
                            <w:pStyle w:val="10"/>
                          </w:pPr>
                          <w:r>
                            <w:t xml:space="preserve">— </w:t>
                          </w:r>
                          <w:r>
                            <w:fldChar w:fldCharType="begin"/>
                          </w:r>
                          <w:r>
                            <w:instrText xml:space="preserve"> PAGE  \* MERGEFORMAT </w:instrText>
                          </w:r>
                          <w:r>
                            <w:fldChar w:fldCharType="separate"/>
                          </w:r>
                          <w:r>
                            <w:t>57</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071C5583">
                    <w:pPr>
                      <w:pStyle w:val="10"/>
                    </w:pPr>
                    <w:r>
                      <w:t xml:space="preserve">— </w:t>
                    </w:r>
                    <w:r>
                      <w:fldChar w:fldCharType="begin"/>
                    </w:r>
                    <w:r>
                      <w:instrText xml:space="preserve"> PAGE  \* MERGEFORMAT </w:instrText>
                    </w:r>
                    <w:r>
                      <w:fldChar w:fldCharType="separate"/>
                    </w:r>
                    <w:r>
                      <w:t>57</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9396E">
    <w:pPr>
      <w:spacing w:line="176" w:lineRule="auto"/>
      <w:ind w:left="4448"/>
      <w:rPr>
        <w:rFonts w:eastAsia="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10326">
                          <w:pPr>
                            <w:pStyle w:val="10"/>
                          </w:pPr>
                          <w:r>
                            <w:t xml:space="preserve">— </w:t>
                          </w:r>
                          <w:r>
                            <w:fldChar w:fldCharType="begin"/>
                          </w:r>
                          <w:r>
                            <w:instrText xml:space="preserve"> PAGE  \* MERGEFORMAT </w:instrText>
                          </w:r>
                          <w:r>
                            <w:fldChar w:fldCharType="separate"/>
                          </w:r>
                          <w:r>
                            <w:t>81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2F910326">
                    <w:pPr>
                      <w:pStyle w:val="10"/>
                    </w:pPr>
                    <w:r>
                      <w:t xml:space="preserve">— </w:t>
                    </w:r>
                    <w:r>
                      <w:fldChar w:fldCharType="begin"/>
                    </w:r>
                    <w:r>
                      <w:instrText xml:space="preserve"> PAGE  \* MERGEFORMAT </w:instrText>
                    </w:r>
                    <w:r>
                      <w:fldChar w:fldCharType="separate"/>
                    </w:r>
                    <w:r>
                      <w:t>81</w:t>
                    </w:r>
                    <w:r>
                      <w:fldChar w:fldCharType="end"/>
                    </w:r>
                    <w: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34A17">
    <w:pPr>
      <w:spacing w:line="14" w:lineRule="auto"/>
      <w:rPr>
        <w:rFonts w:ascii="Arial"/>
        <w:sz w:val="2"/>
      </w:rPr>
    </w:pPr>
    <w:r>
      <w:rPr>
        <w:sz w:val="2"/>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B68A9">
                          <w:pPr>
                            <w:pStyle w:val="10"/>
                          </w:pPr>
                          <w:r>
                            <w:t xml:space="preserve">— </w:t>
                          </w:r>
                          <w:r>
                            <w:fldChar w:fldCharType="begin"/>
                          </w:r>
                          <w:r>
                            <w:instrText xml:space="preserve"> PAGE  \* MERGEFORMAT </w:instrText>
                          </w:r>
                          <w:r>
                            <w:fldChar w:fldCharType="separate"/>
                          </w:r>
                          <w:r>
                            <w:t>82</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38B68A9">
                    <w:pPr>
                      <w:pStyle w:val="10"/>
                    </w:pPr>
                    <w:r>
                      <w:t xml:space="preserve">— </w:t>
                    </w:r>
                    <w:r>
                      <w:fldChar w:fldCharType="begin"/>
                    </w:r>
                    <w:r>
                      <w:instrText xml:space="preserve"> PAGE  \* MERGEFORMAT </w:instrText>
                    </w:r>
                    <w:r>
                      <w:fldChar w:fldCharType="separate"/>
                    </w:r>
                    <w:r>
                      <w:t>82</w:t>
                    </w:r>
                    <w:r>
                      <w:fldChar w:fldCharType="end"/>
                    </w:r>
                    <w: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C509B">
    <w:pPr>
      <w:spacing w:line="14" w:lineRule="auto"/>
      <w:rPr>
        <w:rFonts w:ascii="Arial"/>
        <w:sz w:val="2"/>
      </w:rPr>
    </w:pPr>
    <w:r>
      <w:rPr>
        <w:sz w:val="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7169E0">
                          <w:pPr>
                            <w:pStyle w:val="10"/>
                          </w:pPr>
                          <w:r>
                            <w:t xml:space="preserve">— </w:t>
                          </w:r>
                          <w:r>
                            <w:fldChar w:fldCharType="begin"/>
                          </w:r>
                          <w:r>
                            <w:instrText xml:space="preserve"> PAGE  \* MERGEFORMAT </w:instrText>
                          </w:r>
                          <w:r>
                            <w:fldChar w:fldCharType="separate"/>
                          </w:r>
                          <w:r>
                            <w:t>85</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3F7169E0">
                    <w:pPr>
                      <w:pStyle w:val="10"/>
                    </w:pPr>
                    <w:r>
                      <w:t xml:space="preserve">— </w:t>
                    </w:r>
                    <w:r>
                      <w:fldChar w:fldCharType="begin"/>
                    </w:r>
                    <w:r>
                      <w:instrText xml:space="preserve"> PAGE  \* MERGEFORMAT </w:instrText>
                    </w:r>
                    <w:r>
                      <w:fldChar w:fldCharType="separate"/>
                    </w:r>
                    <w:r>
                      <w:t>85</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62C50F">
    <w:pPr>
      <w:spacing w:line="14" w:lineRule="auto"/>
      <w:rPr>
        <w:rFonts w:ascii="Arial"/>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887B">
    <w:pPr>
      <w:pStyle w:val="1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6C3740"/>
    <w:multiLevelType w:val="singleLevel"/>
    <w:tmpl w:val="946C3740"/>
    <w:lvl w:ilvl="0" w:tentative="0">
      <w:start w:val="1"/>
      <w:numFmt w:val="chineseCounting"/>
      <w:suff w:val="nothing"/>
      <w:lvlText w:val="%1、"/>
      <w:lvlJc w:val="left"/>
      <w:rPr>
        <w:rFonts w:hint="eastAsia"/>
      </w:rPr>
    </w:lvl>
  </w:abstractNum>
  <w:abstractNum w:abstractNumId="1">
    <w:nsid w:val="9E463152"/>
    <w:multiLevelType w:val="singleLevel"/>
    <w:tmpl w:val="9E463152"/>
    <w:lvl w:ilvl="0" w:tentative="0">
      <w:start w:val="8"/>
      <w:numFmt w:val="decimal"/>
      <w:suff w:val="nothing"/>
      <w:lvlText w:val="%1、"/>
      <w:lvlJc w:val="left"/>
    </w:lvl>
  </w:abstractNum>
  <w:abstractNum w:abstractNumId="2">
    <w:nsid w:val="AC359A27"/>
    <w:multiLevelType w:val="singleLevel"/>
    <w:tmpl w:val="AC359A27"/>
    <w:lvl w:ilvl="0" w:tentative="0">
      <w:start w:val="5"/>
      <w:numFmt w:val="chineseCounting"/>
      <w:suff w:val="nothing"/>
      <w:lvlText w:val="%1、"/>
      <w:lvlJc w:val="left"/>
      <w:rPr>
        <w:rFonts w:hint="eastAsia"/>
      </w:rPr>
    </w:lvl>
  </w:abstractNum>
  <w:abstractNum w:abstractNumId="3">
    <w:nsid w:val="EA9DE7F6"/>
    <w:multiLevelType w:val="singleLevel"/>
    <w:tmpl w:val="EA9DE7F6"/>
    <w:lvl w:ilvl="0" w:tentative="0">
      <w:start w:val="1"/>
      <w:numFmt w:val="decimal"/>
      <w:lvlText w:val="%1."/>
      <w:lvlJc w:val="left"/>
      <w:pPr>
        <w:ind w:left="425" w:hanging="425"/>
      </w:pPr>
      <w:rPr>
        <w:rFonts w:hint="default"/>
      </w:rPr>
    </w:lvl>
  </w:abstractNum>
  <w:abstractNum w:abstractNumId="4">
    <w:nsid w:val="EE675BEF"/>
    <w:multiLevelType w:val="singleLevel"/>
    <w:tmpl w:val="EE675BEF"/>
    <w:lvl w:ilvl="0" w:tentative="0">
      <w:start w:val="1"/>
      <w:numFmt w:val="decimal"/>
      <w:lvlText w:val="%1."/>
      <w:lvlJc w:val="left"/>
      <w:pPr>
        <w:ind w:left="425" w:hanging="425"/>
      </w:pPr>
      <w:rPr>
        <w:rFonts w:hint="default"/>
      </w:rPr>
    </w:lvl>
  </w:abstractNum>
  <w:abstractNum w:abstractNumId="5">
    <w:nsid w:val="FEA37E70"/>
    <w:multiLevelType w:val="singleLevel"/>
    <w:tmpl w:val="FEA37E70"/>
    <w:lvl w:ilvl="0" w:tentative="0">
      <w:start w:val="1"/>
      <w:numFmt w:val="decimal"/>
      <w:lvlText w:val="%1."/>
      <w:lvlJc w:val="left"/>
      <w:pPr>
        <w:ind w:left="425" w:hanging="425"/>
      </w:pPr>
      <w:rPr>
        <w:rFonts w:hint="default"/>
      </w:rPr>
    </w:lvl>
  </w:abstractNum>
  <w:abstractNum w:abstractNumId="6">
    <w:nsid w:val="151E09F6"/>
    <w:multiLevelType w:val="singleLevel"/>
    <w:tmpl w:val="151E09F6"/>
    <w:lvl w:ilvl="0" w:tentative="0">
      <w:start w:val="1"/>
      <w:numFmt w:val="decimal"/>
      <w:suff w:val="nothing"/>
      <w:lvlText w:val="%1、"/>
      <w:lvlJc w:val="left"/>
    </w:lvl>
  </w:abstractNum>
  <w:num w:numId="1">
    <w:abstractNumId w:val="5"/>
  </w:num>
  <w:num w:numId="2">
    <w:abstractNumId w:val="3"/>
  </w:num>
  <w:num w:numId="3">
    <w:abstractNumId w:val="4"/>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TcwZTEzMDNlMTRjOTYxODUxZTE1MjVlZmYzNjE3MDUifQ=="/>
  </w:docVars>
  <w:rsids>
    <w:rsidRoot w:val="00D83B20"/>
    <w:rsid w:val="000817FA"/>
    <w:rsid w:val="00093C7B"/>
    <w:rsid w:val="000A7203"/>
    <w:rsid w:val="001902FA"/>
    <w:rsid w:val="002C4938"/>
    <w:rsid w:val="002F3994"/>
    <w:rsid w:val="00324240"/>
    <w:rsid w:val="003863A8"/>
    <w:rsid w:val="003942A5"/>
    <w:rsid w:val="003E76DA"/>
    <w:rsid w:val="00447148"/>
    <w:rsid w:val="0062470A"/>
    <w:rsid w:val="006A439D"/>
    <w:rsid w:val="006A6815"/>
    <w:rsid w:val="006C3603"/>
    <w:rsid w:val="008A1B9C"/>
    <w:rsid w:val="008F72E9"/>
    <w:rsid w:val="0095373B"/>
    <w:rsid w:val="00B51DA7"/>
    <w:rsid w:val="00B7766B"/>
    <w:rsid w:val="00BF1D83"/>
    <w:rsid w:val="00C52440"/>
    <w:rsid w:val="00CD7371"/>
    <w:rsid w:val="00D326CD"/>
    <w:rsid w:val="00D83B20"/>
    <w:rsid w:val="00E54074"/>
    <w:rsid w:val="00F72067"/>
    <w:rsid w:val="00F86BDE"/>
    <w:rsid w:val="00FB28B5"/>
    <w:rsid w:val="01514E14"/>
    <w:rsid w:val="018D192C"/>
    <w:rsid w:val="019823C7"/>
    <w:rsid w:val="019D1CBD"/>
    <w:rsid w:val="01A63E74"/>
    <w:rsid w:val="01B66616"/>
    <w:rsid w:val="01B9202D"/>
    <w:rsid w:val="01C0636A"/>
    <w:rsid w:val="01C204FD"/>
    <w:rsid w:val="01D12236"/>
    <w:rsid w:val="01E63D04"/>
    <w:rsid w:val="02033D08"/>
    <w:rsid w:val="021631A2"/>
    <w:rsid w:val="022E230C"/>
    <w:rsid w:val="022F15F2"/>
    <w:rsid w:val="02810B55"/>
    <w:rsid w:val="02A86193"/>
    <w:rsid w:val="02BF4302"/>
    <w:rsid w:val="02C70A09"/>
    <w:rsid w:val="02E32196"/>
    <w:rsid w:val="03017929"/>
    <w:rsid w:val="03065425"/>
    <w:rsid w:val="03217FE6"/>
    <w:rsid w:val="032B2921"/>
    <w:rsid w:val="035D3F5B"/>
    <w:rsid w:val="03704E3A"/>
    <w:rsid w:val="037B51AC"/>
    <w:rsid w:val="03800D65"/>
    <w:rsid w:val="03CA4735"/>
    <w:rsid w:val="03CC68DB"/>
    <w:rsid w:val="03CF75C5"/>
    <w:rsid w:val="03D37C3A"/>
    <w:rsid w:val="03DF550C"/>
    <w:rsid w:val="03E4704A"/>
    <w:rsid w:val="03EA3C12"/>
    <w:rsid w:val="03ED57A3"/>
    <w:rsid w:val="040F62E2"/>
    <w:rsid w:val="041213CE"/>
    <w:rsid w:val="041A2BF4"/>
    <w:rsid w:val="041D0F5F"/>
    <w:rsid w:val="042C19B2"/>
    <w:rsid w:val="048A4E24"/>
    <w:rsid w:val="04A0038C"/>
    <w:rsid w:val="04AD0F9D"/>
    <w:rsid w:val="04C276C9"/>
    <w:rsid w:val="04D04284"/>
    <w:rsid w:val="04D874EE"/>
    <w:rsid w:val="04E4035E"/>
    <w:rsid w:val="04EF0EBA"/>
    <w:rsid w:val="04F16A21"/>
    <w:rsid w:val="051D6BD3"/>
    <w:rsid w:val="05283431"/>
    <w:rsid w:val="05617B21"/>
    <w:rsid w:val="05917228"/>
    <w:rsid w:val="05C0103D"/>
    <w:rsid w:val="05C5524C"/>
    <w:rsid w:val="05E655D3"/>
    <w:rsid w:val="05EF58C7"/>
    <w:rsid w:val="05F41A51"/>
    <w:rsid w:val="062E2FFD"/>
    <w:rsid w:val="067B2D0E"/>
    <w:rsid w:val="069874FF"/>
    <w:rsid w:val="06AE3F68"/>
    <w:rsid w:val="06CC4A19"/>
    <w:rsid w:val="06ED0712"/>
    <w:rsid w:val="071A3109"/>
    <w:rsid w:val="0737121C"/>
    <w:rsid w:val="07600EB7"/>
    <w:rsid w:val="07B90CB8"/>
    <w:rsid w:val="07C10F73"/>
    <w:rsid w:val="07C43491"/>
    <w:rsid w:val="07DE42A1"/>
    <w:rsid w:val="081E0B1B"/>
    <w:rsid w:val="083431D3"/>
    <w:rsid w:val="089C0558"/>
    <w:rsid w:val="08AF3B15"/>
    <w:rsid w:val="08B01BF6"/>
    <w:rsid w:val="08B5726E"/>
    <w:rsid w:val="08DB4BB3"/>
    <w:rsid w:val="08DD05AA"/>
    <w:rsid w:val="09095F00"/>
    <w:rsid w:val="09380141"/>
    <w:rsid w:val="09393012"/>
    <w:rsid w:val="09827344"/>
    <w:rsid w:val="099142E0"/>
    <w:rsid w:val="09AD5FCF"/>
    <w:rsid w:val="09BE0882"/>
    <w:rsid w:val="09C13950"/>
    <w:rsid w:val="09D57350"/>
    <w:rsid w:val="09E424F2"/>
    <w:rsid w:val="09F14F15"/>
    <w:rsid w:val="0A0A218D"/>
    <w:rsid w:val="0A10665B"/>
    <w:rsid w:val="0A255BB0"/>
    <w:rsid w:val="0A57761A"/>
    <w:rsid w:val="0A5B2BFF"/>
    <w:rsid w:val="0A5D77BF"/>
    <w:rsid w:val="0A6C4D29"/>
    <w:rsid w:val="0A6E6ABA"/>
    <w:rsid w:val="0A714528"/>
    <w:rsid w:val="0A774D2B"/>
    <w:rsid w:val="0A8F60C9"/>
    <w:rsid w:val="0A9E6619"/>
    <w:rsid w:val="0A9F4195"/>
    <w:rsid w:val="0AC345EC"/>
    <w:rsid w:val="0ACA546A"/>
    <w:rsid w:val="0ADB2250"/>
    <w:rsid w:val="0ADB495D"/>
    <w:rsid w:val="0AE03D61"/>
    <w:rsid w:val="0AE4097E"/>
    <w:rsid w:val="0B037039"/>
    <w:rsid w:val="0B282C7D"/>
    <w:rsid w:val="0B301291"/>
    <w:rsid w:val="0B411303"/>
    <w:rsid w:val="0B617685"/>
    <w:rsid w:val="0B6F7910"/>
    <w:rsid w:val="0B7110F0"/>
    <w:rsid w:val="0BD468B1"/>
    <w:rsid w:val="0BE13049"/>
    <w:rsid w:val="0BED1A95"/>
    <w:rsid w:val="0BEE21B3"/>
    <w:rsid w:val="0C4F651E"/>
    <w:rsid w:val="0C596920"/>
    <w:rsid w:val="0C6F4365"/>
    <w:rsid w:val="0C7557A0"/>
    <w:rsid w:val="0C7B0443"/>
    <w:rsid w:val="0C8632E4"/>
    <w:rsid w:val="0C930A2B"/>
    <w:rsid w:val="0C9D60E3"/>
    <w:rsid w:val="0CAD283B"/>
    <w:rsid w:val="0CB9779D"/>
    <w:rsid w:val="0CBA057B"/>
    <w:rsid w:val="0CC7597F"/>
    <w:rsid w:val="0CDB051A"/>
    <w:rsid w:val="0CF0632F"/>
    <w:rsid w:val="0D5E55ED"/>
    <w:rsid w:val="0D9324BF"/>
    <w:rsid w:val="0D9C176A"/>
    <w:rsid w:val="0D9D42F4"/>
    <w:rsid w:val="0DB07E20"/>
    <w:rsid w:val="0DB153F0"/>
    <w:rsid w:val="0DB34CB7"/>
    <w:rsid w:val="0DCB75F9"/>
    <w:rsid w:val="0DD400DE"/>
    <w:rsid w:val="0DEE0F90"/>
    <w:rsid w:val="0DF04D08"/>
    <w:rsid w:val="0E100BD3"/>
    <w:rsid w:val="0E151C67"/>
    <w:rsid w:val="0E39216A"/>
    <w:rsid w:val="0E6064D4"/>
    <w:rsid w:val="0E620A12"/>
    <w:rsid w:val="0E6A2CE3"/>
    <w:rsid w:val="0E6D2AA6"/>
    <w:rsid w:val="0E7325C7"/>
    <w:rsid w:val="0E752A2C"/>
    <w:rsid w:val="0E8A35CB"/>
    <w:rsid w:val="0E904454"/>
    <w:rsid w:val="0E976541"/>
    <w:rsid w:val="0E9A7922"/>
    <w:rsid w:val="0EA33EF7"/>
    <w:rsid w:val="0EA93835"/>
    <w:rsid w:val="0EB0521F"/>
    <w:rsid w:val="0EF6549F"/>
    <w:rsid w:val="0EFD451F"/>
    <w:rsid w:val="0F0F4373"/>
    <w:rsid w:val="0F2F0647"/>
    <w:rsid w:val="0F397BE9"/>
    <w:rsid w:val="0F45090E"/>
    <w:rsid w:val="0F516CCA"/>
    <w:rsid w:val="0F5A1397"/>
    <w:rsid w:val="0F6C2D39"/>
    <w:rsid w:val="0F817848"/>
    <w:rsid w:val="0F827BE2"/>
    <w:rsid w:val="0FCE1AE6"/>
    <w:rsid w:val="100B407B"/>
    <w:rsid w:val="10152C44"/>
    <w:rsid w:val="102469FF"/>
    <w:rsid w:val="105E405F"/>
    <w:rsid w:val="10B7797D"/>
    <w:rsid w:val="10E326D9"/>
    <w:rsid w:val="10E40775"/>
    <w:rsid w:val="1101466F"/>
    <w:rsid w:val="112452AD"/>
    <w:rsid w:val="11365128"/>
    <w:rsid w:val="114C1F74"/>
    <w:rsid w:val="11650CEB"/>
    <w:rsid w:val="117B1D1C"/>
    <w:rsid w:val="117C4AB1"/>
    <w:rsid w:val="11907C2B"/>
    <w:rsid w:val="11C24F17"/>
    <w:rsid w:val="11CC6461"/>
    <w:rsid w:val="11CE40B6"/>
    <w:rsid w:val="11FE235E"/>
    <w:rsid w:val="12003BD0"/>
    <w:rsid w:val="1201313B"/>
    <w:rsid w:val="12062D4C"/>
    <w:rsid w:val="121E0BF7"/>
    <w:rsid w:val="124612D2"/>
    <w:rsid w:val="124E4A48"/>
    <w:rsid w:val="12592F32"/>
    <w:rsid w:val="12606086"/>
    <w:rsid w:val="126557C3"/>
    <w:rsid w:val="12A3331E"/>
    <w:rsid w:val="12BE5985"/>
    <w:rsid w:val="13217712"/>
    <w:rsid w:val="132E5DFF"/>
    <w:rsid w:val="1347361C"/>
    <w:rsid w:val="13581EE9"/>
    <w:rsid w:val="136A2E67"/>
    <w:rsid w:val="13712B92"/>
    <w:rsid w:val="13793390"/>
    <w:rsid w:val="13964E54"/>
    <w:rsid w:val="139C6002"/>
    <w:rsid w:val="13C26397"/>
    <w:rsid w:val="13C337F4"/>
    <w:rsid w:val="13CD63E1"/>
    <w:rsid w:val="13E56F2B"/>
    <w:rsid w:val="13ED355D"/>
    <w:rsid w:val="13F07D65"/>
    <w:rsid w:val="1402051A"/>
    <w:rsid w:val="140E01CD"/>
    <w:rsid w:val="14214906"/>
    <w:rsid w:val="142B6337"/>
    <w:rsid w:val="143B1383"/>
    <w:rsid w:val="143C46A7"/>
    <w:rsid w:val="145F0BCF"/>
    <w:rsid w:val="14714C4C"/>
    <w:rsid w:val="14747584"/>
    <w:rsid w:val="1476695A"/>
    <w:rsid w:val="1485600C"/>
    <w:rsid w:val="14947587"/>
    <w:rsid w:val="14B307B0"/>
    <w:rsid w:val="14BE7F01"/>
    <w:rsid w:val="14C05C3B"/>
    <w:rsid w:val="14C12FC6"/>
    <w:rsid w:val="14CC354C"/>
    <w:rsid w:val="14D000D8"/>
    <w:rsid w:val="14DB226E"/>
    <w:rsid w:val="14F72E20"/>
    <w:rsid w:val="151A411A"/>
    <w:rsid w:val="15497C60"/>
    <w:rsid w:val="154F16BA"/>
    <w:rsid w:val="15573564"/>
    <w:rsid w:val="157D372C"/>
    <w:rsid w:val="159C44EE"/>
    <w:rsid w:val="15B34452"/>
    <w:rsid w:val="15BC6E75"/>
    <w:rsid w:val="15D12865"/>
    <w:rsid w:val="15EE0A94"/>
    <w:rsid w:val="15FD717F"/>
    <w:rsid w:val="160625D7"/>
    <w:rsid w:val="160878F7"/>
    <w:rsid w:val="16184E69"/>
    <w:rsid w:val="1632194F"/>
    <w:rsid w:val="16356D58"/>
    <w:rsid w:val="164878EC"/>
    <w:rsid w:val="165F260E"/>
    <w:rsid w:val="1669514F"/>
    <w:rsid w:val="166C2293"/>
    <w:rsid w:val="16827E61"/>
    <w:rsid w:val="168E4C59"/>
    <w:rsid w:val="16C25222"/>
    <w:rsid w:val="16CB4564"/>
    <w:rsid w:val="16CE6CA5"/>
    <w:rsid w:val="172D035F"/>
    <w:rsid w:val="173F0BAF"/>
    <w:rsid w:val="17915B99"/>
    <w:rsid w:val="17C5185D"/>
    <w:rsid w:val="17CD023C"/>
    <w:rsid w:val="17FC6833"/>
    <w:rsid w:val="17FF3ECD"/>
    <w:rsid w:val="18014675"/>
    <w:rsid w:val="180A2A52"/>
    <w:rsid w:val="180C1974"/>
    <w:rsid w:val="1811244B"/>
    <w:rsid w:val="18245BFD"/>
    <w:rsid w:val="18665FD8"/>
    <w:rsid w:val="18CB5152"/>
    <w:rsid w:val="18D32D6A"/>
    <w:rsid w:val="18D74585"/>
    <w:rsid w:val="18DD0FC8"/>
    <w:rsid w:val="18FE21B8"/>
    <w:rsid w:val="1909092B"/>
    <w:rsid w:val="191236BC"/>
    <w:rsid w:val="195E6776"/>
    <w:rsid w:val="19662337"/>
    <w:rsid w:val="19852168"/>
    <w:rsid w:val="199B1FCC"/>
    <w:rsid w:val="19A34007"/>
    <w:rsid w:val="19B4308D"/>
    <w:rsid w:val="1A002F7A"/>
    <w:rsid w:val="1A077661"/>
    <w:rsid w:val="1A0C111B"/>
    <w:rsid w:val="1A0E0776"/>
    <w:rsid w:val="1A3413A4"/>
    <w:rsid w:val="1A54498E"/>
    <w:rsid w:val="1A6D1F86"/>
    <w:rsid w:val="1A7D6B6A"/>
    <w:rsid w:val="1A870B1F"/>
    <w:rsid w:val="1A965A67"/>
    <w:rsid w:val="1ACA37CD"/>
    <w:rsid w:val="1AED482B"/>
    <w:rsid w:val="1AFD0A64"/>
    <w:rsid w:val="1B133D48"/>
    <w:rsid w:val="1B5E7A07"/>
    <w:rsid w:val="1B8F2150"/>
    <w:rsid w:val="1B917466"/>
    <w:rsid w:val="1B9C7BA1"/>
    <w:rsid w:val="1BB627D7"/>
    <w:rsid w:val="1BD60356"/>
    <w:rsid w:val="1BDA2899"/>
    <w:rsid w:val="1BFB09C3"/>
    <w:rsid w:val="1C165224"/>
    <w:rsid w:val="1C354849"/>
    <w:rsid w:val="1C76132D"/>
    <w:rsid w:val="1C784846"/>
    <w:rsid w:val="1C7C0B0E"/>
    <w:rsid w:val="1C8F393E"/>
    <w:rsid w:val="1CA92357"/>
    <w:rsid w:val="1CD00D9F"/>
    <w:rsid w:val="1CDB0A83"/>
    <w:rsid w:val="1CF54D50"/>
    <w:rsid w:val="1D0607A2"/>
    <w:rsid w:val="1D1369BE"/>
    <w:rsid w:val="1D2113EA"/>
    <w:rsid w:val="1D4D0DB8"/>
    <w:rsid w:val="1D4F36D7"/>
    <w:rsid w:val="1D5B66D1"/>
    <w:rsid w:val="1D5E10DB"/>
    <w:rsid w:val="1D836CFC"/>
    <w:rsid w:val="1DB961F1"/>
    <w:rsid w:val="1DC72116"/>
    <w:rsid w:val="1DDC2BB3"/>
    <w:rsid w:val="1DE550FD"/>
    <w:rsid w:val="1DEA1774"/>
    <w:rsid w:val="1DF95513"/>
    <w:rsid w:val="1DFC5003"/>
    <w:rsid w:val="1E500598"/>
    <w:rsid w:val="1E546BED"/>
    <w:rsid w:val="1E675E93"/>
    <w:rsid w:val="1E9C7952"/>
    <w:rsid w:val="1EA45C1A"/>
    <w:rsid w:val="1ECD2AA2"/>
    <w:rsid w:val="1ED8215A"/>
    <w:rsid w:val="1EDA1084"/>
    <w:rsid w:val="1EDF1755"/>
    <w:rsid w:val="1EDF295B"/>
    <w:rsid w:val="1F0A1722"/>
    <w:rsid w:val="1F0B6663"/>
    <w:rsid w:val="1F110784"/>
    <w:rsid w:val="1F44169E"/>
    <w:rsid w:val="1F486949"/>
    <w:rsid w:val="1F533282"/>
    <w:rsid w:val="1F5A5454"/>
    <w:rsid w:val="1F7D473B"/>
    <w:rsid w:val="1F845AC6"/>
    <w:rsid w:val="1F9E159B"/>
    <w:rsid w:val="1FB23A0C"/>
    <w:rsid w:val="1FBA1A7B"/>
    <w:rsid w:val="1FE67D19"/>
    <w:rsid w:val="1FFB21CE"/>
    <w:rsid w:val="20013CE1"/>
    <w:rsid w:val="201C3240"/>
    <w:rsid w:val="20405532"/>
    <w:rsid w:val="2064690C"/>
    <w:rsid w:val="207D6A73"/>
    <w:rsid w:val="2093163A"/>
    <w:rsid w:val="2097073C"/>
    <w:rsid w:val="20B61DE1"/>
    <w:rsid w:val="20B66BBF"/>
    <w:rsid w:val="20D504B9"/>
    <w:rsid w:val="20EB2516"/>
    <w:rsid w:val="20F52921"/>
    <w:rsid w:val="212134AD"/>
    <w:rsid w:val="21275379"/>
    <w:rsid w:val="21277B16"/>
    <w:rsid w:val="212B2711"/>
    <w:rsid w:val="21435075"/>
    <w:rsid w:val="214D5F0B"/>
    <w:rsid w:val="218B6DCA"/>
    <w:rsid w:val="21967F75"/>
    <w:rsid w:val="219A174D"/>
    <w:rsid w:val="21BE2CFB"/>
    <w:rsid w:val="21C20694"/>
    <w:rsid w:val="21C70B6F"/>
    <w:rsid w:val="21CE1228"/>
    <w:rsid w:val="21E157EA"/>
    <w:rsid w:val="21EB26E2"/>
    <w:rsid w:val="21F478F0"/>
    <w:rsid w:val="22130322"/>
    <w:rsid w:val="221625DB"/>
    <w:rsid w:val="22194D42"/>
    <w:rsid w:val="222F1FD9"/>
    <w:rsid w:val="224A2A04"/>
    <w:rsid w:val="224F021B"/>
    <w:rsid w:val="225246D2"/>
    <w:rsid w:val="225C1A4D"/>
    <w:rsid w:val="228B276F"/>
    <w:rsid w:val="22A30D2B"/>
    <w:rsid w:val="22B4637A"/>
    <w:rsid w:val="22F52051"/>
    <w:rsid w:val="22FF713C"/>
    <w:rsid w:val="2302273A"/>
    <w:rsid w:val="232A3ADD"/>
    <w:rsid w:val="23735D67"/>
    <w:rsid w:val="23811059"/>
    <w:rsid w:val="23844483"/>
    <w:rsid w:val="238849F3"/>
    <w:rsid w:val="238944E7"/>
    <w:rsid w:val="23A65329"/>
    <w:rsid w:val="23AC31D2"/>
    <w:rsid w:val="23C03737"/>
    <w:rsid w:val="23C57B0B"/>
    <w:rsid w:val="23D027D8"/>
    <w:rsid w:val="23E97E37"/>
    <w:rsid w:val="23F15084"/>
    <w:rsid w:val="23F26431"/>
    <w:rsid w:val="23F26A01"/>
    <w:rsid w:val="23FA028D"/>
    <w:rsid w:val="244B45EE"/>
    <w:rsid w:val="246217B9"/>
    <w:rsid w:val="24634E4F"/>
    <w:rsid w:val="246B6A3F"/>
    <w:rsid w:val="247B74F1"/>
    <w:rsid w:val="249A1C21"/>
    <w:rsid w:val="24B240C7"/>
    <w:rsid w:val="24D45486"/>
    <w:rsid w:val="24EE1B49"/>
    <w:rsid w:val="251F75C2"/>
    <w:rsid w:val="252179E4"/>
    <w:rsid w:val="252A50BB"/>
    <w:rsid w:val="255A6575"/>
    <w:rsid w:val="25A71CF8"/>
    <w:rsid w:val="25FC6D69"/>
    <w:rsid w:val="26015F0B"/>
    <w:rsid w:val="2606295D"/>
    <w:rsid w:val="260B00AF"/>
    <w:rsid w:val="26185D34"/>
    <w:rsid w:val="261C4D6D"/>
    <w:rsid w:val="263C0693"/>
    <w:rsid w:val="26474F3F"/>
    <w:rsid w:val="264B1A1E"/>
    <w:rsid w:val="264F4111"/>
    <w:rsid w:val="26797B39"/>
    <w:rsid w:val="268037CF"/>
    <w:rsid w:val="26B55A7C"/>
    <w:rsid w:val="26E61428"/>
    <w:rsid w:val="26EB255C"/>
    <w:rsid w:val="2700039E"/>
    <w:rsid w:val="27017F7F"/>
    <w:rsid w:val="270E0EF9"/>
    <w:rsid w:val="272D3B56"/>
    <w:rsid w:val="274865A2"/>
    <w:rsid w:val="275229A6"/>
    <w:rsid w:val="27594545"/>
    <w:rsid w:val="27653C19"/>
    <w:rsid w:val="27813F52"/>
    <w:rsid w:val="27973537"/>
    <w:rsid w:val="279F189A"/>
    <w:rsid w:val="27A90FCE"/>
    <w:rsid w:val="27DB639B"/>
    <w:rsid w:val="27DF1A51"/>
    <w:rsid w:val="27EC2F65"/>
    <w:rsid w:val="27ED63A1"/>
    <w:rsid w:val="282D6624"/>
    <w:rsid w:val="282E0A21"/>
    <w:rsid w:val="282E233B"/>
    <w:rsid w:val="286839C1"/>
    <w:rsid w:val="28692826"/>
    <w:rsid w:val="28896195"/>
    <w:rsid w:val="288F1208"/>
    <w:rsid w:val="289069F9"/>
    <w:rsid w:val="289E3886"/>
    <w:rsid w:val="28AB5031"/>
    <w:rsid w:val="28AC2408"/>
    <w:rsid w:val="28BF4345"/>
    <w:rsid w:val="28CC5283"/>
    <w:rsid w:val="28CF4F93"/>
    <w:rsid w:val="28D12E1D"/>
    <w:rsid w:val="29000737"/>
    <w:rsid w:val="2915287E"/>
    <w:rsid w:val="292403D5"/>
    <w:rsid w:val="293366CF"/>
    <w:rsid w:val="293A043E"/>
    <w:rsid w:val="294458CA"/>
    <w:rsid w:val="29512A97"/>
    <w:rsid w:val="29540997"/>
    <w:rsid w:val="29686E27"/>
    <w:rsid w:val="296F5103"/>
    <w:rsid w:val="29705C05"/>
    <w:rsid w:val="29AA70BF"/>
    <w:rsid w:val="29AE51F5"/>
    <w:rsid w:val="29AF47ED"/>
    <w:rsid w:val="29E32867"/>
    <w:rsid w:val="29E865C1"/>
    <w:rsid w:val="29EA6657"/>
    <w:rsid w:val="29FC6C45"/>
    <w:rsid w:val="2A032DA6"/>
    <w:rsid w:val="2A071100"/>
    <w:rsid w:val="2A0D4D03"/>
    <w:rsid w:val="2A1239E5"/>
    <w:rsid w:val="2A155982"/>
    <w:rsid w:val="2A3646FC"/>
    <w:rsid w:val="2A3A5B2E"/>
    <w:rsid w:val="2A3B4E63"/>
    <w:rsid w:val="2A4177FE"/>
    <w:rsid w:val="2A4808D1"/>
    <w:rsid w:val="2A5C55F3"/>
    <w:rsid w:val="2A732242"/>
    <w:rsid w:val="2A7524D5"/>
    <w:rsid w:val="2A7B71E2"/>
    <w:rsid w:val="2A855A09"/>
    <w:rsid w:val="2A9C06E3"/>
    <w:rsid w:val="2AA35E8D"/>
    <w:rsid w:val="2AB66930"/>
    <w:rsid w:val="2AE47AF6"/>
    <w:rsid w:val="2AE632C3"/>
    <w:rsid w:val="2AEE1E91"/>
    <w:rsid w:val="2B0C2313"/>
    <w:rsid w:val="2B125E66"/>
    <w:rsid w:val="2B3109E2"/>
    <w:rsid w:val="2B7B6C31"/>
    <w:rsid w:val="2B8265F3"/>
    <w:rsid w:val="2B9C7F36"/>
    <w:rsid w:val="2BF8783E"/>
    <w:rsid w:val="2C2B72E5"/>
    <w:rsid w:val="2C2C4BB1"/>
    <w:rsid w:val="2C5449D0"/>
    <w:rsid w:val="2CB465AA"/>
    <w:rsid w:val="2CD950F1"/>
    <w:rsid w:val="2CDD2CA3"/>
    <w:rsid w:val="2CF717B7"/>
    <w:rsid w:val="2D11436E"/>
    <w:rsid w:val="2D1B54A6"/>
    <w:rsid w:val="2D4516DD"/>
    <w:rsid w:val="2D6D2812"/>
    <w:rsid w:val="2D7134E2"/>
    <w:rsid w:val="2D714647"/>
    <w:rsid w:val="2D8A3568"/>
    <w:rsid w:val="2DAD1BF8"/>
    <w:rsid w:val="2DD04D1C"/>
    <w:rsid w:val="2DE24C5E"/>
    <w:rsid w:val="2E1602A9"/>
    <w:rsid w:val="2E583F45"/>
    <w:rsid w:val="2E6168A9"/>
    <w:rsid w:val="2E731BFB"/>
    <w:rsid w:val="2E7B3745"/>
    <w:rsid w:val="2E7E2409"/>
    <w:rsid w:val="2E894DC5"/>
    <w:rsid w:val="2EC56978"/>
    <w:rsid w:val="2ED458E6"/>
    <w:rsid w:val="2EE77A92"/>
    <w:rsid w:val="2F0F4B37"/>
    <w:rsid w:val="2F1878D1"/>
    <w:rsid w:val="2F1A2525"/>
    <w:rsid w:val="2F1A2FF2"/>
    <w:rsid w:val="2F33271C"/>
    <w:rsid w:val="2F4C397B"/>
    <w:rsid w:val="2F571001"/>
    <w:rsid w:val="2F594D3C"/>
    <w:rsid w:val="2F664DBE"/>
    <w:rsid w:val="2F68517B"/>
    <w:rsid w:val="2F6A216C"/>
    <w:rsid w:val="2F9B3989"/>
    <w:rsid w:val="2FA02B7A"/>
    <w:rsid w:val="2FA91720"/>
    <w:rsid w:val="2FB5159C"/>
    <w:rsid w:val="2FCC002F"/>
    <w:rsid w:val="2FCE281E"/>
    <w:rsid w:val="2FD012C6"/>
    <w:rsid w:val="303E1A67"/>
    <w:rsid w:val="30476CCA"/>
    <w:rsid w:val="305C7F99"/>
    <w:rsid w:val="30651D5D"/>
    <w:rsid w:val="30744337"/>
    <w:rsid w:val="30927543"/>
    <w:rsid w:val="30BB6086"/>
    <w:rsid w:val="30C56569"/>
    <w:rsid w:val="30D86B55"/>
    <w:rsid w:val="30FB527D"/>
    <w:rsid w:val="31042E81"/>
    <w:rsid w:val="31121F53"/>
    <w:rsid w:val="313E5C07"/>
    <w:rsid w:val="314B5080"/>
    <w:rsid w:val="315A19E9"/>
    <w:rsid w:val="317A4283"/>
    <w:rsid w:val="317E42DC"/>
    <w:rsid w:val="3195223F"/>
    <w:rsid w:val="319C22CC"/>
    <w:rsid w:val="31B454CF"/>
    <w:rsid w:val="31C93DF3"/>
    <w:rsid w:val="31CA0CFF"/>
    <w:rsid w:val="31F6028F"/>
    <w:rsid w:val="31F86714"/>
    <w:rsid w:val="3200777E"/>
    <w:rsid w:val="3203745F"/>
    <w:rsid w:val="32175E8A"/>
    <w:rsid w:val="321E3783"/>
    <w:rsid w:val="323A7E76"/>
    <w:rsid w:val="32437163"/>
    <w:rsid w:val="32480412"/>
    <w:rsid w:val="324F174E"/>
    <w:rsid w:val="32604C88"/>
    <w:rsid w:val="327D61ED"/>
    <w:rsid w:val="32861C19"/>
    <w:rsid w:val="32982E4F"/>
    <w:rsid w:val="32AD7846"/>
    <w:rsid w:val="32B95EE4"/>
    <w:rsid w:val="330272C6"/>
    <w:rsid w:val="33323549"/>
    <w:rsid w:val="333768F6"/>
    <w:rsid w:val="3346300E"/>
    <w:rsid w:val="33B26822"/>
    <w:rsid w:val="33D14236"/>
    <w:rsid w:val="33D224A9"/>
    <w:rsid w:val="33DB351D"/>
    <w:rsid w:val="33E62944"/>
    <w:rsid w:val="33F66231"/>
    <w:rsid w:val="33FA785B"/>
    <w:rsid w:val="3404777A"/>
    <w:rsid w:val="342E27F6"/>
    <w:rsid w:val="346D012F"/>
    <w:rsid w:val="348F3674"/>
    <w:rsid w:val="34962FDE"/>
    <w:rsid w:val="34BF2BBB"/>
    <w:rsid w:val="34D4418C"/>
    <w:rsid w:val="34E46C57"/>
    <w:rsid w:val="34FE45F4"/>
    <w:rsid w:val="35017077"/>
    <w:rsid w:val="351F0762"/>
    <w:rsid w:val="351F4FF5"/>
    <w:rsid w:val="35322883"/>
    <w:rsid w:val="3532573B"/>
    <w:rsid w:val="353D3040"/>
    <w:rsid w:val="354B750C"/>
    <w:rsid w:val="354C0922"/>
    <w:rsid w:val="35813958"/>
    <w:rsid w:val="3587652A"/>
    <w:rsid w:val="35932433"/>
    <w:rsid w:val="35A0636C"/>
    <w:rsid w:val="35A312F0"/>
    <w:rsid w:val="35BF513C"/>
    <w:rsid w:val="35D171DD"/>
    <w:rsid w:val="35D63F94"/>
    <w:rsid w:val="35EE0C36"/>
    <w:rsid w:val="3616672D"/>
    <w:rsid w:val="36256DA7"/>
    <w:rsid w:val="363C023B"/>
    <w:rsid w:val="36443D95"/>
    <w:rsid w:val="36584376"/>
    <w:rsid w:val="365B1856"/>
    <w:rsid w:val="365D4A8A"/>
    <w:rsid w:val="367F4CF7"/>
    <w:rsid w:val="36A26B45"/>
    <w:rsid w:val="36A33D10"/>
    <w:rsid w:val="36A504BE"/>
    <w:rsid w:val="36C02C1A"/>
    <w:rsid w:val="36D4702B"/>
    <w:rsid w:val="36DB1BF4"/>
    <w:rsid w:val="36E52B38"/>
    <w:rsid w:val="36F06346"/>
    <w:rsid w:val="37384EA6"/>
    <w:rsid w:val="3741261D"/>
    <w:rsid w:val="375951A1"/>
    <w:rsid w:val="375E2E16"/>
    <w:rsid w:val="378325C5"/>
    <w:rsid w:val="3785650F"/>
    <w:rsid w:val="3785779C"/>
    <w:rsid w:val="37C17A57"/>
    <w:rsid w:val="37C6680B"/>
    <w:rsid w:val="380F75E4"/>
    <w:rsid w:val="381E40A7"/>
    <w:rsid w:val="38222BBE"/>
    <w:rsid w:val="383F6D1D"/>
    <w:rsid w:val="386542A9"/>
    <w:rsid w:val="389D7946"/>
    <w:rsid w:val="389E005D"/>
    <w:rsid w:val="389E162D"/>
    <w:rsid w:val="38BE067A"/>
    <w:rsid w:val="38C37826"/>
    <w:rsid w:val="38D65F66"/>
    <w:rsid w:val="390A2872"/>
    <w:rsid w:val="3915143E"/>
    <w:rsid w:val="39223818"/>
    <w:rsid w:val="392C17E8"/>
    <w:rsid w:val="39456AF6"/>
    <w:rsid w:val="3951561D"/>
    <w:rsid w:val="396555F7"/>
    <w:rsid w:val="3971190F"/>
    <w:rsid w:val="39732296"/>
    <w:rsid w:val="39850296"/>
    <w:rsid w:val="39953023"/>
    <w:rsid w:val="39B124E6"/>
    <w:rsid w:val="39C81CC3"/>
    <w:rsid w:val="39CA2C46"/>
    <w:rsid w:val="39CE7365"/>
    <w:rsid w:val="39CF6183"/>
    <w:rsid w:val="39D3418C"/>
    <w:rsid w:val="39E14C3D"/>
    <w:rsid w:val="39F71B89"/>
    <w:rsid w:val="39F972EF"/>
    <w:rsid w:val="3A583F32"/>
    <w:rsid w:val="3A590221"/>
    <w:rsid w:val="3A600850"/>
    <w:rsid w:val="3A8151F0"/>
    <w:rsid w:val="3A8C0224"/>
    <w:rsid w:val="3A9B6021"/>
    <w:rsid w:val="3A9C574C"/>
    <w:rsid w:val="3AA36CBB"/>
    <w:rsid w:val="3AC0768C"/>
    <w:rsid w:val="3ACB0045"/>
    <w:rsid w:val="3ACF49A4"/>
    <w:rsid w:val="3AD4762F"/>
    <w:rsid w:val="3ADB20F7"/>
    <w:rsid w:val="3AF36EC5"/>
    <w:rsid w:val="3AFA52EB"/>
    <w:rsid w:val="3B187224"/>
    <w:rsid w:val="3B294608"/>
    <w:rsid w:val="3B332CAC"/>
    <w:rsid w:val="3B8A49AD"/>
    <w:rsid w:val="3B983F6D"/>
    <w:rsid w:val="3BA431B4"/>
    <w:rsid w:val="3BC6777A"/>
    <w:rsid w:val="3BC80905"/>
    <w:rsid w:val="3C017F5D"/>
    <w:rsid w:val="3C071FA0"/>
    <w:rsid w:val="3C101301"/>
    <w:rsid w:val="3C11065D"/>
    <w:rsid w:val="3C1D0ABD"/>
    <w:rsid w:val="3C1F2B18"/>
    <w:rsid w:val="3C7D7FD0"/>
    <w:rsid w:val="3CD46138"/>
    <w:rsid w:val="3CD74859"/>
    <w:rsid w:val="3CDB07AE"/>
    <w:rsid w:val="3CE00B10"/>
    <w:rsid w:val="3CE26192"/>
    <w:rsid w:val="3CF25AF7"/>
    <w:rsid w:val="3D0C2997"/>
    <w:rsid w:val="3D1242FA"/>
    <w:rsid w:val="3D181C9E"/>
    <w:rsid w:val="3D1E68EC"/>
    <w:rsid w:val="3D6323B3"/>
    <w:rsid w:val="3D7E1D00"/>
    <w:rsid w:val="3D870A34"/>
    <w:rsid w:val="3D9377E8"/>
    <w:rsid w:val="3DA52D73"/>
    <w:rsid w:val="3DB57DF4"/>
    <w:rsid w:val="3DC43CA1"/>
    <w:rsid w:val="3DCC05B8"/>
    <w:rsid w:val="3DEB17A5"/>
    <w:rsid w:val="3E01198D"/>
    <w:rsid w:val="3E0E257B"/>
    <w:rsid w:val="3E1720F7"/>
    <w:rsid w:val="3E1A10F9"/>
    <w:rsid w:val="3E2148E6"/>
    <w:rsid w:val="3E305226"/>
    <w:rsid w:val="3E39448B"/>
    <w:rsid w:val="3E722E0A"/>
    <w:rsid w:val="3E730A04"/>
    <w:rsid w:val="3E835D51"/>
    <w:rsid w:val="3E9E01A4"/>
    <w:rsid w:val="3E9F0FD0"/>
    <w:rsid w:val="3EA55927"/>
    <w:rsid w:val="3EAA1162"/>
    <w:rsid w:val="3EBA2645"/>
    <w:rsid w:val="3EBC7746"/>
    <w:rsid w:val="3EE02A8E"/>
    <w:rsid w:val="3F1E7CE2"/>
    <w:rsid w:val="3F6867EF"/>
    <w:rsid w:val="3F715085"/>
    <w:rsid w:val="3F7D6678"/>
    <w:rsid w:val="3F8F215A"/>
    <w:rsid w:val="3FA41114"/>
    <w:rsid w:val="3FEB6F5D"/>
    <w:rsid w:val="3FF97689"/>
    <w:rsid w:val="401C1D0B"/>
    <w:rsid w:val="40437FC8"/>
    <w:rsid w:val="404970B6"/>
    <w:rsid w:val="404E3014"/>
    <w:rsid w:val="4068241E"/>
    <w:rsid w:val="40740557"/>
    <w:rsid w:val="407D57A3"/>
    <w:rsid w:val="40A358A3"/>
    <w:rsid w:val="40EB1F50"/>
    <w:rsid w:val="4129732C"/>
    <w:rsid w:val="414438A2"/>
    <w:rsid w:val="414D717A"/>
    <w:rsid w:val="416746E0"/>
    <w:rsid w:val="418100F9"/>
    <w:rsid w:val="41827AB9"/>
    <w:rsid w:val="419D7C2E"/>
    <w:rsid w:val="41AD5816"/>
    <w:rsid w:val="41B12D6E"/>
    <w:rsid w:val="41BC7128"/>
    <w:rsid w:val="41C07641"/>
    <w:rsid w:val="41E65A38"/>
    <w:rsid w:val="41E9571B"/>
    <w:rsid w:val="420933DF"/>
    <w:rsid w:val="421F05B3"/>
    <w:rsid w:val="42290FB4"/>
    <w:rsid w:val="42385E7E"/>
    <w:rsid w:val="423D15C3"/>
    <w:rsid w:val="4246115D"/>
    <w:rsid w:val="42526CE9"/>
    <w:rsid w:val="42681ED3"/>
    <w:rsid w:val="42764A3E"/>
    <w:rsid w:val="427D633C"/>
    <w:rsid w:val="42823A7B"/>
    <w:rsid w:val="42B21FB1"/>
    <w:rsid w:val="42B34434"/>
    <w:rsid w:val="42C10981"/>
    <w:rsid w:val="42C370AC"/>
    <w:rsid w:val="43114E96"/>
    <w:rsid w:val="43132AC7"/>
    <w:rsid w:val="432543DB"/>
    <w:rsid w:val="434C5D40"/>
    <w:rsid w:val="43717D34"/>
    <w:rsid w:val="4383150F"/>
    <w:rsid w:val="43F91536"/>
    <w:rsid w:val="43FA3A9F"/>
    <w:rsid w:val="442946B9"/>
    <w:rsid w:val="444F1F4F"/>
    <w:rsid w:val="44545E6E"/>
    <w:rsid w:val="4473488F"/>
    <w:rsid w:val="44B30262"/>
    <w:rsid w:val="44FA3FB4"/>
    <w:rsid w:val="450D7D11"/>
    <w:rsid w:val="451B7226"/>
    <w:rsid w:val="452C1464"/>
    <w:rsid w:val="45745815"/>
    <w:rsid w:val="45826DB6"/>
    <w:rsid w:val="458E0E11"/>
    <w:rsid w:val="4590225C"/>
    <w:rsid w:val="45AF7AF3"/>
    <w:rsid w:val="46007705"/>
    <w:rsid w:val="46195176"/>
    <w:rsid w:val="461B3B2D"/>
    <w:rsid w:val="463715EE"/>
    <w:rsid w:val="463F1C65"/>
    <w:rsid w:val="468C259E"/>
    <w:rsid w:val="469352D5"/>
    <w:rsid w:val="46B91F9D"/>
    <w:rsid w:val="46E100CE"/>
    <w:rsid w:val="47013FB5"/>
    <w:rsid w:val="4706325F"/>
    <w:rsid w:val="471E75E6"/>
    <w:rsid w:val="47300434"/>
    <w:rsid w:val="47465A94"/>
    <w:rsid w:val="4766336A"/>
    <w:rsid w:val="476714DA"/>
    <w:rsid w:val="476F1CB2"/>
    <w:rsid w:val="477C7511"/>
    <w:rsid w:val="47860D53"/>
    <w:rsid w:val="47AC7DA7"/>
    <w:rsid w:val="47AD2D46"/>
    <w:rsid w:val="47C91601"/>
    <w:rsid w:val="47CB473C"/>
    <w:rsid w:val="47E64055"/>
    <w:rsid w:val="47E67E30"/>
    <w:rsid w:val="4801747A"/>
    <w:rsid w:val="48213971"/>
    <w:rsid w:val="487F38CE"/>
    <w:rsid w:val="48B11853"/>
    <w:rsid w:val="48B502F0"/>
    <w:rsid w:val="48C164A0"/>
    <w:rsid w:val="48C353A1"/>
    <w:rsid w:val="48C447EC"/>
    <w:rsid w:val="48D36CD3"/>
    <w:rsid w:val="48E73FF9"/>
    <w:rsid w:val="48F054E0"/>
    <w:rsid w:val="491D3EFC"/>
    <w:rsid w:val="492D37D0"/>
    <w:rsid w:val="493F6A59"/>
    <w:rsid w:val="495C5FFC"/>
    <w:rsid w:val="496E72BD"/>
    <w:rsid w:val="4977185E"/>
    <w:rsid w:val="499F1A6D"/>
    <w:rsid w:val="49D324DE"/>
    <w:rsid w:val="49D80C6B"/>
    <w:rsid w:val="49EC0038"/>
    <w:rsid w:val="4A04003C"/>
    <w:rsid w:val="4A3B0DAC"/>
    <w:rsid w:val="4A630117"/>
    <w:rsid w:val="4A6774A0"/>
    <w:rsid w:val="4A915BDD"/>
    <w:rsid w:val="4AB16FF2"/>
    <w:rsid w:val="4ADF590D"/>
    <w:rsid w:val="4AE05F6E"/>
    <w:rsid w:val="4AE62D1C"/>
    <w:rsid w:val="4AEE0A47"/>
    <w:rsid w:val="4AFE5F72"/>
    <w:rsid w:val="4B0B7C73"/>
    <w:rsid w:val="4B36751C"/>
    <w:rsid w:val="4B397686"/>
    <w:rsid w:val="4B4F258D"/>
    <w:rsid w:val="4B67331E"/>
    <w:rsid w:val="4B730998"/>
    <w:rsid w:val="4BB26FFD"/>
    <w:rsid w:val="4BBE567D"/>
    <w:rsid w:val="4BD217F5"/>
    <w:rsid w:val="4C1534EB"/>
    <w:rsid w:val="4C3F1AD8"/>
    <w:rsid w:val="4C5C3B6A"/>
    <w:rsid w:val="4C604CE6"/>
    <w:rsid w:val="4C7C373C"/>
    <w:rsid w:val="4C903A37"/>
    <w:rsid w:val="4C915E43"/>
    <w:rsid w:val="4CA10CA4"/>
    <w:rsid w:val="4CBD61AA"/>
    <w:rsid w:val="4CD33C90"/>
    <w:rsid w:val="4CEF4C08"/>
    <w:rsid w:val="4CFD3067"/>
    <w:rsid w:val="4D032BFB"/>
    <w:rsid w:val="4D1216AA"/>
    <w:rsid w:val="4D224B35"/>
    <w:rsid w:val="4D377E51"/>
    <w:rsid w:val="4D4D41AC"/>
    <w:rsid w:val="4D5A2FAF"/>
    <w:rsid w:val="4D7E4D95"/>
    <w:rsid w:val="4DB06893"/>
    <w:rsid w:val="4DB51455"/>
    <w:rsid w:val="4DB87910"/>
    <w:rsid w:val="4DC23DF5"/>
    <w:rsid w:val="4DC64796"/>
    <w:rsid w:val="4DDA08E0"/>
    <w:rsid w:val="4DF23F08"/>
    <w:rsid w:val="4DF92A0A"/>
    <w:rsid w:val="4DFE3CEA"/>
    <w:rsid w:val="4E1F2BAE"/>
    <w:rsid w:val="4E213F47"/>
    <w:rsid w:val="4E2142A9"/>
    <w:rsid w:val="4E523D2D"/>
    <w:rsid w:val="4E5B79A0"/>
    <w:rsid w:val="4E686513"/>
    <w:rsid w:val="4E833C31"/>
    <w:rsid w:val="4E8940B2"/>
    <w:rsid w:val="4EBD72A6"/>
    <w:rsid w:val="4EF97069"/>
    <w:rsid w:val="4F033FEA"/>
    <w:rsid w:val="4F0A3FD0"/>
    <w:rsid w:val="4F2A2A07"/>
    <w:rsid w:val="4F3A2AC1"/>
    <w:rsid w:val="4F460DE2"/>
    <w:rsid w:val="4F562B63"/>
    <w:rsid w:val="4F66159D"/>
    <w:rsid w:val="4F7F51A2"/>
    <w:rsid w:val="4F946F14"/>
    <w:rsid w:val="4FB64BA8"/>
    <w:rsid w:val="4FC62ECE"/>
    <w:rsid w:val="4FD044ED"/>
    <w:rsid w:val="4FE673BB"/>
    <w:rsid w:val="4FEB6B6B"/>
    <w:rsid w:val="500B5835"/>
    <w:rsid w:val="50183325"/>
    <w:rsid w:val="50321FCA"/>
    <w:rsid w:val="50560263"/>
    <w:rsid w:val="508B6EC0"/>
    <w:rsid w:val="509F03AC"/>
    <w:rsid w:val="50B27B3D"/>
    <w:rsid w:val="50BA1315"/>
    <w:rsid w:val="50BD5429"/>
    <w:rsid w:val="50BE20AD"/>
    <w:rsid w:val="50CA141F"/>
    <w:rsid w:val="51046B15"/>
    <w:rsid w:val="51156A77"/>
    <w:rsid w:val="51166299"/>
    <w:rsid w:val="511B3044"/>
    <w:rsid w:val="513774CD"/>
    <w:rsid w:val="519D7CF9"/>
    <w:rsid w:val="51B00003"/>
    <w:rsid w:val="51E3596A"/>
    <w:rsid w:val="523208AF"/>
    <w:rsid w:val="52332C2B"/>
    <w:rsid w:val="52432C25"/>
    <w:rsid w:val="524B78CF"/>
    <w:rsid w:val="528458E2"/>
    <w:rsid w:val="52904D10"/>
    <w:rsid w:val="52C44581"/>
    <w:rsid w:val="52CD143C"/>
    <w:rsid w:val="52D24347"/>
    <w:rsid w:val="52DD4E28"/>
    <w:rsid w:val="52FC1D37"/>
    <w:rsid w:val="52FC2258"/>
    <w:rsid w:val="53061588"/>
    <w:rsid w:val="530828B9"/>
    <w:rsid w:val="5311274E"/>
    <w:rsid w:val="53503E84"/>
    <w:rsid w:val="535A1293"/>
    <w:rsid w:val="537A792D"/>
    <w:rsid w:val="537D0CA7"/>
    <w:rsid w:val="53866EBD"/>
    <w:rsid w:val="53A121D5"/>
    <w:rsid w:val="53AF24AC"/>
    <w:rsid w:val="53B34D96"/>
    <w:rsid w:val="53BA1776"/>
    <w:rsid w:val="53BA7114"/>
    <w:rsid w:val="53C4213E"/>
    <w:rsid w:val="53E37AD7"/>
    <w:rsid w:val="5401093C"/>
    <w:rsid w:val="54031C5B"/>
    <w:rsid w:val="540D2329"/>
    <w:rsid w:val="5432302D"/>
    <w:rsid w:val="544D0C09"/>
    <w:rsid w:val="546649A9"/>
    <w:rsid w:val="5470412B"/>
    <w:rsid w:val="547116D3"/>
    <w:rsid w:val="54754F7F"/>
    <w:rsid w:val="548C0661"/>
    <w:rsid w:val="549C3BF6"/>
    <w:rsid w:val="54A67E88"/>
    <w:rsid w:val="54A95ECD"/>
    <w:rsid w:val="54BC6A3F"/>
    <w:rsid w:val="54C44E08"/>
    <w:rsid w:val="54F75F49"/>
    <w:rsid w:val="550E1648"/>
    <w:rsid w:val="55106F91"/>
    <w:rsid w:val="553954A9"/>
    <w:rsid w:val="553E1063"/>
    <w:rsid w:val="55464289"/>
    <w:rsid w:val="555817C4"/>
    <w:rsid w:val="556E5BD1"/>
    <w:rsid w:val="55814355"/>
    <w:rsid w:val="55884F5B"/>
    <w:rsid w:val="558F062E"/>
    <w:rsid w:val="559E6DDD"/>
    <w:rsid w:val="55A573E1"/>
    <w:rsid w:val="55A71690"/>
    <w:rsid w:val="55B9441A"/>
    <w:rsid w:val="55BB293D"/>
    <w:rsid w:val="55C45E2B"/>
    <w:rsid w:val="55C472CE"/>
    <w:rsid w:val="55FC38CD"/>
    <w:rsid w:val="55FE259D"/>
    <w:rsid w:val="56071871"/>
    <w:rsid w:val="56183F29"/>
    <w:rsid w:val="566A0DDF"/>
    <w:rsid w:val="567F1262"/>
    <w:rsid w:val="56850D56"/>
    <w:rsid w:val="56AD137D"/>
    <w:rsid w:val="56CC38D1"/>
    <w:rsid w:val="56DA0CC3"/>
    <w:rsid w:val="56DB3F05"/>
    <w:rsid w:val="56EA0AC6"/>
    <w:rsid w:val="56F444EE"/>
    <w:rsid w:val="571E0A65"/>
    <w:rsid w:val="572A5116"/>
    <w:rsid w:val="573C73EA"/>
    <w:rsid w:val="574349DB"/>
    <w:rsid w:val="57663DA7"/>
    <w:rsid w:val="57667497"/>
    <w:rsid w:val="576B0567"/>
    <w:rsid w:val="57834BC5"/>
    <w:rsid w:val="57C5740B"/>
    <w:rsid w:val="57EB058F"/>
    <w:rsid w:val="57EB363A"/>
    <w:rsid w:val="57FB4E78"/>
    <w:rsid w:val="58250156"/>
    <w:rsid w:val="588D4BFA"/>
    <w:rsid w:val="58AA109C"/>
    <w:rsid w:val="58B612A9"/>
    <w:rsid w:val="58C031DD"/>
    <w:rsid w:val="5920699E"/>
    <w:rsid w:val="592769B8"/>
    <w:rsid w:val="593A4136"/>
    <w:rsid w:val="5955110A"/>
    <w:rsid w:val="597170C2"/>
    <w:rsid w:val="597A5464"/>
    <w:rsid w:val="59835094"/>
    <w:rsid w:val="598902F3"/>
    <w:rsid w:val="59A27F06"/>
    <w:rsid w:val="59AE5628"/>
    <w:rsid w:val="59CD24A0"/>
    <w:rsid w:val="59EA3B2A"/>
    <w:rsid w:val="5A1A33A1"/>
    <w:rsid w:val="5A2A4EE1"/>
    <w:rsid w:val="5A2D6EFD"/>
    <w:rsid w:val="5A3A52BB"/>
    <w:rsid w:val="5A4A6772"/>
    <w:rsid w:val="5A4B36A6"/>
    <w:rsid w:val="5A731BCE"/>
    <w:rsid w:val="5A7910D3"/>
    <w:rsid w:val="5A917C9C"/>
    <w:rsid w:val="5A997835"/>
    <w:rsid w:val="5AED7BD2"/>
    <w:rsid w:val="5AF62A09"/>
    <w:rsid w:val="5B01542B"/>
    <w:rsid w:val="5B024723"/>
    <w:rsid w:val="5B471F1F"/>
    <w:rsid w:val="5B5E6D63"/>
    <w:rsid w:val="5B73757F"/>
    <w:rsid w:val="5B826C0B"/>
    <w:rsid w:val="5B926D27"/>
    <w:rsid w:val="5BA63692"/>
    <w:rsid w:val="5BB92F61"/>
    <w:rsid w:val="5BCB1B66"/>
    <w:rsid w:val="5BD52FAB"/>
    <w:rsid w:val="5C0615AF"/>
    <w:rsid w:val="5C0E54EB"/>
    <w:rsid w:val="5C1A3DA8"/>
    <w:rsid w:val="5C301F83"/>
    <w:rsid w:val="5C451C8F"/>
    <w:rsid w:val="5C576B2E"/>
    <w:rsid w:val="5C6739B4"/>
    <w:rsid w:val="5C7C3148"/>
    <w:rsid w:val="5C9530FB"/>
    <w:rsid w:val="5CAF3073"/>
    <w:rsid w:val="5CBF35E6"/>
    <w:rsid w:val="5CC11870"/>
    <w:rsid w:val="5CC142AF"/>
    <w:rsid w:val="5CD57A00"/>
    <w:rsid w:val="5CFA4A12"/>
    <w:rsid w:val="5CFB3256"/>
    <w:rsid w:val="5D06525F"/>
    <w:rsid w:val="5D093A9D"/>
    <w:rsid w:val="5D6A42E7"/>
    <w:rsid w:val="5D9E535E"/>
    <w:rsid w:val="5DA350BC"/>
    <w:rsid w:val="5DBF5B09"/>
    <w:rsid w:val="5DC96125"/>
    <w:rsid w:val="5DEF2F78"/>
    <w:rsid w:val="5E152F23"/>
    <w:rsid w:val="5E2B0208"/>
    <w:rsid w:val="5E320297"/>
    <w:rsid w:val="5E4D18B3"/>
    <w:rsid w:val="5E622685"/>
    <w:rsid w:val="5E744153"/>
    <w:rsid w:val="5E812498"/>
    <w:rsid w:val="5E997A50"/>
    <w:rsid w:val="5EC613DB"/>
    <w:rsid w:val="5ECF6556"/>
    <w:rsid w:val="5EDC743B"/>
    <w:rsid w:val="5EDD508D"/>
    <w:rsid w:val="5EE3778B"/>
    <w:rsid w:val="5EE462C7"/>
    <w:rsid w:val="5EE7561C"/>
    <w:rsid w:val="5F0F0853"/>
    <w:rsid w:val="5F1078F1"/>
    <w:rsid w:val="5F26346B"/>
    <w:rsid w:val="5F4F0E5B"/>
    <w:rsid w:val="5F650ED9"/>
    <w:rsid w:val="5F6917F1"/>
    <w:rsid w:val="5F7A57AC"/>
    <w:rsid w:val="5F821037"/>
    <w:rsid w:val="5F867121"/>
    <w:rsid w:val="5F8C62D2"/>
    <w:rsid w:val="5F9951DF"/>
    <w:rsid w:val="5FE2397A"/>
    <w:rsid w:val="5FFA058A"/>
    <w:rsid w:val="602F2436"/>
    <w:rsid w:val="6054305D"/>
    <w:rsid w:val="60800820"/>
    <w:rsid w:val="608238A2"/>
    <w:rsid w:val="60A17168"/>
    <w:rsid w:val="60A3534E"/>
    <w:rsid w:val="60F16FA1"/>
    <w:rsid w:val="61326F67"/>
    <w:rsid w:val="6135226B"/>
    <w:rsid w:val="6135681A"/>
    <w:rsid w:val="614473CF"/>
    <w:rsid w:val="61462F51"/>
    <w:rsid w:val="6148101F"/>
    <w:rsid w:val="61522126"/>
    <w:rsid w:val="61645771"/>
    <w:rsid w:val="61755296"/>
    <w:rsid w:val="6187771D"/>
    <w:rsid w:val="618C632A"/>
    <w:rsid w:val="61B256D1"/>
    <w:rsid w:val="61F801F0"/>
    <w:rsid w:val="620834B1"/>
    <w:rsid w:val="620C2B63"/>
    <w:rsid w:val="62562501"/>
    <w:rsid w:val="62693F7C"/>
    <w:rsid w:val="626D0C5E"/>
    <w:rsid w:val="627071C5"/>
    <w:rsid w:val="629D1B83"/>
    <w:rsid w:val="62A87946"/>
    <w:rsid w:val="62AA1DB0"/>
    <w:rsid w:val="62B8184F"/>
    <w:rsid w:val="62BB2364"/>
    <w:rsid w:val="62C06EED"/>
    <w:rsid w:val="62C4480F"/>
    <w:rsid w:val="62DE0EAA"/>
    <w:rsid w:val="6303461A"/>
    <w:rsid w:val="63070D0D"/>
    <w:rsid w:val="63175A9D"/>
    <w:rsid w:val="633A38FD"/>
    <w:rsid w:val="634A5408"/>
    <w:rsid w:val="635B2D45"/>
    <w:rsid w:val="63B63B4B"/>
    <w:rsid w:val="63C15EEC"/>
    <w:rsid w:val="63CC46EB"/>
    <w:rsid w:val="63FD0A9D"/>
    <w:rsid w:val="642469CD"/>
    <w:rsid w:val="642804D7"/>
    <w:rsid w:val="64552A2D"/>
    <w:rsid w:val="645E3350"/>
    <w:rsid w:val="64637FCC"/>
    <w:rsid w:val="64840C9A"/>
    <w:rsid w:val="64853847"/>
    <w:rsid w:val="649C477A"/>
    <w:rsid w:val="64B87D4C"/>
    <w:rsid w:val="64D837B8"/>
    <w:rsid w:val="64EF7369"/>
    <w:rsid w:val="64F14763"/>
    <w:rsid w:val="64F56997"/>
    <w:rsid w:val="650C722C"/>
    <w:rsid w:val="65307DE1"/>
    <w:rsid w:val="65416596"/>
    <w:rsid w:val="65497D3B"/>
    <w:rsid w:val="65701964"/>
    <w:rsid w:val="659B04B1"/>
    <w:rsid w:val="659C38D9"/>
    <w:rsid w:val="65C17E26"/>
    <w:rsid w:val="65EF39FF"/>
    <w:rsid w:val="65FA0D4B"/>
    <w:rsid w:val="66076396"/>
    <w:rsid w:val="660C0AD1"/>
    <w:rsid w:val="6673016C"/>
    <w:rsid w:val="668141DE"/>
    <w:rsid w:val="668D2C21"/>
    <w:rsid w:val="6690502B"/>
    <w:rsid w:val="66B352A1"/>
    <w:rsid w:val="66D44ADE"/>
    <w:rsid w:val="66E53E53"/>
    <w:rsid w:val="66FC342F"/>
    <w:rsid w:val="6701006F"/>
    <w:rsid w:val="6726641A"/>
    <w:rsid w:val="67390B3C"/>
    <w:rsid w:val="674D40A6"/>
    <w:rsid w:val="677676F1"/>
    <w:rsid w:val="67A337BA"/>
    <w:rsid w:val="67AD2558"/>
    <w:rsid w:val="67B3129C"/>
    <w:rsid w:val="67D3055F"/>
    <w:rsid w:val="67DD6E68"/>
    <w:rsid w:val="68047FEE"/>
    <w:rsid w:val="682700ED"/>
    <w:rsid w:val="6827205E"/>
    <w:rsid w:val="6857373E"/>
    <w:rsid w:val="685F4679"/>
    <w:rsid w:val="68616926"/>
    <w:rsid w:val="6886441C"/>
    <w:rsid w:val="6892167E"/>
    <w:rsid w:val="68B00491"/>
    <w:rsid w:val="68B25ED3"/>
    <w:rsid w:val="68B65AA7"/>
    <w:rsid w:val="68C478DB"/>
    <w:rsid w:val="68C76C42"/>
    <w:rsid w:val="69202547"/>
    <w:rsid w:val="695D3309"/>
    <w:rsid w:val="69A50758"/>
    <w:rsid w:val="69B90695"/>
    <w:rsid w:val="69BD3298"/>
    <w:rsid w:val="69C120B6"/>
    <w:rsid w:val="69E77EE2"/>
    <w:rsid w:val="69EC27C1"/>
    <w:rsid w:val="6A0B3BD1"/>
    <w:rsid w:val="6A18573A"/>
    <w:rsid w:val="6A570BC4"/>
    <w:rsid w:val="6A6B5FBA"/>
    <w:rsid w:val="6A7B7A58"/>
    <w:rsid w:val="6AB45116"/>
    <w:rsid w:val="6ACB4EE7"/>
    <w:rsid w:val="6AD065B7"/>
    <w:rsid w:val="6AEA17DE"/>
    <w:rsid w:val="6B070984"/>
    <w:rsid w:val="6B2017EF"/>
    <w:rsid w:val="6B313889"/>
    <w:rsid w:val="6B4D068F"/>
    <w:rsid w:val="6B7252CF"/>
    <w:rsid w:val="6B8920AC"/>
    <w:rsid w:val="6B923F2B"/>
    <w:rsid w:val="6B9C22B7"/>
    <w:rsid w:val="6BBB7F05"/>
    <w:rsid w:val="6BD21885"/>
    <w:rsid w:val="6BDB1853"/>
    <w:rsid w:val="6BE23F81"/>
    <w:rsid w:val="6BE51FBB"/>
    <w:rsid w:val="6BE53FE1"/>
    <w:rsid w:val="6BF44DFC"/>
    <w:rsid w:val="6C0A7EB8"/>
    <w:rsid w:val="6C18244E"/>
    <w:rsid w:val="6C1D408F"/>
    <w:rsid w:val="6C221503"/>
    <w:rsid w:val="6C241B6C"/>
    <w:rsid w:val="6C36716C"/>
    <w:rsid w:val="6C38435D"/>
    <w:rsid w:val="6C4655D4"/>
    <w:rsid w:val="6C6867A2"/>
    <w:rsid w:val="6C6A7252"/>
    <w:rsid w:val="6C8269E6"/>
    <w:rsid w:val="6C8639E2"/>
    <w:rsid w:val="6C9076B8"/>
    <w:rsid w:val="6CB128C9"/>
    <w:rsid w:val="6D116537"/>
    <w:rsid w:val="6D1604C6"/>
    <w:rsid w:val="6D470E9B"/>
    <w:rsid w:val="6D4D39C3"/>
    <w:rsid w:val="6D6D6E60"/>
    <w:rsid w:val="6D7620C8"/>
    <w:rsid w:val="6D8A77EE"/>
    <w:rsid w:val="6D965589"/>
    <w:rsid w:val="6D970654"/>
    <w:rsid w:val="6DC84DB3"/>
    <w:rsid w:val="6DDE56A1"/>
    <w:rsid w:val="6DE10F7A"/>
    <w:rsid w:val="6DE567FE"/>
    <w:rsid w:val="6DE74DC6"/>
    <w:rsid w:val="6E100C1B"/>
    <w:rsid w:val="6E192936"/>
    <w:rsid w:val="6E1F7247"/>
    <w:rsid w:val="6E6E711C"/>
    <w:rsid w:val="6E845ED6"/>
    <w:rsid w:val="6E8D1933"/>
    <w:rsid w:val="6E900B2B"/>
    <w:rsid w:val="6E970F21"/>
    <w:rsid w:val="6EA05597"/>
    <w:rsid w:val="6EA65EF8"/>
    <w:rsid w:val="6EAD16FA"/>
    <w:rsid w:val="6ED5644D"/>
    <w:rsid w:val="6EE56100"/>
    <w:rsid w:val="6F031A14"/>
    <w:rsid w:val="6F4019CA"/>
    <w:rsid w:val="6F524050"/>
    <w:rsid w:val="6F59436A"/>
    <w:rsid w:val="6F9C5852"/>
    <w:rsid w:val="6FA8020C"/>
    <w:rsid w:val="6FFA34FA"/>
    <w:rsid w:val="70033817"/>
    <w:rsid w:val="700A2C25"/>
    <w:rsid w:val="700F4CAD"/>
    <w:rsid w:val="702A4915"/>
    <w:rsid w:val="70303A28"/>
    <w:rsid w:val="704119D5"/>
    <w:rsid w:val="70652221"/>
    <w:rsid w:val="70664DA3"/>
    <w:rsid w:val="708649C5"/>
    <w:rsid w:val="708C2643"/>
    <w:rsid w:val="70976353"/>
    <w:rsid w:val="70A13EFE"/>
    <w:rsid w:val="70F70DB8"/>
    <w:rsid w:val="711E6148"/>
    <w:rsid w:val="7121131A"/>
    <w:rsid w:val="71301BFB"/>
    <w:rsid w:val="714629D2"/>
    <w:rsid w:val="71567590"/>
    <w:rsid w:val="715D5ED2"/>
    <w:rsid w:val="716D225F"/>
    <w:rsid w:val="718312EC"/>
    <w:rsid w:val="719A7E02"/>
    <w:rsid w:val="71D15365"/>
    <w:rsid w:val="71EF1421"/>
    <w:rsid w:val="721023CE"/>
    <w:rsid w:val="721E4206"/>
    <w:rsid w:val="72206E04"/>
    <w:rsid w:val="72307D49"/>
    <w:rsid w:val="723A49B4"/>
    <w:rsid w:val="723B626A"/>
    <w:rsid w:val="724915F6"/>
    <w:rsid w:val="727662A7"/>
    <w:rsid w:val="729D1E8E"/>
    <w:rsid w:val="72A96D4A"/>
    <w:rsid w:val="72AF3C9F"/>
    <w:rsid w:val="72DB643D"/>
    <w:rsid w:val="72DE6CF3"/>
    <w:rsid w:val="72F42FBE"/>
    <w:rsid w:val="73057E05"/>
    <w:rsid w:val="73191093"/>
    <w:rsid w:val="73331D11"/>
    <w:rsid w:val="73546DC1"/>
    <w:rsid w:val="735E758E"/>
    <w:rsid w:val="736B133A"/>
    <w:rsid w:val="73B4705D"/>
    <w:rsid w:val="73DE4104"/>
    <w:rsid w:val="73FD338C"/>
    <w:rsid w:val="741256EE"/>
    <w:rsid w:val="741D4055"/>
    <w:rsid w:val="747800B5"/>
    <w:rsid w:val="748A0310"/>
    <w:rsid w:val="74941211"/>
    <w:rsid w:val="74946253"/>
    <w:rsid w:val="74A06366"/>
    <w:rsid w:val="74A569D0"/>
    <w:rsid w:val="74AD1FDC"/>
    <w:rsid w:val="74AD6371"/>
    <w:rsid w:val="74D039C5"/>
    <w:rsid w:val="74D50F0E"/>
    <w:rsid w:val="74D82876"/>
    <w:rsid w:val="74E91D83"/>
    <w:rsid w:val="74EC0A46"/>
    <w:rsid w:val="74F354AF"/>
    <w:rsid w:val="750D319B"/>
    <w:rsid w:val="753F6B87"/>
    <w:rsid w:val="756D6C64"/>
    <w:rsid w:val="756F3E1C"/>
    <w:rsid w:val="759727BC"/>
    <w:rsid w:val="7599639D"/>
    <w:rsid w:val="75C543E7"/>
    <w:rsid w:val="75CB208C"/>
    <w:rsid w:val="75DC7E85"/>
    <w:rsid w:val="75F07C06"/>
    <w:rsid w:val="76487698"/>
    <w:rsid w:val="765C5F9F"/>
    <w:rsid w:val="769309AE"/>
    <w:rsid w:val="769F6594"/>
    <w:rsid w:val="76C27D0D"/>
    <w:rsid w:val="76D328E6"/>
    <w:rsid w:val="76F37A75"/>
    <w:rsid w:val="77433986"/>
    <w:rsid w:val="775611E7"/>
    <w:rsid w:val="776B4294"/>
    <w:rsid w:val="776D1ACC"/>
    <w:rsid w:val="77746FB4"/>
    <w:rsid w:val="777C78AD"/>
    <w:rsid w:val="77A02B69"/>
    <w:rsid w:val="77A62750"/>
    <w:rsid w:val="77AC1258"/>
    <w:rsid w:val="77D5110C"/>
    <w:rsid w:val="77DF2AA9"/>
    <w:rsid w:val="77E30F7F"/>
    <w:rsid w:val="77F9523C"/>
    <w:rsid w:val="781A0084"/>
    <w:rsid w:val="781E0CC6"/>
    <w:rsid w:val="78221AB3"/>
    <w:rsid w:val="788A2B5A"/>
    <w:rsid w:val="788D3044"/>
    <w:rsid w:val="78902B63"/>
    <w:rsid w:val="78C929AE"/>
    <w:rsid w:val="78E1498B"/>
    <w:rsid w:val="78EA6798"/>
    <w:rsid w:val="78F405C4"/>
    <w:rsid w:val="7908525C"/>
    <w:rsid w:val="791616FD"/>
    <w:rsid w:val="792945DB"/>
    <w:rsid w:val="792C65B3"/>
    <w:rsid w:val="793D302A"/>
    <w:rsid w:val="794269D6"/>
    <w:rsid w:val="795D7DCA"/>
    <w:rsid w:val="7962195D"/>
    <w:rsid w:val="79933F60"/>
    <w:rsid w:val="7999317D"/>
    <w:rsid w:val="79CC1306"/>
    <w:rsid w:val="79CC7A75"/>
    <w:rsid w:val="79CE1786"/>
    <w:rsid w:val="79DF3DC7"/>
    <w:rsid w:val="7A110D3C"/>
    <w:rsid w:val="7A23691C"/>
    <w:rsid w:val="7A3B20AE"/>
    <w:rsid w:val="7A3F633D"/>
    <w:rsid w:val="7A4E1FA0"/>
    <w:rsid w:val="7A4E3666"/>
    <w:rsid w:val="7A574260"/>
    <w:rsid w:val="7A650123"/>
    <w:rsid w:val="7A65414E"/>
    <w:rsid w:val="7A9A6350"/>
    <w:rsid w:val="7AA909BC"/>
    <w:rsid w:val="7AAC493F"/>
    <w:rsid w:val="7ABA2B50"/>
    <w:rsid w:val="7AC15C86"/>
    <w:rsid w:val="7ACF1FE0"/>
    <w:rsid w:val="7AE03601"/>
    <w:rsid w:val="7AE31F6B"/>
    <w:rsid w:val="7AEA15E0"/>
    <w:rsid w:val="7AF35895"/>
    <w:rsid w:val="7B1249F0"/>
    <w:rsid w:val="7B202451"/>
    <w:rsid w:val="7B3B1B46"/>
    <w:rsid w:val="7B555390"/>
    <w:rsid w:val="7B7A72C4"/>
    <w:rsid w:val="7B84569A"/>
    <w:rsid w:val="7BA53D15"/>
    <w:rsid w:val="7BDB63FB"/>
    <w:rsid w:val="7BFD0089"/>
    <w:rsid w:val="7C001068"/>
    <w:rsid w:val="7C09018C"/>
    <w:rsid w:val="7C320365"/>
    <w:rsid w:val="7C553C4B"/>
    <w:rsid w:val="7C5842D2"/>
    <w:rsid w:val="7C794889"/>
    <w:rsid w:val="7C844B1B"/>
    <w:rsid w:val="7C9E5A06"/>
    <w:rsid w:val="7CB2479C"/>
    <w:rsid w:val="7CB857D3"/>
    <w:rsid w:val="7CBA30A9"/>
    <w:rsid w:val="7CDA27DE"/>
    <w:rsid w:val="7CDB3561"/>
    <w:rsid w:val="7CDE6ABF"/>
    <w:rsid w:val="7CF41358"/>
    <w:rsid w:val="7CFF5676"/>
    <w:rsid w:val="7D2B1A5A"/>
    <w:rsid w:val="7D2E153B"/>
    <w:rsid w:val="7D3D3E63"/>
    <w:rsid w:val="7D424143"/>
    <w:rsid w:val="7D424975"/>
    <w:rsid w:val="7D630271"/>
    <w:rsid w:val="7D657644"/>
    <w:rsid w:val="7D882F81"/>
    <w:rsid w:val="7DB94747"/>
    <w:rsid w:val="7DCC327D"/>
    <w:rsid w:val="7DD50728"/>
    <w:rsid w:val="7DE86945"/>
    <w:rsid w:val="7DEC38C1"/>
    <w:rsid w:val="7E006F1A"/>
    <w:rsid w:val="7E196778"/>
    <w:rsid w:val="7E1C7A8D"/>
    <w:rsid w:val="7E367C11"/>
    <w:rsid w:val="7E4B05E8"/>
    <w:rsid w:val="7E587687"/>
    <w:rsid w:val="7E742CF4"/>
    <w:rsid w:val="7E7E6CE8"/>
    <w:rsid w:val="7E916B3D"/>
    <w:rsid w:val="7EB42631"/>
    <w:rsid w:val="7F14376E"/>
    <w:rsid w:val="7F304E43"/>
    <w:rsid w:val="7F454E8A"/>
    <w:rsid w:val="7F4857F3"/>
    <w:rsid w:val="7F4D2059"/>
    <w:rsid w:val="7F7C5BBA"/>
    <w:rsid w:val="7F8227DF"/>
    <w:rsid w:val="7F822EBC"/>
    <w:rsid w:val="7F8D5D5C"/>
    <w:rsid w:val="7FB12CB4"/>
    <w:rsid w:val="7FB71AF3"/>
    <w:rsid w:val="7FBA1FC4"/>
    <w:rsid w:val="7FC0793E"/>
    <w:rsid w:val="7FD42565"/>
    <w:rsid w:val="7FEE3921"/>
    <w:rsid w:val="7FFA45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textAlignment w:val="baseline"/>
    </w:pPr>
    <w:rPr>
      <w:rFonts w:ascii="Times New Roman" w:hAnsi="Times New Roman" w:eastAsia="宋体" w:cs="Times New Roman"/>
      <w:snapToGrid w:val="0"/>
      <w:color w:val="000000"/>
      <w:sz w:val="21"/>
      <w:szCs w:val="21"/>
      <w:lang w:val="en-US" w:eastAsia="en-US" w:bidi="ar-SA"/>
    </w:rPr>
  </w:style>
  <w:style w:type="paragraph" w:styleId="2">
    <w:name w:val="heading 1"/>
    <w:basedOn w:val="1"/>
    <w:next w:val="1"/>
    <w:qFormat/>
    <w:uiPriority w:val="0"/>
    <w:pPr>
      <w:spacing w:beforeAutospacing="1" w:afterAutospacing="1"/>
      <w:outlineLvl w:val="0"/>
    </w:pPr>
    <w:rPr>
      <w:rFonts w:hint="eastAsia" w:ascii="宋体" w:hAnsi="宋体"/>
      <w:b/>
      <w:bCs/>
      <w:kern w:val="44"/>
      <w:sz w:val="48"/>
      <w:szCs w:val="48"/>
      <w:lang w:eastAsia="zh-CN"/>
    </w:rPr>
  </w:style>
  <w:style w:type="paragraph" w:styleId="3">
    <w:name w:val="heading 2"/>
    <w:basedOn w:val="4"/>
    <w:next w:val="1"/>
    <w:qFormat/>
    <w:uiPriority w:val="0"/>
    <w:pPr>
      <w:keepNext/>
      <w:keepLines/>
      <w:spacing w:beforeLines="50" w:afterLines="50"/>
      <w:outlineLvl w:val="1"/>
    </w:pPr>
    <w:rPr>
      <w:b/>
      <w:bCs/>
      <w:sz w:val="30"/>
      <w:szCs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0"/>
    <w:pPr>
      <w:spacing w:line="360" w:lineRule="auto"/>
      <w:ind w:firstLine="643"/>
    </w:pPr>
  </w:style>
  <w:style w:type="paragraph" w:styleId="6">
    <w:name w:val="annotation text"/>
    <w:basedOn w:val="1"/>
    <w:link w:val="46"/>
    <w:semiHidden/>
    <w:qFormat/>
    <w:uiPriority w:val="0"/>
  </w:style>
  <w:style w:type="paragraph" w:styleId="7">
    <w:name w:val="Body Text"/>
    <w:basedOn w:val="1"/>
    <w:semiHidden/>
    <w:qFormat/>
    <w:uiPriority w:val="0"/>
    <w:rPr>
      <w:sz w:val="24"/>
      <w:szCs w:val="24"/>
    </w:rPr>
  </w:style>
  <w:style w:type="paragraph" w:styleId="8">
    <w:name w:val="Plain Text"/>
    <w:basedOn w:val="1"/>
    <w:next w:val="1"/>
    <w:qFormat/>
    <w:uiPriority w:val="0"/>
    <w:pPr>
      <w:widowControl w:val="0"/>
      <w:jc w:val="both"/>
    </w:pPr>
    <w:rPr>
      <w:rFonts w:hAnsi="Courier New"/>
      <w:kern w:val="2"/>
      <w:szCs w:val="20"/>
    </w:rPr>
  </w:style>
  <w:style w:type="paragraph" w:styleId="9">
    <w:name w:val="Body Text Indent 2"/>
    <w:basedOn w:val="1"/>
    <w:qFormat/>
    <w:uiPriority w:val="0"/>
    <w:pPr>
      <w:ind w:left="105" w:firstLine="465"/>
    </w:pPr>
    <w:rPr>
      <w:sz w:val="20"/>
      <w:szCs w:val="20"/>
    </w:rPr>
  </w:style>
  <w:style w:type="paragraph" w:styleId="10">
    <w:name w:val="footer"/>
    <w:basedOn w:val="1"/>
    <w:next w:val="1"/>
    <w:qFormat/>
    <w:uiPriority w:val="0"/>
    <w:pPr>
      <w:tabs>
        <w:tab w:val="center" w:pos="4153"/>
        <w:tab w:val="right" w:pos="8306"/>
      </w:tabs>
    </w:pPr>
    <w:rPr>
      <w:sz w:val="18"/>
    </w:rPr>
  </w:style>
  <w:style w:type="paragraph" w:styleId="11">
    <w:name w:val="header"/>
    <w:basedOn w:val="1"/>
    <w:next w:val="12"/>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index heading"/>
    <w:basedOn w:val="1"/>
    <w:next w:val="13"/>
    <w:qFormat/>
    <w:uiPriority w:val="0"/>
    <w:rPr>
      <w:rFonts w:ascii="Arial" w:hAnsi="Arial"/>
      <w:b/>
    </w:rPr>
  </w:style>
  <w:style w:type="paragraph" w:styleId="13">
    <w:name w:val="index 1"/>
    <w:basedOn w:val="1"/>
    <w:next w:val="1"/>
    <w:semiHidden/>
    <w:qFormat/>
    <w:uiPriority w:val="0"/>
    <w:pPr>
      <w:ind w:firstLine="823" w:firstLineChars="358"/>
    </w:pPr>
    <w:rPr>
      <w:rFonts w:ascii="宋体" w:hAnsi="宋体"/>
      <w:spacing w:val="10"/>
    </w:rPr>
  </w:style>
  <w:style w:type="paragraph" w:styleId="14">
    <w:name w:val="toc 1"/>
    <w:basedOn w:val="1"/>
    <w:next w:val="1"/>
    <w:qFormat/>
    <w:uiPriority w:val="0"/>
  </w:style>
  <w:style w:type="paragraph" w:styleId="15">
    <w:name w:val="Normal (Web)"/>
    <w:basedOn w:val="1"/>
    <w:qFormat/>
    <w:uiPriority w:val="0"/>
    <w:pPr>
      <w:spacing w:before="100" w:beforeAutospacing="1" w:after="100" w:afterAutospacing="1"/>
    </w:pPr>
    <w:rPr>
      <w:rFonts w:ascii="宋体" w:hAnsi="宋体"/>
      <w:sz w:val="24"/>
      <w:szCs w:val="20"/>
    </w:rPr>
  </w:style>
  <w:style w:type="paragraph" w:styleId="16">
    <w:name w:val="annotation subject"/>
    <w:basedOn w:val="6"/>
    <w:next w:val="6"/>
    <w:link w:val="47"/>
    <w:qFormat/>
    <w:uiPriority w:val="0"/>
    <w:rPr>
      <w:b/>
      <w:bCs/>
    </w:rPr>
  </w:style>
  <w:style w:type="paragraph" w:styleId="17">
    <w:name w:val="Body Text First Indent"/>
    <w:basedOn w:val="7"/>
    <w:qFormat/>
    <w:uiPriority w:val="0"/>
    <w:pPr>
      <w:ind w:firstLine="420" w:firstLineChars="100"/>
    </w:pPr>
  </w:style>
  <w:style w:type="paragraph" w:styleId="18">
    <w:name w:val="Body Text First Indent 2"/>
    <w:basedOn w:val="1"/>
    <w:next w:val="17"/>
    <w:unhideWhenUsed/>
    <w:qFormat/>
    <w:uiPriority w:val="0"/>
    <w:pPr>
      <w:ind w:firstLine="420" w:firstLineChars="200"/>
    </w:pPr>
  </w:style>
  <w:style w:type="table" w:styleId="20">
    <w:name w:val="Table Grid"/>
    <w:basedOn w:val="19"/>
    <w:qFormat/>
    <w:uiPriority w:val="0"/>
    <w:pPr>
      <w:widowControl w:val="0"/>
      <w:adjustRightInd w:val="0"/>
      <w:spacing w:line="48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character" w:styleId="24">
    <w:name w:val="Hyperlink"/>
    <w:basedOn w:val="21"/>
    <w:qFormat/>
    <w:uiPriority w:val="0"/>
    <w:rPr>
      <w:color w:val="0000FF"/>
      <w:u w:val="single"/>
    </w:rPr>
  </w:style>
  <w:style w:type="character" w:styleId="25">
    <w:name w:val="annotation reference"/>
    <w:basedOn w:val="21"/>
    <w:qFormat/>
    <w:uiPriority w:val="0"/>
    <w:rPr>
      <w:sz w:val="21"/>
      <w:szCs w:val="21"/>
    </w:rPr>
  </w:style>
  <w:style w:type="paragraph" w:customStyle="1" w:styleId="26">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customStyle="1" w:styleId="27">
    <w:name w:val="Default"/>
    <w:basedOn w:val="28"/>
    <w:qFormat/>
    <w:uiPriority w:val="0"/>
    <w:pPr>
      <w:widowControl w:val="0"/>
    </w:pPr>
    <w:rPr>
      <w:rFonts w:ascii="宋体" w:hAnsi="宋体" w:eastAsia="宋体" w:cs="宋体"/>
      <w:sz w:val="24"/>
      <w:szCs w:val="24"/>
      <w:lang w:eastAsia="zh-CN"/>
    </w:rPr>
  </w:style>
  <w:style w:type="paragraph" w:customStyle="1" w:styleId="28">
    <w:name w:val="纯文本1"/>
    <w:basedOn w:val="1"/>
    <w:qFormat/>
    <w:uiPriority w:val="0"/>
    <w:rPr>
      <w:rFonts w:ascii="華康細圓體" w:hAnsi="華康細圓體" w:eastAsia="華康細圓體" w:cs="華康細圓體"/>
    </w:rPr>
  </w:style>
  <w:style w:type="table" w:customStyle="1" w:styleId="29">
    <w:name w:val="Table Normal"/>
    <w:semiHidden/>
    <w:unhideWhenUsed/>
    <w:qFormat/>
    <w:uiPriority w:val="0"/>
    <w:tblPr>
      <w:tblCellMar>
        <w:top w:w="0" w:type="dxa"/>
        <w:left w:w="0" w:type="dxa"/>
        <w:bottom w:w="0" w:type="dxa"/>
        <w:right w:w="0" w:type="dxa"/>
      </w:tblCellMar>
    </w:tblPr>
  </w:style>
  <w:style w:type="paragraph" w:customStyle="1" w:styleId="30">
    <w:name w:val="Table Text"/>
    <w:basedOn w:val="1"/>
    <w:semiHidden/>
    <w:qFormat/>
    <w:uiPriority w:val="0"/>
    <w:rPr>
      <w:sz w:val="24"/>
      <w:szCs w:val="20"/>
    </w:rPr>
  </w:style>
  <w:style w:type="paragraph" w:customStyle="1" w:styleId="31">
    <w:name w:val="表格内容"/>
    <w:basedOn w:val="1"/>
    <w:qFormat/>
    <w:uiPriority w:val="0"/>
    <w:pPr>
      <w:jc w:val="center"/>
    </w:pPr>
  </w:style>
  <w:style w:type="paragraph" w:customStyle="1" w:styleId="32">
    <w:name w:val="表头、图尾"/>
    <w:basedOn w:val="1"/>
    <w:autoRedefine/>
    <w:qFormat/>
    <w:uiPriority w:val="0"/>
    <w:pPr>
      <w:spacing w:beforeLines="50" w:afterLines="20"/>
      <w:jc w:val="center"/>
      <w:outlineLvl w:val="1"/>
    </w:pPr>
    <w:rPr>
      <w:b/>
    </w:rPr>
  </w:style>
  <w:style w:type="character" w:customStyle="1" w:styleId="33">
    <w:name w:val="NormalCharacter"/>
    <w:autoRedefine/>
    <w:qFormat/>
    <w:uiPriority w:val="0"/>
  </w:style>
  <w:style w:type="paragraph" w:customStyle="1" w:styleId="34">
    <w:name w:val="文本22"/>
    <w:basedOn w:val="1"/>
    <w:autoRedefine/>
    <w:qFormat/>
    <w:uiPriority w:val="0"/>
    <w:pPr>
      <w:spacing w:line="360" w:lineRule="auto"/>
      <w:ind w:firstLine="480"/>
    </w:pPr>
    <w:rPr>
      <w:sz w:val="24"/>
    </w:rPr>
  </w:style>
  <w:style w:type="character" w:customStyle="1" w:styleId="35">
    <w:name w:val="正文文本 Char1"/>
    <w:autoRedefine/>
    <w:qFormat/>
    <w:uiPriority w:val="0"/>
    <w:rPr>
      <w:rFonts w:eastAsia="宋体"/>
      <w:kern w:val="2"/>
      <w:sz w:val="28"/>
      <w:szCs w:val="24"/>
      <w:lang w:val="en-US" w:eastAsia="zh-CN" w:bidi="ar-SA"/>
    </w:rPr>
  </w:style>
  <w:style w:type="paragraph" w:customStyle="1" w:styleId="36">
    <w:name w:val="表内容"/>
    <w:basedOn w:val="1"/>
    <w:semiHidden/>
    <w:qFormat/>
    <w:uiPriority w:val="0"/>
    <w:pPr>
      <w:jc w:val="center"/>
    </w:pPr>
    <w:rPr>
      <w:rFonts w:cs="宋体"/>
      <w:szCs w:val="20"/>
    </w:rPr>
  </w:style>
  <w:style w:type="paragraph" w:customStyle="1" w:styleId="37">
    <w:name w:val="正文111"/>
    <w:basedOn w:val="1"/>
    <w:qFormat/>
    <w:uiPriority w:val="0"/>
    <w:pPr>
      <w:spacing w:line="360" w:lineRule="auto"/>
      <w:ind w:firstLine="480" w:firstLineChars="200"/>
    </w:pPr>
    <w:rPr>
      <w:sz w:val="24"/>
    </w:rPr>
  </w:style>
  <w:style w:type="paragraph" w:customStyle="1" w:styleId="38">
    <w:name w:val="表格"/>
    <w:basedOn w:val="30"/>
    <w:qFormat/>
    <w:uiPriority w:val="0"/>
    <w:pPr>
      <w:jc w:val="center"/>
    </w:pPr>
    <w:rPr>
      <w:rFonts w:cs="Times New Roman"/>
      <w:spacing w:val="-6"/>
      <w:szCs w:val="21"/>
    </w:rPr>
  </w:style>
  <w:style w:type="paragraph" w:customStyle="1" w:styleId="39">
    <w:name w:val="Table Paragraph"/>
    <w:basedOn w:val="1"/>
    <w:qFormat/>
    <w:uiPriority w:val="1"/>
    <w:rPr>
      <w:rFonts w:ascii="Calibri" w:hAnsi="Calibri"/>
      <w:sz w:val="22"/>
      <w:szCs w:val="22"/>
    </w:rPr>
  </w:style>
  <w:style w:type="paragraph" w:customStyle="1" w:styleId="40">
    <w:name w:val="样式 标题 1 + 四号 段前: 0 磅 段后: 0 磅 行距: 1.5 倍行距"/>
    <w:basedOn w:val="41"/>
    <w:next w:val="42"/>
    <w:qFormat/>
    <w:uiPriority w:val="0"/>
    <w:pPr>
      <w:spacing w:line="360" w:lineRule="auto"/>
      <w:jc w:val="center"/>
    </w:pPr>
    <w:rPr>
      <w:rFonts w:hAnsi="黑体" w:eastAsia="宋体"/>
      <w:sz w:val="21"/>
    </w:rPr>
  </w:style>
  <w:style w:type="paragraph" w:customStyle="1" w:styleId="41">
    <w:name w:val="1正文"/>
    <w:basedOn w:val="1"/>
    <w:qFormat/>
    <w:uiPriority w:val="0"/>
    <w:pPr>
      <w:spacing w:line="500" w:lineRule="exact"/>
      <w:ind w:firstLine="588" w:firstLineChars="196"/>
    </w:pPr>
    <w:rPr>
      <w:rFonts w:eastAsia="楷体_GB2312"/>
      <w:sz w:val="30"/>
      <w:szCs w:val="30"/>
    </w:rPr>
  </w:style>
  <w:style w:type="paragraph" w:customStyle="1" w:styleId="42">
    <w:name w:val="文本正文"/>
    <w:basedOn w:val="17"/>
    <w:qFormat/>
    <w:uiPriority w:val="0"/>
    <w:pPr>
      <w:spacing w:line="360" w:lineRule="auto"/>
      <w:ind w:firstLine="510"/>
    </w:pPr>
    <w:rPr>
      <w:spacing w:val="4"/>
      <w:kern w:val="24"/>
      <w:lang w:val="zh-CN"/>
    </w:rPr>
  </w:style>
  <w:style w:type="paragraph" w:customStyle="1" w:styleId="43">
    <w:name w:val="AA正文"/>
    <w:basedOn w:val="1"/>
    <w:qFormat/>
    <w:uiPriority w:val="0"/>
    <w:pPr>
      <w:ind w:firstLine="800"/>
    </w:pPr>
    <w:rPr>
      <w:szCs w:val="24"/>
    </w:rPr>
  </w:style>
  <w:style w:type="paragraph" w:customStyle="1" w:styleId="44">
    <w:name w:val="表格中的内容"/>
    <w:basedOn w:val="1"/>
    <w:qFormat/>
    <w:uiPriority w:val="0"/>
    <w:pPr>
      <w:jc w:val="center"/>
    </w:pPr>
  </w:style>
  <w:style w:type="paragraph" w:customStyle="1" w:styleId="45">
    <w:name w:val="正文 New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46">
    <w:name w:val="批注文字 字符"/>
    <w:basedOn w:val="21"/>
    <w:link w:val="6"/>
    <w:semiHidden/>
    <w:qFormat/>
    <w:uiPriority w:val="0"/>
    <w:rPr>
      <w:snapToGrid w:val="0"/>
      <w:color w:val="000000"/>
      <w:sz w:val="21"/>
      <w:szCs w:val="21"/>
      <w:lang w:eastAsia="en-US"/>
    </w:rPr>
  </w:style>
  <w:style w:type="character" w:customStyle="1" w:styleId="47">
    <w:name w:val="批注主题 字符"/>
    <w:basedOn w:val="46"/>
    <w:link w:val="16"/>
    <w:qFormat/>
    <w:uiPriority w:val="0"/>
    <w:rPr>
      <w:b/>
      <w:bCs/>
      <w:snapToGrid w:val="0"/>
      <w:color w:val="000000"/>
      <w:sz w:val="21"/>
      <w:szCs w:val="21"/>
      <w:lang w:eastAsia="en-US"/>
    </w:rPr>
  </w:style>
  <w:style w:type="character" w:customStyle="1" w:styleId="48">
    <w:name w:val="font21"/>
    <w:basedOn w:val="21"/>
    <w:qFormat/>
    <w:uiPriority w:val="0"/>
    <w:rPr>
      <w:rFonts w:hint="default" w:ascii="Times New Roman" w:hAnsi="Times New Roman" w:cs="Times New Roman"/>
      <w:color w:val="0000FF"/>
      <w:sz w:val="21"/>
      <w:szCs w:val="21"/>
      <w:u w:val="none"/>
    </w:rPr>
  </w:style>
  <w:style w:type="character" w:customStyle="1" w:styleId="49">
    <w:name w:val="font41"/>
    <w:basedOn w:val="21"/>
    <w:qFormat/>
    <w:uiPriority w:val="0"/>
    <w:rPr>
      <w:rFonts w:hint="eastAsia" w:ascii="宋体" w:hAnsi="宋体" w:eastAsia="宋体" w:cs="宋体"/>
      <w:color w:val="0000FF"/>
      <w:sz w:val="21"/>
      <w:szCs w:val="21"/>
      <w:u w:val="none"/>
    </w:rPr>
  </w:style>
  <w:style w:type="character" w:customStyle="1" w:styleId="50">
    <w:name w:val="font51"/>
    <w:basedOn w:val="21"/>
    <w:qFormat/>
    <w:uiPriority w:val="0"/>
    <w:rPr>
      <w:rFonts w:hint="default" w:ascii="Times New Roman" w:hAnsi="Times New Roman" w:cs="Times New Roman"/>
      <w:b/>
      <w:bCs/>
      <w:color w:val="000000"/>
      <w:sz w:val="21"/>
      <w:szCs w:val="21"/>
      <w:u w:val="none"/>
    </w:rPr>
  </w:style>
  <w:style w:type="character" w:customStyle="1" w:styleId="51">
    <w:name w:val="font11"/>
    <w:basedOn w:val="21"/>
    <w:qFormat/>
    <w:uiPriority w:val="0"/>
    <w:rPr>
      <w:rFonts w:hint="eastAsia" w:ascii="宋体" w:hAnsi="宋体" w:eastAsia="宋体" w:cs="宋体"/>
      <w:b/>
      <w:bCs/>
      <w:color w:val="000000"/>
      <w:sz w:val="21"/>
      <w:szCs w:val="21"/>
      <w:u w:val="none"/>
    </w:rPr>
  </w:style>
  <w:style w:type="character" w:customStyle="1" w:styleId="52">
    <w:name w:val="font31"/>
    <w:basedOn w:val="21"/>
    <w:qFormat/>
    <w:uiPriority w:val="0"/>
    <w:rPr>
      <w:rFonts w:hint="eastAsia" w:ascii="宋体" w:hAnsi="宋体" w:eastAsia="宋体" w:cs="宋体"/>
      <w:color w:val="000000"/>
      <w:sz w:val="21"/>
      <w:szCs w:val="21"/>
      <w:u w:val="none"/>
    </w:rPr>
  </w:style>
  <w:style w:type="character" w:customStyle="1" w:styleId="53">
    <w:name w:val="font61"/>
    <w:basedOn w:val="21"/>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2.xml"/><Relationship Id="rId39" Type="http://schemas.openxmlformats.org/officeDocument/2006/relationships/image" Target="media/image17.wmf"/><Relationship Id="rId38" Type="http://schemas.openxmlformats.org/officeDocument/2006/relationships/oleObject" Target="embeddings/oleObject9.bin"/><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wmf"/><Relationship Id="rId33" Type="http://schemas.openxmlformats.org/officeDocument/2006/relationships/oleObject" Target="embeddings/oleObject8.bin"/><Relationship Id="rId32" Type="http://schemas.openxmlformats.org/officeDocument/2006/relationships/image" Target="media/image12.wmf"/><Relationship Id="rId31" Type="http://schemas.openxmlformats.org/officeDocument/2006/relationships/oleObject" Target="embeddings/oleObject7.bin"/><Relationship Id="rId30" Type="http://schemas.openxmlformats.org/officeDocument/2006/relationships/image" Target="media/image11.png"/><Relationship Id="rId3" Type="http://schemas.openxmlformats.org/officeDocument/2006/relationships/footer" Target="footer1.xml"/><Relationship Id="rId29" Type="http://schemas.openxmlformats.org/officeDocument/2006/relationships/image" Target="media/image10.png"/><Relationship Id="rId28" Type="http://schemas.openxmlformats.org/officeDocument/2006/relationships/image" Target="media/image9.emf"/><Relationship Id="rId27" Type="http://schemas.openxmlformats.org/officeDocument/2006/relationships/oleObject" Target="embeddings/oleObject6.bin"/><Relationship Id="rId26" Type="http://schemas.openxmlformats.org/officeDocument/2006/relationships/image" Target="media/image8.emf"/><Relationship Id="rId25" Type="http://schemas.openxmlformats.org/officeDocument/2006/relationships/oleObject" Target="embeddings/oleObject5.bin"/><Relationship Id="rId24" Type="http://schemas.openxmlformats.org/officeDocument/2006/relationships/image" Target="media/image7.emf"/><Relationship Id="rId23" Type="http://schemas.openxmlformats.org/officeDocument/2006/relationships/oleObject" Target="embeddings/oleObject4.bin"/><Relationship Id="rId22" Type="http://schemas.openxmlformats.org/officeDocument/2006/relationships/image" Target="media/image6.emf"/><Relationship Id="rId21" Type="http://schemas.openxmlformats.org/officeDocument/2006/relationships/oleObject" Target="embeddings/oleObject3.bin"/><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4.png"/><Relationship Id="rId17" Type="http://schemas.openxmlformats.org/officeDocument/2006/relationships/image" Target="media/image3.emf"/><Relationship Id="rId16" Type="http://schemas.openxmlformats.org/officeDocument/2006/relationships/oleObject" Target="embeddings/oleObject1.bin"/><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280</Words>
  <Characters>290</Characters>
  <Lines>4828</Lines>
  <Paragraphs>4728</Paragraphs>
  <TotalTime>0</TotalTime>
  <ScaleCrop>false</ScaleCrop>
  <LinksUpToDate>false</LinksUpToDate>
  <CharactersWithSpaces>406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2024-05-06T16:02:00Z</dcterms:created>
  <dc:creator>Administrator</dc:creator>
  <cp:lastModifiedBy>马竹芬</cp:lastModifiedBy>
  <dcterms:modified xsi:type="dcterms:W3CDTF">2026-06-16T07:20:19Z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2025-08-11T08:46:25Z</vt:filetime>
  </property>
  <property fmtid="{D5CDD505-2E9C-101B-9397-08002B2CF9AE}" pid="4" name="KSOTemplateDocerSaveRecord">
    <vt:lpwstr>eyJoZGlkIjoiOTc5MzZiOTVlYzA1Y2QxZjJhNzRkYjUxYWVhZGEwN2UiLCJ1c2VySWQiOiIxNzQ3Nzk0OTE3In0=</vt:lpwstr>
  </property>
  <property fmtid="{D5CDD505-2E9C-101B-9397-08002B2CF9AE}" pid="5" name="KSOProductBuildVer">
    <vt:lpwstr>2052-12.1.0.26895</vt:lpwstr>
  </property>
  <property fmtid="{D5CDD505-2E9C-101B-9397-08002B2CF9AE}" pid="6" name="ICV">
    <vt:lpwstr>18547641E48847CA9D776EC8F246269B_13</vt:lpwstr>
  </property>
</Properties>
</file>