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84DA5">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_GBK" w:cs="Times New Roman"/>
          <w:color w:val="000000"/>
          <w:kern w:val="0"/>
          <w:sz w:val="44"/>
          <w:szCs w:val="44"/>
          <w:lang w:val="en-US" w:eastAsia="zh-CN"/>
        </w:rPr>
      </w:pPr>
      <w:bookmarkStart w:id="0" w:name="_GoBack"/>
      <w:bookmarkEnd w:id="0"/>
    </w:p>
    <w:p w14:paraId="2423974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t>寻甸回族彝族自治县</w:t>
      </w:r>
    </w:p>
    <w:p w14:paraId="50BEDFF6">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_GBK" w:cs="Times New Roman"/>
          <w:color w:val="FF0000"/>
          <w:sz w:val="44"/>
          <w:szCs w:val="44"/>
        </w:rPr>
      </w:pPr>
      <w:r>
        <w:rPr>
          <w:rFonts w:hint="default" w:ascii="Times New Roman" w:hAnsi="Times New Roman" w:eastAsia="方正小标宋_GBK" w:cs="Times New Roman"/>
          <w:color w:val="000000"/>
          <w:kern w:val="0"/>
          <w:sz w:val="44"/>
          <w:szCs w:val="44"/>
          <w:lang w:val="en-US" w:eastAsia="zh-CN"/>
        </w:rPr>
        <w:t>2025年政府决算公开相关情况说明</w:t>
      </w:r>
    </w:p>
    <w:p w14:paraId="75780AC8">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_GBK" w:cs="Times New Roman"/>
          <w:color w:val="FF0000"/>
          <w:sz w:val="44"/>
          <w:szCs w:val="44"/>
        </w:rPr>
      </w:pPr>
    </w:p>
    <w:p w14:paraId="111D5166">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一、</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县级一般公共预算收入决算情况</w:t>
      </w:r>
    </w:p>
    <w:p w14:paraId="68F1386B">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二、</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县级一般公共预算支出决算情况</w:t>
      </w:r>
    </w:p>
    <w:p w14:paraId="688393DD">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三、</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县级政府性基金收入决算情况</w:t>
      </w:r>
    </w:p>
    <w:p w14:paraId="032EA9C6">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四、</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县级政府性基金支出决算情况</w:t>
      </w:r>
    </w:p>
    <w:p w14:paraId="7BFEB798">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五、</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县级国有资本经营预算收支决算情况</w:t>
      </w:r>
    </w:p>
    <w:p w14:paraId="7BF4BE9C">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lang w:val="en-US" w:eastAsia="zh-CN"/>
        </w:rPr>
        <w:t>六、</w:t>
      </w:r>
      <w:r>
        <w:rPr>
          <w:rFonts w:hint="default" w:ascii="Times New Roman" w:hAnsi="Times New Roman" w:eastAsia="黑体" w:cs="Times New Roman"/>
          <w:color w:val="auto"/>
          <w:sz w:val="32"/>
          <w:lang w:eastAsia="zh-CN"/>
        </w:rPr>
        <w:t>2025年</w:t>
      </w:r>
      <w:r>
        <w:rPr>
          <w:rFonts w:hint="default" w:ascii="Times New Roman" w:hAnsi="Times New Roman" w:eastAsia="黑体" w:cs="Times New Roman"/>
          <w:color w:val="auto"/>
          <w:sz w:val="32"/>
        </w:rPr>
        <w:t>县级社会保险基金预算收支决算情况</w:t>
      </w:r>
    </w:p>
    <w:p w14:paraId="44BC57C4">
      <w:pPr>
        <w:pStyle w:val="2"/>
        <w:keepNext w:val="0"/>
        <w:keepLines w:val="0"/>
        <w:pageBreakBefore w:val="0"/>
        <w:widowControl w:val="0"/>
        <w:kinsoku/>
        <w:wordWrap/>
        <w:overflowPunct/>
        <w:autoSpaceDE/>
        <w:autoSpaceDN/>
        <w:bidi w:val="0"/>
        <w:snapToGrid/>
        <w:spacing w:line="620" w:lineRule="exact"/>
        <w:ind w:left="0" w:leftChars="0" w:firstLine="0" w:firstLineChars="0"/>
        <w:rPr>
          <w:rFonts w:hint="default" w:eastAsia="黑体"/>
          <w:lang w:val="en-US" w:eastAsia="zh-CN"/>
        </w:rPr>
      </w:pPr>
      <w:r>
        <w:rPr>
          <w:rFonts w:hint="eastAsia" w:eastAsia="黑体" w:cs="Times New Roman"/>
          <w:color w:val="auto"/>
          <w:sz w:val="32"/>
          <w:lang w:val="en-US" w:eastAsia="zh-CN"/>
        </w:rPr>
        <w:t>七、调入资金相关情况说明</w:t>
      </w:r>
    </w:p>
    <w:p w14:paraId="66856A2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FF0000"/>
          <w:sz w:val="32"/>
        </w:rPr>
      </w:pPr>
    </w:p>
    <w:p w14:paraId="13F2648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eastAsia="zh-CN"/>
        </w:rPr>
        <w:t>2025年</w:t>
      </w:r>
      <w:r>
        <w:rPr>
          <w:rFonts w:hint="default" w:ascii="Times New Roman" w:hAnsi="Times New Roman" w:eastAsia="黑体" w:cs="Times New Roman"/>
          <w:color w:val="auto"/>
          <w:sz w:val="32"/>
          <w:szCs w:val="32"/>
        </w:rPr>
        <w:t>县级一般公共预算收入决算情况</w:t>
      </w:r>
    </w:p>
    <w:p w14:paraId="53AC5042">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Times New Roman" w:hAnsi="Times New Roman" w:eastAsia="仿宋_GB2312" w:cs="Times New Roman"/>
          <w:kern w:val="0"/>
          <w:sz w:val="32"/>
          <w:szCs w:val="32"/>
          <w:highlight w:val="none"/>
          <w:shd w:val="clear" w:color="auto" w:fill="FFFFFF"/>
          <w:lang w:val="en-US" w:eastAsia="zh-CN"/>
        </w:rPr>
      </w:pPr>
      <w:r>
        <w:rPr>
          <w:rFonts w:hint="default" w:ascii="Times New Roman" w:hAnsi="Times New Roman" w:eastAsia="仿宋_GB2312" w:cs="Times New Roman"/>
          <w:kern w:val="0"/>
          <w:sz w:val="32"/>
          <w:szCs w:val="32"/>
          <w:highlight w:val="none"/>
          <w:shd w:val="clear" w:color="auto" w:fill="FFFFFF"/>
          <w:lang w:val="en-US" w:eastAsia="zh-CN"/>
        </w:rPr>
        <w:t>2025年，寻甸县完成地方财政一般公共预算收入120,432万元，比2024年(115,782万元)增收4,650万元，增长4%，完成年初预算数(120,181万元)的100%，完成预算调整数(120,500万元)的100%。</w:t>
      </w:r>
    </w:p>
    <w:p w14:paraId="1CFDD8F4">
      <w:pPr>
        <w:keepNext w:val="0"/>
        <w:keepLines w:val="0"/>
        <w:pageBreakBefore w:val="0"/>
        <w:widowControl w:val="0"/>
        <w:kinsoku/>
        <w:wordWrap/>
        <w:overflowPunct/>
        <w:autoSpaceDE/>
        <w:autoSpaceDN/>
        <w:bidi w:val="0"/>
        <w:adjustRightInd/>
        <w:snapToGrid/>
        <w:spacing w:line="6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 w:cs="Times New Roman"/>
          <w:color w:val="auto"/>
          <w:sz w:val="32"/>
          <w:szCs w:val="32"/>
          <w:lang w:eastAsia="zh-CN"/>
        </w:rPr>
        <w:t>(一)</w:t>
      </w:r>
      <w:r>
        <w:rPr>
          <w:rFonts w:hint="default" w:ascii="Times New Roman" w:hAnsi="Times New Roman" w:eastAsia="楷体" w:cs="Times New Roman"/>
          <w:color w:val="auto"/>
          <w:sz w:val="32"/>
          <w:szCs w:val="32"/>
        </w:rPr>
        <w:t>税收收入完成情况及增</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减</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收原因</w:t>
      </w:r>
    </w:p>
    <w:p w14:paraId="2452DBCD">
      <w:pPr>
        <w:pStyle w:val="2"/>
        <w:keepNext w:val="0"/>
        <w:keepLines w:val="0"/>
        <w:pageBreakBefore w:val="0"/>
        <w:widowControl w:val="0"/>
        <w:numPr>
          <w:ilvl w:val="0"/>
          <w:numId w:val="0"/>
        </w:numPr>
        <w:kinsoku/>
        <w:wordWrap/>
        <w:overflowPunct/>
        <w:topLinePunct w:val="0"/>
        <w:autoSpaceDE/>
        <w:autoSpaceDN/>
        <w:bidi w:val="0"/>
        <w:snapToGrid/>
        <w:spacing w:after="0" w:line="620" w:lineRule="exact"/>
        <w:ind w:firstLine="640" w:firstLineChars="200"/>
        <w:rPr>
          <w:rFonts w:hint="default" w:ascii="Times New Roman" w:hAnsi="Times New Roman" w:eastAsia="仿宋_GB2312" w:cs="Times New Roman"/>
          <w:kern w:val="0"/>
          <w:sz w:val="32"/>
          <w:szCs w:val="32"/>
          <w:highlight w:val="none"/>
          <w:shd w:val="clear" w:color="auto" w:fill="FFFFFF"/>
          <w:lang w:val="en-US" w:eastAsia="zh-CN"/>
        </w:rPr>
      </w:pPr>
      <w:r>
        <w:rPr>
          <w:rFonts w:hint="default" w:ascii="Times New Roman" w:hAnsi="Times New Roman" w:eastAsia="仿宋_GB2312" w:cs="Times New Roman"/>
          <w:kern w:val="0"/>
          <w:sz w:val="32"/>
          <w:szCs w:val="32"/>
          <w:highlight w:val="none"/>
          <w:shd w:val="clear" w:color="auto" w:fill="FFFFFF"/>
          <w:lang w:val="en-US" w:eastAsia="zh-CN"/>
        </w:rPr>
        <w:t>2025年，寻甸县(区县级)税收收入完成71,693万元，比2024年(66,543万元)增收4,150万元，增长6%，完成年初预算数(84,126万元)的85%，完成预算调整数(71,732万元)的100%。分税种完成情况是：</w:t>
      </w:r>
    </w:p>
    <w:p w14:paraId="63C88002">
      <w:pPr>
        <w:pStyle w:val="2"/>
        <w:keepNext w:val="0"/>
        <w:keepLines w:val="0"/>
        <w:pageBreakBefore w:val="0"/>
        <w:widowControl w:val="0"/>
        <w:numPr>
          <w:ilvl w:val="0"/>
          <w:numId w:val="0"/>
        </w:numPr>
        <w:kinsoku/>
        <w:wordWrap/>
        <w:overflowPunct/>
        <w:topLinePunct w:val="0"/>
        <w:autoSpaceDE/>
        <w:autoSpaceDN/>
        <w:bidi w:val="0"/>
        <w:snapToGrid/>
        <w:spacing w:after="0" w:line="620" w:lineRule="exact"/>
        <w:ind w:firstLine="643"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b/>
          <w:bCs/>
          <w:sz w:val="32"/>
          <w:szCs w:val="32"/>
        </w:rPr>
        <w:t>增值税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24</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481</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增收1,681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增长7.37%</w:t>
      </w:r>
      <w:r>
        <w:rPr>
          <w:rFonts w:hint="default" w:ascii="Times New Roman" w:hAnsi="Times New Roman" w:eastAsia="仿宋" w:cs="Times New Roman"/>
          <w:sz w:val="32"/>
          <w:szCs w:val="32"/>
        </w:rPr>
        <w:t>。</w:t>
      </w:r>
    </w:p>
    <w:p w14:paraId="15B36443">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企业所得税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981</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增收1,018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增长25.69%</w:t>
      </w:r>
      <w:r>
        <w:rPr>
          <w:rFonts w:hint="default" w:ascii="Times New Roman" w:hAnsi="Times New Roman" w:eastAsia="仿宋" w:cs="Times New Roman"/>
          <w:sz w:val="32"/>
          <w:szCs w:val="32"/>
        </w:rPr>
        <w:t>。</w:t>
      </w:r>
    </w:p>
    <w:p w14:paraId="0682553C">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个人所得税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907</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增收175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增长23.91%</w:t>
      </w:r>
      <w:r>
        <w:rPr>
          <w:rFonts w:hint="default" w:ascii="Times New Roman" w:hAnsi="Times New Roman" w:eastAsia="仿宋" w:cs="Times New Roman"/>
          <w:sz w:val="32"/>
          <w:szCs w:val="32"/>
        </w:rPr>
        <w:t>。</w:t>
      </w:r>
    </w:p>
    <w:p w14:paraId="7859286C">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资源税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876</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增收1,767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增长19.4%</w:t>
      </w:r>
      <w:r>
        <w:rPr>
          <w:rFonts w:hint="default" w:ascii="Times New Roman" w:hAnsi="Times New Roman" w:eastAsia="仿宋" w:cs="Times New Roman"/>
          <w:sz w:val="32"/>
          <w:szCs w:val="32"/>
        </w:rPr>
        <w:t>。</w:t>
      </w:r>
    </w:p>
    <w:p w14:paraId="360BB2A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城市维护建设税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258</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增收128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增长6.01%</w:t>
      </w:r>
      <w:r>
        <w:rPr>
          <w:rFonts w:hint="default" w:ascii="Times New Roman" w:hAnsi="Times New Roman" w:eastAsia="仿宋" w:cs="Times New Roman"/>
          <w:sz w:val="32"/>
          <w:szCs w:val="32"/>
        </w:rPr>
        <w:t>。</w:t>
      </w:r>
    </w:p>
    <w:p w14:paraId="09599F5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房产税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215</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增收45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增长3.85%</w:t>
      </w:r>
      <w:r>
        <w:rPr>
          <w:rFonts w:hint="default" w:ascii="Times New Roman" w:hAnsi="Times New Roman" w:eastAsia="仿宋" w:cs="Times New Roman"/>
          <w:sz w:val="32"/>
          <w:szCs w:val="32"/>
        </w:rPr>
        <w:t>。</w:t>
      </w:r>
    </w:p>
    <w:p w14:paraId="42B53B99">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印花税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950</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增收109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增长12.96%</w:t>
      </w:r>
      <w:r>
        <w:rPr>
          <w:rFonts w:hint="default" w:ascii="Times New Roman" w:hAnsi="Times New Roman" w:eastAsia="仿宋" w:cs="Times New Roman"/>
          <w:sz w:val="32"/>
          <w:szCs w:val="32"/>
        </w:rPr>
        <w:t>。</w:t>
      </w:r>
    </w:p>
    <w:p w14:paraId="6CFB4EDF">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城镇土地使用税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978</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减收235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增长-10.62%</w:t>
      </w:r>
      <w:r>
        <w:rPr>
          <w:rFonts w:hint="default" w:ascii="Times New Roman" w:hAnsi="Times New Roman" w:eastAsia="仿宋" w:cs="Times New Roman"/>
          <w:sz w:val="32"/>
          <w:szCs w:val="32"/>
        </w:rPr>
        <w:t>。</w:t>
      </w:r>
    </w:p>
    <w:p w14:paraId="656FB9E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土地增值税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540</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减收1,266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增长-70.1%</w:t>
      </w:r>
      <w:r>
        <w:rPr>
          <w:rFonts w:hint="default" w:ascii="Times New Roman" w:hAnsi="Times New Roman" w:eastAsia="仿宋" w:cs="Times New Roman"/>
          <w:sz w:val="32"/>
          <w:szCs w:val="32"/>
        </w:rPr>
        <w:t>。</w:t>
      </w:r>
    </w:p>
    <w:p w14:paraId="5E579CB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车船税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055</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增长0.48%</w:t>
      </w:r>
      <w:r>
        <w:rPr>
          <w:rFonts w:hint="default" w:ascii="Times New Roman" w:hAnsi="Times New Roman" w:eastAsia="仿宋" w:cs="Times New Roman"/>
          <w:sz w:val="32"/>
          <w:szCs w:val="32"/>
        </w:rPr>
        <w:t>。</w:t>
      </w:r>
    </w:p>
    <w:p w14:paraId="1EBF75D5">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耕地占用税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130</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增收1,000</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增长31.95%</w:t>
      </w:r>
      <w:r>
        <w:rPr>
          <w:rFonts w:hint="default" w:ascii="Times New Roman" w:hAnsi="Times New Roman" w:eastAsia="仿宋" w:cs="Times New Roman"/>
          <w:sz w:val="32"/>
          <w:szCs w:val="32"/>
        </w:rPr>
        <w:t>。</w:t>
      </w:r>
    </w:p>
    <w:p w14:paraId="2FB8A701">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契税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499</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减收285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增长-15.98%</w:t>
      </w:r>
      <w:r>
        <w:rPr>
          <w:rFonts w:hint="default" w:ascii="Times New Roman" w:hAnsi="Times New Roman" w:eastAsia="仿宋" w:cs="Times New Roman"/>
          <w:sz w:val="32"/>
          <w:szCs w:val="32"/>
        </w:rPr>
        <w:t>。</w:t>
      </w:r>
    </w:p>
    <w:p w14:paraId="4EBFCE5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烟叶税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994</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增收55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增长0.35%</w:t>
      </w:r>
      <w:r>
        <w:rPr>
          <w:rFonts w:hint="default" w:ascii="Times New Roman" w:hAnsi="Times New Roman" w:eastAsia="仿宋" w:cs="Times New Roman"/>
          <w:sz w:val="32"/>
          <w:szCs w:val="32"/>
        </w:rPr>
        <w:t>。</w:t>
      </w:r>
    </w:p>
    <w:p w14:paraId="07D7831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环境保护税</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825</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增收87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增长11.79%</w:t>
      </w:r>
      <w:r>
        <w:rPr>
          <w:rFonts w:hint="default" w:ascii="Times New Roman" w:hAnsi="Times New Roman" w:eastAsia="仿宋" w:cs="Times New Roman"/>
          <w:sz w:val="32"/>
          <w:szCs w:val="32"/>
        </w:rPr>
        <w:t>。</w:t>
      </w:r>
    </w:p>
    <w:p w14:paraId="26E4365C">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eastAsia="zh-CN"/>
        </w:rPr>
        <w:t>其他税收收入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减收134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增长-97.1%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的“其他税收收入”是：2025年，已破产清算企业(寻甸瑞麟房地产开发有限公司)处置某项资产，处置净收入清分后补缴以前年度历史欠税(营业税)滞纳金4万元。而2024年的“其他税收收入”是：陕西元辰建设工程有限公司代寻甸瑞麟房地产开发有限公司补缴2014年欠缴营业税138万元。</w:t>
      </w:r>
    </w:p>
    <w:p w14:paraId="0FA7505B">
      <w:pPr>
        <w:keepNext w:val="0"/>
        <w:keepLines w:val="0"/>
        <w:pageBreakBefore w:val="0"/>
        <w:widowControl w:val="0"/>
        <w:kinsoku/>
        <w:wordWrap/>
        <w:overflowPunct/>
        <w:autoSpaceDE/>
        <w:autoSpaceDN/>
        <w:bidi w:val="0"/>
        <w:adjustRightInd/>
        <w:snapToGrid/>
        <w:spacing w:line="620" w:lineRule="exact"/>
        <w:ind w:firstLine="640" w:firstLineChars="200"/>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lang w:eastAsia="zh-CN"/>
        </w:rPr>
        <w:t>(二)</w:t>
      </w:r>
      <w:r>
        <w:rPr>
          <w:rFonts w:hint="default" w:ascii="Times New Roman" w:hAnsi="Times New Roman" w:eastAsia="楷体" w:cs="Times New Roman"/>
          <w:color w:val="auto"/>
          <w:sz w:val="32"/>
          <w:szCs w:val="32"/>
        </w:rPr>
        <w:t>非税收入完成情况及增</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减</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收原因</w:t>
      </w:r>
    </w:p>
    <w:p w14:paraId="538FAB5B">
      <w:pPr>
        <w:pStyle w:val="2"/>
        <w:keepNext w:val="0"/>
        <w:keepLines w:val="0"/>
        <w:pageBreakBefore w:val="0"/>
        <w:widowControl w:val="0"/>
        <w:numPr>
          <w:ilvl w:val="0"/>
          <w:numId w:val="0"/>
        </w:numPr>
        <w:kinsoku/>
        <w:wordWrap/>
        <w:overflowPunct/>
        <w:topLinePunct w:val="0"/>
        <w:autoSpaceDE/>
        <w:autoSpaceDN/>
        <w:bidi w:val="0"/>
        <w:snapToGrid/>
        <w:spacing w:after="0" w:line="620" w:lineRule="exact"/>
        <w:ind w:firstLine="640" w:firstLineChars="200"/>
        <w:rPr>
          <w:rFonts w:hint="default" w:ascii="Times New Roman" w:hAnsi="Times New Roman" w:eastAsia="仿宋_GB2312" w:cs="Times New Roman"/>
          <w:kern w:val="0"/>
          <w:sz w:val="32"/>
          <w:szCs w:val="32"/>
          <w:highlight w:val="none"/>
          <w:shd w:val="clear" w:color="auto" w:fill="FFFFFF"/>
          <w:lang w:val="en-US" w:eastAsia="zh-CN"/>
        </w:rPr>
      </w:pPr>
      <w:r>
        <w:rPr>
          <w:rFonts w:hint="default" w:ascii="Times New Roman" w:hAnsi="Times New Roman" w:eastAsia="仿宋_GB2312" w:cs="Times New Roman"/>
          <w:kern w:val="0"/>
          <w:sz w:val="32"/>
          <w:szCs w:val="32"/>
          <w:highlight w:val="none"/>
          <w:shd w:val="clear" w:color="auto" w:fill="FFFFFF"/>
          <w:lang w:val="en-US" w:eastAsia="zh-CN"/>
        </w:rPr>
        <w:t>2025年，寻甸县(区县级)非税收入完成48,739万元，比2024年(48,239万元)增收500万元，增长1%，完成年初预算数(36,055万元)的135%，完成预算调整数(48,768万元)的100%。2025年，寻甸县非税收入在2024年高基数的基础上实现正增长，主要是依靠一次性非税收入项目缴库拉动。分项目完成情况是：</w:t>
      </w:r>
    </w:p>
    <w:p w14:paraId="574B6F9C">
      <w:pPr>
        <w:pStyle w:val="2"/>
        <w:keepNext w:val="0"/>
        <w:keepLines w:val="0"/>
        <w:pageBreakBefore w:val="0"/>
        <w:widowControl w:val="0"/>
        <w:numPr>
          <w:ilvl w:val="0"/>
          <w:numId w:val="0"/>
        </w:numPr>
        <w:kinsoku/>
        <w:wordWrap/>
        <w:overflowPunct/>
        <w:topLinePunct w:val="0"/>
        <w:autoSpaceDE/>
        <w:autoSpaceDN/>
        <w:bidi w:val="0"/>
        <w:snapToGrid/>
        <w:spacing w:after="0"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专项收入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765</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减收148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增长-5.08%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其中：教育费附加收入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377</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减收3</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增长-0.22%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需要特别说明的是，2025年寻甸县增值税正增长而教育费附加负增长的原因是：民族自治地区教育费附加及地方教育费附加享受减免政策。</w:t>
      </w:r>
    </w:p>
    <w:p w14:paraId="07E03181">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行政事业性收费收入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232</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减收14,849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增长-46.29%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寻甸县行政事业性收费收入大幅下滑的主要原因是：2024年，云南功小高速公路有限公司缴入耕地开垦费入库2.7亿元，属于一次性收入项目，拉高收入基数。2025年县土储中心缴入某地块耕地开垦费7,130万元，属于一次性非税收入项目。</w:t>
      </w:r>
    </w:p>
    <w:p w14:paraId="13129F1B">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罚没收入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738</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增收2,095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增长31.54%</w:t>
      </w:r>
      <w:r>
        <w:rPr>
          <w:rFonts w:hint="default" w:ascii="Times New Roman" w:hAnsi="Times New Roman" w:eastAsia="仿宋" w:cs="Times New Roman"/>
          <w:sz w:val="32"/>
          <w:szCs w:val="32"/>
        </w:rPr>
        <w:t>。</w:t>
      </w:r>
    </w:p>
    <w:p w14:paraId="12E5556B">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国有</w:t>
      </w:r>
      <w:r>
        <w:rPr>
          <w:rFonts w:hint="default" w:ascii="Times New Roman" w:hAnsi="Times New Roman" w:eastAsia="仿宋" w:cs="Times New Roman"/>
          <w:b/>
          <w:bCs/>
          <w:sz w:val="32"/>
          <w:szCs w:val="32"/>
          <w:lang w:val="en-US" w:eastAsia="zh-CN"/>
        </w:rPr>
        <w:t>资本经营收入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663</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增收6,642</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增长31628.57%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2025年寻甸县国有资本经营收入大幅增长的主要原因是：县属国有企业“寻甸城投集团”缴入股息红利收入5,825万元，该企业近年来多年未曾分配企业净利润，2025年分配，属于一次性收入项目。</w:t>
      </w:r>
    </w:p>
    <w:p w14:paraId="0A0F08C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国有资源(资产)有偿使用收入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563</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增收3,886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增长83.09%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寻甸县国有资源(资产)有偿使用收入大幅增长的主要原因是：1.清缴追缴全县各行政事业单位近年来出租出借固定资产(主要是房产)的租金收入1,097万元，属于一次性收入项目；2.清理非税收入专户，对非税收入管理改革前历年滚存积累的非税收入2,800万元缴入国库，属于一次性收入项目。</w:t>
      </w:r>
    </w:p>
    <w:p w14:paraId="09DA8F7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捐赠收入收入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798</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增收2,498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增长832.67%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该项目与捐赠方的捐赠意愿挂钩，属于一次性收入项目。</w:t>
      </w:r>
    </w:p>
    <w:p w14:paraId="15ED1F2F">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政府住房基金收入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126</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减收83</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增长-39.71%</w:t>
      </w:r>
      <w:r>
        <w:rPr>
          <w:rFonts w:hint="default" w:ascii="Times New Roman" w:hAnsi="Times New Roman" w:eastAsia="仿宋" w:cs="Times New Roman"/>
          <w:sz w:val="32"/>
          <w:szCs w:val="32"/>
        </w:rPr>
        <w:t>。</w:t>
      </w:r>
    </w:p>
    <w:p w14:paraId="2550CEB1">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cs="Times New Roman"/>
          <w:lang w:val="en-US" w:eastAsia="zh-CN"/>
        </w:rPr>
      </w:pPr>
      <w:r>
        <w:rPr>
          <w:rFonts w:hint="default" w:ascii="Times New Roman" w:hAnsi="Times New Roman" w:eastAsia="仿宋" w:cs="Times New Roman"/>
          <w:b/>
          <w:bCs/>
          <w:sz w:val="32"/>
          <w:szCs w:val="32"/>
        </w:rPr>
        <w:t>其他收入</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854</w:t>
      </w:r>
      <w:r>
        <w:rPr>
          <w:rFonts w:hint="default" w:ascii="Times New Roman" w:hAnsi="Times New Roman" w:eastAsia="仿宋" w:cs="Times New Roman"/>
          <w:sz w:val="32"/>
          <w:szCs w:val="32"/>
        </w:rPr>
        <w:t>万元，同比</w:t>
      </w:r>
      <w:r>
        <w:rPr>
          <w:rFonts w:hint="default" w:ascii="Times New Roman" w:hAnsi="Times New Roman" w:eastAsia="仿宋" w:cs="Times New Roman"/>
          <w:sz w:val="32"/>
          <w:szCs w:val="32"/>
          <w:lang w:val="en-US" w:eastAsia="zh-CN"/>
        </w:rPr>
        <w:t>增收459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增长32.9%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的“其他收入”是：2025年，寻甸县对非税收入专户进行清理，将非税收入管理改革前缴入非税收入专户中的、历年滚存积累的、因缴库信息缺失或错误形成的不明来历、不明用途、不明科目款项清理后一次性缴入“10399其他收入”科目，属于一次性收入项目。而2024年的“其他收入”是：</w:t>
      </w:r>
      <w:r>
        <w:rPr>
          <w:rFonts w:hint="default" w:ascii="Times New Roman" w:hAnsi="Times New Roman" w:eastAsia="仿宋" w:cs="Times New Roman"/>
          <w:sz w:val="32"/>
          <w:szCs w:val="32"/>
        </w:rPr>
        <w:t>法院判决</w:t>
      </w:r>
      <w:r>
        <w:rPr>
          <w:rFonts w:hint="default" w:ascii="Times New Roman" w:hAnsi="Times New Roman" w:eastAsia="仿宋" w:cs="Times New Roman"/>
          <w:sz w:val="32"/>
          <w:szCs w:val="32"/>
          <w:lang w:val="en-US" w:eastAsia="zh-CN"/>
        </w:rPr>
        <w:t>某</w:t>
      </w:r>
      <w:r>
        <w:rPr>
          <w:rFonts w:hint="default" w:ascii="Times New Roman" w:hAnsi="Times New Roman" w:eastAsia="仿宋" w:cs="Times New Roman"/>
          <w:sz w:val="32"/>
          <w:szCs w:val="32"/>
        </w:rPr>
        <w:t>生态环境损害赔偿</w:t>
      </w:r>
      <w:r>
        <w:rPr>
          <w:rFonts w:hint="default" w:ascii="Times New Roman" w:hAnsi="Times New Roman" w:eastAsia="仿宋" w:cs="Times New Roman"/>
          <w:sz w:val="32"/>
          <w:szCs w:val="32"/>
          <w:lang w:val="en-US" w:eastAsia="zh-CN"/>
        </w:rPr>
        <w:t>案涉案</w:t>
      </w:r>
      <w:r>
        <w:rPr>
          <w:rFonts w:hint="default" w:ascii="Times New Roman" w:hAnsi="Times New Roman" w:eastAsia="仿宋" w:cs="Times New Roman"/>
          <w:sz w:val="32"/>
          <w:szCs w:val="32"/>
        </w:rPr>
        <w:t>资金</w:t>
      </w:r>
      <w:r>
        <w:rPr>
          <w:rFonts w:hint="default" w:ascii="Times New Roman" w:hAnsi="Times New Roman" w:eastAsia="仿宋" w:cs="Times New Roman"/>
          <w:sz w:val="32"/>
          <w:szCs w:val="32"/>
          <w:lang w:val="en-US" w:eastAsia="zh-CN"/>
        </w:rPr>
        <w:t>缴入国库，同样是属于一次性收入项目。</w:t>
      </w:r>
    </w:p>
    <w:p w14:paraId="680775C3">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lang w:eastAsia="zh-CN"/>
        </w:rPr>
        <w:t>2025年</w:t>
      </w:r>
      <w:r>
        <w:rPr>
          <w:rFonts w:hint="default" w:ascii="Times New Roman" w:hAnsi="Times New Roman" w:eastAsia="黑体" w:cs="Times New Roman"/>
          <w:b w:val="0"/>
          <w:bCs w:val="0"/>
          <w:color w:val="auto"/>
          <w:sz w:val="32"/>
          <w:szCs w:val="32"/>
        </w:rPr>
        <w:t>县级一般公共预算支出决算情况</w:t>
      </w:r>
    </w:p>
    <w:p w14:paraId="29B98E70">
      <w:pPr>
        <w:keepNext w:val="0"/>
        <w:keepLines w:val="0"/>
        <w:pageBreakBefore w:val="0"/>
        <w:widowControl w:val="0"/>
        <w:kinsoku/>
        <w:wordWrap/>
        <w:overflowPunct/>
        <w:autoSpaceDE/>
        <w:autoSpaceDN/>
        <w:bidi w:val="0"/>
        <w:adjustRightInd/>
        <w:snapToGrid/>
        <w:spacing w:line="62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寻甸县完成</w:t>
      </w:r>
      <w:r>
        <w:rPr>
          <w:rFonts w:hint="default" w:ascii="Times New Roman" w:hAnsi="Times New Roman" w:eastAsia="仿宋_GB2312" w:cs="Times New Roman"/>
          <w:kern w:val="0"/>
          <w:sz w:val="32"/>
          <w:szCs w:val="32"/>
          <w:highlight w:val="none"/>
        </w:rPr>
        <w:t>地方财政一般公共预算支出</w:t>
      </w:r>
      <w:r>
        <w:rPr>
          <w:rFonts w:hint="default" w:ascii="Times New Roman" w:hAnsi="Times New Roman" w:eastAsia="仿宋_GB2312" w:cs="Times New Roman"/>
          <w:kern w:val="0"/>
          <w:sz w:val="32"/>
          <w:szCs w:val="32"/>
          <w:highlight w:val="none"/>
          <w:lang w:val="en-US" w:eastAsia="zh-CN"/>
        </w:rPr>
        <w:t>386</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888</w:t>
      </w:r>
      <w:r>
        <w:rPr>
          <w:rFonts w:hint="default" w:ascii="Times New Roman" w:hAnsi="Times New Roman" w:eastAsia="仿宋_GB2312" w:cs="Times New Roman"/>
          <w:kern w:val="0"/>
          <w:sz w:val="32"/>
          <w:szCs w:val="32"/>
          <w:highlight w:val="none"/>
        </w:rPr>
        <w:t>万元，比</w:t>
      </w:r>
      <w:r>
        <w:rPr>
          <w:rFonts w:hint="default" w:ascii="Times New Roman" w:hAnsi="Times New Roman" w:eastAsia="仿宋_GB2312" w:cs="Times New Roman"/>
          <w:kern w:val="0"/>
          <w:sz w:val="32"/>
          <w:szCs w:val="32"/>
          <w:highlight w:val="none"/>
          <w:lang w:val="en-US" w:eastAsia="zh-CN"/>
        </w:rPr>
        <w:t>2024</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kern w:val="0"/>
          <w:sz w:val="32"/>
          <w:szCs w:val="32"/>
          <w:highlight w:val="none"/>
          <w:lang w:val="en-US" w:eastAsia="zh-CN"/>
        </w:rPr>
        <w:t>399</w:t>
      </w:r>
      <w:r>
        <w:rPr>
          <w:rFonts w:hint="default" w:ascii="Times New Roman" w:hAnsi="Times New Roman" w:eastAsia="仿宋_GB2312" w:cs="Times New Roman"/>
          <w:kern w:val="0"/>
          <w:sz w:val="32"/>
          <w:szCs w:val="32"/>
          <w:highlight w:val="none"/>
        </w:rPr>
        <w:t>,9</w:t>
      </w:r>
      <w:r>
        <w:rPr>
          <w:rFonts w:hint="default" w:ascii="Times New Roman" w:hAnsi="Times New Roman" w:eastAsia="仿宋_GB2312" w:cs="Times New Roman"/>
          <w:kern w:val="0"/>
          <w:sz w:val="32"/>
          <w:szCs w:val="32"/>
          <w:highlight w:val="none"/>
          <w:lang w:val="en-US" w:eastAsia="zh-CN"/>
        </w:rPr>
        <w:t>60</w:t>
      </w:r>
      <w:r>
        <w:rPr>
          <w:rFonts w:hint="default" w:ascii="Times New Roman" w:hAnsi="Times New Roman" w:eastAsia="仿宋_GB2312" w:cs="Times New Roman"/>
          <w:kern w:val="0"/>
          <w:sz w:val="32"/>
          <w:szCs w:val="32"/>
          <w:highlight w:val="none"/>
        </w:rPr>
        <w:t>万元)减支</w:t>
      </w:r>
      <w:r>
        <w:rPr>
          <w:rFonts w:hint="default" w:ascii="Times New Roman" w:hAnsi="Times New Roman" w:eastAsia="仿宋_GB2312" w:cs="Times New Roman"/>
          <w:kern w:val="0"/>
          <w:sz w:val="32"/>
          <w:szCs w:val="32"/>
          <w:highlight w:val="none"/>
          <w:lang w:val="en-US" w:eastAsia="zh-CN"/>
        </w:rPr>
        <w:t>13</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072</w:t>
      </w:r>
      <w:r>
        <w:rPr>
          <w:rFonts w:hint="default" w:ascii="Times New Roman" w:hAnsi="Times New Roman" w:eastAsia="仿宋_GB2312" w:cs="Times New Roman"/>
          <w:kern w:val="0"/>
          <w:sz w:val="32"/>
          <w:szCs w:val="32"/>
          <w:highlight w:val="none"/>
        </w:rPr>
        <w:t>万元，减少</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shd w:val="clear" w:color="auto" w:fill="FFFFFF"/>
          <w:lang w:val="en-US" w:eastAsia="zh-CN"/>
        </w:rPr>
        <w:t>完成年初预算数(495,156万元)的78%，完成预算调整数(418,995万元)的92%。</w:t>
      </w:r>
      <w:r>
        <w:rPr>
          <w:rFonts w:hint="default" w:ascii="Times New Roman" w:hAnsi="Times New Roman" w:eastAsia="仿宋_GB2312" w:cs="Times New Roman"/>
          <w:kern w:val="0"/>
          <w:sz w:val="32"/>
          <w:szCs w:val="32"/>
          <w:highlight w:val="none"/>
        </w:rPr>
        <w:t>减支的主要原因</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b/>
          <w:bCs/>
          <w:kern w:val="0"/>
          <w:sz w:val="32"/>
          <w:szCs w:val="32"/>
          <w:highlight w:val="none"/>
          <w:lang w:val="en-US" w:eastAsia="zh-CN"/>
        </w:rPr>
        <w:t>一</w:t>
      </w:r>
      <w:r>
        <w:rPr>
          <w:rFonts w:hint="default" w:ascii="Times New Roman" w:hAnsi="Times New Roman" w:eastAsia="仿宋_GB2312" w:cs="Times New Roman"/>
          <w:b/>
          <w:bCs/>
          <w:kern w:val="0"/>
          <w:sz w:val="32"/>
          <w:szCs w:val="32"/>
          <w:highlight w:val="none"/>
        </w:rPr>
        <w:t>是</w:t>
      </w:r>
      <w:r>
        <w:rPr>
          <w:rFonts w:hint="default" w:ascii="Times New Roman" w:hAnsi="Times New Roman" w:eastAsia="仿宋_GB2312" w:cs="Times New Roman"/>
          <w:kern w:val="0"/>
          <w:sz w:val="32"/>
          <w:szCs w:val="32"/>
          <w:highlight w:val="none"/>
        </w:rPr>
        <w:t>由于</w:t>
      </w:r>
      <w:r>
        <w:rPr>
          <w:rFonts w:hint="default" w:ascii="Times New Roman" w:hAnsi="Times New Roman" w:eastAsia="仿宋_GB2312" w:cs="Times New Roman"/>
          <w:kern w:val="0"/>
          <w:sz w:val="32"/>
          <w:szCs w:val="32"/>
          <w:highlight w:val="none"/>
          <w:lang w:eastAsia="zh-CN"/>
        </w:rPr>
        <w:t>库款保障水平长期偏低</w:t>
      </w:r>
      <w:r>
        <w:rPr>
          <w:rFonts w:hint="default" w:ascii="Times New Roman" w:hAnsi="Times New Roman" w:eastAsia="仿宋_GB2312" w:cs="Times New Roman"/>
          <w:kern w:val="0"/>
          <w:sz w:val="32"/>
          <w:szCs w:val="32"/>
          <w:highlight w:val="none"/>
        </w:rPr>
        <w:t>，没有充足的库款可供支付</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b/>
          <w:bCs/>
          <w:kern w:val="0"/>
          <w:sz w:val="32"/>
          <w:szCs w:val="32"/>
          <w:highlight w:val="none"/>
          <w:lang w:val="en-US" w:eastAsia="zh-CN"/>
        </w:rPr>
        <w:t>二是</w:t>
      </w:r>
      <w:r>
        <w:rPr>
          <w:rFonts w:hint="default" w:ascii="Times New Roman" w:hAnsi="Times New Roman" w:eastAsia="仿宋_GB2312" w:cs="Times New Roman"/>
          <w:kern w:val="0"/>
          <w:sz w:val="32"/>
          <w:szCs w:val="32"/>
          <w:highlight w:val="none"/>
          <w:lang w:val="en-US" w:eastAsia="zh-CN"/>
        </w:rPr>
        <w:t>由于上级转移支付补助逐年下滑，对于寻甸这样一个财政自给率多年偏低的财政穷县而言，上级转移支付补助是决定地方财政支出规模的关键性因素；</w:t>
      </w:r>
      <w:r>
        <w:rPr>
          <w:rFonts w:hint="default" w:ascii="Times New Roman" w:hAnsi="Times New Roman" w:eastAsia="仿宋_GB2312" w:cs="Times New Roman"/>
          <w:b/>
          <w:bCs/>
          <w:kern w:val="0"/>
          <w:sz w:val="32"/>
          <w:szCs w:val="32"/>
          <w:highlight w:val="none"/>
          <w:lang w:val="en-US" w:eastAsia="zh-CN"/>
        </w:rPr>
        <w:t>三是</w:t>
      </w:r>
      <w:r>
        <w:rPr>
          <w:rFonts w:hint="default" w:ascii="Times New Roman" w:hAnsi="Times New Roman" w:eastAsia="仿宋_GB2312" w:cs="Times New Roman"/>
          <w:kern w:val="0"/>
          <w:sz w:val="32"/>
          <w:szCs w:val="32"/>
          <w:highlight w:val="none"/>
          <w:lang w:val="en-US" w:eastAsia="zh-CN"/>
        </w:rPr>
        <w:t>落实上级统一的财政增资政策，“保工资”支出的增量远远超过县本级财政收入的增量，刚性收支平衡缺口逐年增大；</w:t>
      </w:r>
      <w:r>
        <w:rPr>
          <w:rFonts w:hint="default" w:ascii="Times New Roman" w:hAnsi="Times New Roman" w:eastAsia="仿宋_GB2312" w:cs="Times New Roman"/>
          <w:b/>
          <w:bCs/>
          <w:kern w:val="0"/>
          <w:sz w:val="32"/>
          <w:szCs w:val="32"/>
          <w:highlight w:val="none"/>
          <w:lang w:val="en-US" w:eastAsia="zh-CN"/>
        </w:rPr>
        <w:t>四是</w:t>
      </w:r>
      <w:r>
        <w:rPr>
          <w:rFonts w:hint="default" w:ascii="Times New Roman" w:hAnsi="Times New Roman" w:eastAsia="仿宋_GB2312" w:cs="Times New Roman"/>
          <w:kern w:val="0"/>
          <w:sz w:val="32"/>
          <w:szCs w:val="32"/>
          <w:highlight w:val="none"/>
          <w:lang w:val="en-US" w:eastAsia="zh-CN"/>
        </w:rPr>
        <w:t>政府债务还本付息支出逐年增加，进一步扩大收支平衡缺口。</w:t>
      </w:r>
      <w:r>
        <w:rPr>
          <w:rFonts w:hint="default" w:ascii="Times New Roman" w:hAnsi="Times New Roman" w:eastAsia="仿宋_GB2312" w:cs="Times New Roman"/>
          <w:b/>
          <w:bCs/>
          <w:kern w:val="0"/>
          <w:sz w:val="32"/>
          <w:szCs w:val="32"/>
          <w:highlight w:val="none"/>
          <w:lang w:val="en-US" w:eastAsia="zh-CN"/>
        </w:rPr>
        <w:t>需要特别说明的是：</w:t>
      </w:r>
      <w:r>
        <w:rPr>
          <w:rFonts w:hint="default" w:ascii="Times New Roman" w:hAnsi="Times New Roman" w:eastAsia="仿宋_GB2312" w:cs="Times New Roman"/>
          <w:kern w:val="0"/>
          <w:sz w:val="32"/>
          <w:szCs w:val="32"/>
          <w:highlight w:val="none"/>
          <w:lang w:val="en-US" w:eastAsia="zh-CN"/>
        </w:rPr>
        <w:t>在2025年1月份，1.寻甸县一次性补发2024年度事业编制人员全年一次性绩效工资6,485万元(该项工资以前年度都是在本年度的12月份发放，2024年12月份因库款不足及收支平衡缺口大未按时发放，拖延到2025年1月份才发放)。2.落实上级财政增资政策，一次性补发2024年7-12月共计6个月增资部分3,170万元。3.落实上级财政增资政策，2025年全年12个月合计增资6,340万元。4.2024年一次性补发2023年7-12月公务员基础性绩效3,000万元而2025年无。上述4项财政工资变动因素综合抵消后，导致寻甸县2025年财政统发工资支出比2024年增支</w:t>
      </w:r>
      <w:r>
        <w:rPr>
          <w:rFonts w:hint="default" w:ascii="Times New Roman" w:hAnsi="Times New Roman" w:eastAsia="仿宋" w:cs="Times New Roman"/>
          <w:kern w:val="2"/>
          <w:sz w:val="32"/>
          <w:szCs w:val="32"/>
          <w:lang w:val="en-US" w:eastAsia="zh-CN" w:bidi="ar-SA"/>
        </w:rPr>
        <w:t>11,408</w:t>
      </w:r>
      <w:r>
        <w:rPr>
          <w:rFonts w:hint="default" w:ascii="Times New Roman" w:hAnsi="Times New Roman" w:eastAsia="仿宋_GB2312" w:cs="Times New Roman"/>
          <w:kern w:val="0"/>
          <w:sz w:val="32"/>
          <w:szCs w:val="32"/>
          <w:highlight w:val="none"/>
          <w:lang w:val="en-US" w:eastAsia="zh-CN"/>
        </w:rPr>
        <w:t>万元。在财政统发工资增支1.1亿元的情况下，2025年地方财政一般公共预算支出反而比2024年减支13</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072</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说明寻甸县2025年除财政工资以外的其他支出保障水平大幅度下滑。此外，</w:t>
      </w:r>
      <w:r>
        <w:rPr>
          <w:rFonts w:hint="default" w:ascii="Times New Roman" w:hAnsi="Times New Roman" w:eastAsia="仿宋" w:cs="Times New Roman"/>
          <w:sz w:val="32"/>
          <w:szCs w:val="32"/>
          <w:lang w:val="en-US" w:eastAsia="zh-CN"/>
        </w:rPr>
        <w:t>2025年寻甸县盘活往年存量资金，统筹使用，2025年地方财政一般公共预算支出冲减支出2,821万元。</w:t>
      </w:r>
    </w:p>
    <w:p w14:paraId="6BA6BA46">
      <w:pPr>
        <w:keepNext w:val="0"/>
        <w:keepLines w:val="0"/>
        <w:pageBreakBefore w:val="0"/>
        <w:widowControl w:val="0"/>
        <w:kinsoku/>
        <w:wordWrap/>
        <w:overflowPunct/>
        <w:autoSpaceDE/>
        <w:autoSpaceDN/>
        <w:bidi w:val="0"/>
        <w:adjustRightInd/>
        <w:snapToGrid/>
        <w:spacing w:line="620" w:lineRule="exact"/>
        <w:ind w:firstLine="640" w:firstLineChars="200"/>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一</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一般公共预算支出按支出功能分类科目</w:t>
      </w:r>
      <w:r>
        <w:rPr>
          <w:rFonts w:hint="default" w:ascii="Times New Roman" w:hAnsi="Times New Roman" w:eastAsia="楷体" w:cs="Times New Roman"/>
          <w:color w:val="auto"/>
          <w:sz w:val="32"/>
          <w:szCs w:val="32"/>
        </w:rPr>
        <w:t>增</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rPr>
        <w:t>减</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支</w:t>
      </w:r>
      <w:r>
        <w:rPr>
          <w:rFonts w:hint="default" w:ascii="Times New Roman" w:hAnsi="Times New Roman" w:eastAsia="楷体" w:cs="Times New Roman"/>
          <w:color w:val="auto"/>
          <w:sz w:val="32"/>
          <w:szCs w:val="32"/>
        </w:rPr>
        <w:t>原因</w:t>
      </w:r>
    </w:p>
    <w:p w14:paraId="6A8E82B7">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一般公共服务支出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41,250</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10,682</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增长34.95%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lang w:eastAsia="zh-CN"/>
        </w:rPr>
        <w:t>支的主要原因是：</w:t>
      </w:r>
      <w:r>
        <w:rPr>
          <w:rFonts w:hint="default" w:ascii="Times New Roman" w:hAnsi="Times New Roman" w:eastAsia="仿宋" w:cs="Times New Roman"/>
          <w:sz w:val="32"/>
          <w:szCs w:val="32"/>
        </w:rPr>
        <w:t>1.根据财政部《2025年政府收支分类科目》，2025年删除2080208项</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2024年该项列支8</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574万元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，转列2013904项</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2025年该项列支9</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320万元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，导致2025年201类同比增支9</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320万元。2.人大事务各种业务工作经费2025年列支500万元，2024年列支358万元，增支142万元。3.政协事务各种业务工作经费2025年列支60万元，2024年列支101万元，减支41万元。4.政府办公事务各种业务工作经费2025年列支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977万元，2024年列支2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673万元，增支304万元。5.发展和改革事务各种业务工作经费2025年列支136万元，2024年列支56万元，增支80万元。6.统计事务各种业务工作经费2025年列支65万元，2024年列支152万元，减支87万元。7.纪检监察事务各种业务工作经费2025年列支76万元，2024年列支187万元，减支111万元。8.商业贸易事务各种业务工作经费2025年列支64万元，2024年列支237万元，减支173万元。9.民族宗教事务各种业务工作经费2025年列支459万元，2024年列支150万元，增支309万元，增支的主要原因是2025年寻甸县承办昆明市第十三届少数民族传统体育运动会县级配套相关资金支出。10.党委办公事务各种业务工作经费2025年列支543万元，2024年列支124万元，增支419万元</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增支的主要原因是2025年列支柯渡丹桂村委会党群服务中心建设项目款60万元、列支县委综治中心文化墙建设项目款56万元、列支县委办深化“安可替代”购买国产电脑列支94万元、列支县委政法委“政法AI小助手”项目款22万元等，2024年无类似支出</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。11.组织工作事务各种业务工作经费2025年列支419万元，2024年列支357万元，增支62万元。12.统战事务各种业务工作经费2025年列支363万元，2024年列支315万元，减支48万元。此外</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因落实上级统一的财政增资政策，及补发2024年7-12月增资部分等原因，201类下属各预算单位“保工资”支出2025年列支25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681万元，2024年列支25</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061万元，增支620万元。</w:t>
      </w:r>
      <w:r>
        <w:rPr>
          <w:rFonts w:hint="default" w:ascii="Times New Roman" w:hAnsi="Times New Roman" w:eastAsia="仿宋" w:cs="Times New Roman"/>
          <w:sz w:val="32"/>
          <w:szCs w:val="32"/>
          <w:lang w:val="en-US" w:eastAsia="zh-CN"/>
        </w:rPr>
        <w:t>2.2025年盘活往年存量资金，统筹使用，2025年本科目冲减支出704万元。</w:t>
      </w:r>
    </w:p>
    <w:p w14:paraId="4A40BAC1">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国防支出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193</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同比增支36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增长22.93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增支的主要原因是：“国防动员”支出2025年列支183万元，2024年列支152万元，增支31万元。</w:t>
      </w:r>
    </w:p>
    <w:p w14:paraId="00DCFD2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b/>
          <w:bCs/>
          <w:sz w:val="32"/>
          <w:szCs w:val="32"/>
        </w:rPr>
        <w:t>公共安全支出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16,086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1,148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增长-6.66</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：1.公安系统各种业务工作经费2025年列支2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814万元，2024年列支3</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758万元，减支944万元</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减支的主要原因是2024年列支县看守所县拘留所建设项目资金2</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000万元，2025年无；2025年列支县看守所县拘留所“指挥监管”、“智慧磐石”信息化项目资金246万元，2024年无</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。2.县级补助法检“两院各种业务工作经费2025年列支309万元，2024年列支193万元，增支116万元。3.因落实增资政策及因公安系统2025年目标绩效考核等次较2024年下降(一等奖</w:t>
      </w:r>
      <w:r>
        <w:rPr>
          <w:rFonts w:hint="default" w:ascii="Times New Roman" w:hAnsi="Times New Roman" w:eastAsia="仿宋" w:cs="Times New Roman"/>
          <w:sz w:val="32"/>
          <w:szCs w:val="32"/>
          <w:lang w:val="en-US" w:eastAsia="zh-CN"/>
        </w:rPr>
        <w:t>单位</w:t>
      </w:r>
      <w:r>
        <w:rPr>
          <w:rFonts w:hint="default" w:ascii="Times New Roman" w:hAnsi="Times New Roman" w:eastAsia="仿宋" w:cs="Times New Roman"/>
          <w:sz w:val="32"/>
          <w:szCs w:val="32"/>
          <w:lang w:eastAsia="zh-CN"/>
        </w:rPr>
        <w:t>降为三等奖</w:t>
      </w:r>
      <w:r>
        <w:rPr>
          <w:rFonts w:hint="default" w:ascii="Times New Roman" w:hAnsi="Times New Roman" w:eastAsia="仿宋" w:cs="Times New Roman"/>
          <w:sz w:val="32"/>
          <w:szCs w:val="32"/>
          <w:lang w:val="en-US" w:eastAsia="zh-CN"/>
        </w:rPr>
        <w:t>单位</w:t>
      </w:r>
      <w:r>
        <w:rPr>
          <w:rFonts w:hint="default" w:ascii="Times New Roman" w:hAnsi="Times New Roman" w:eastAsia="仿宋" w:cs="Times New Roman"/>
          <w:sz w:val="32"/>
          <w:szCs w:val="32"/>
          <w:lang w:eastAsia="zh-CN"/>
        </w:rPr>
        <w:t>)导致目标绩效奖励资金下降(公安</w:t>
      </w:r>
      <w:r>
        <w:rPr>
          <w:rFonts w:hint="default" w:ascii="Times New Roman" w:hAnsi="Times New Roman" w:eastAsia="仿宋" w:cs="Times New Roman"/>
          <w:sz w:val="32"/>
          <w:szCs w:val="32"/>
          <w:lang w:val="en-US" w:eastAsia="zh-CN"/>
        </w:rPr>
        <w:t>系统</w:t>
      </w:r>
      <w:r>
        <w:rPr>
          <w:rFonts w:hint="default" w:ascii="Times New Roman" w:hAnsi="Times New Roman" w:eastAsia="仿宋" w:cs="Times New Roman"/>
          <w:sz w:val="32"/>
          <w:szCs w:val="32"/>
          <w:lang w:eastAsia="zh-CN"/>
        </w:rPr>
        <w:t>在职在编人数较多，绩效奖总额下降较大)等原因，2025年公安系统“保工资”支出列支11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126万元，2024年列支11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601万元，减支475万元。</w:t>
      </w:r>
    </w:p>
    <w:p w14:paraId="6BFBE031">
      <w:pPr>
        <w:keepNext w:val="0"/>
        <w:keepLines w:val="0"/>
        <w:pageBreakBefore w:val="0"/>
        <w:widowControl w:val="0"/>
        <w:kinsoku/>
        <w:wordWrap/>
        <w:overflowPunct/>
        <w:topLinePunct w:val="0"/>
        <w:autoSpaceDE/>
        <w:autoSpaceDN/>
        <w:bidi w:val="0"/>
        <w:adjustRightInd/>
        <w:snapToGrid/>
        <w:spacing w:line="620" w:lineRule="exact"/>
        <w:ind w:firstLine="643"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eastAsia="zh-CN"/>
        </w:rPr>
        <w:t>教育支出</w:t>
      </w:r>
      <w:r>
        <w:rPr>
          <w:rFonts w:hint="default" w:ascii="Times New Roman" w:hAnsi="Times New Roman" w:eastAsia="仿宋" w:cs="Times New Roman"/>
          <w:sz w:val="32"/>
          <w:szCs w:val="32"/>
          <w:lang w:eastAsia="zh-CN"/>
        </w:rPr>
        <w:t>完成</w:t>
      </w:r>
      <w:r>
        <w:rPr>
          <w:rFonts w:hint="default" w:ascii="Times New Roman" w:hAnsi="Times New Roman" w:eastAsia="仿宋" w:cs="Times New Roman"/>
          <w:sz w:val="32"/>
          <w:szCs w:val="32"/>
          <w:lang w:val="en-US" w:eastAsia="zh-CN"/>
        </w:rPr>
        <w:t>101,502</w:t>
      </w:r>
      <w:r>
        <w:rPr>
          <w:rFonts w:hint="default" w:ascii="Times New Roman" w:hAnsi="Times New Roman" w:eastAsia="仿宋" w:cs="Times New Roman"/>
          <w:sz w:val="32"/>
          <w:szCs w:val="32"/>
          <w:lang w:eastAsia="zh-CN"/>
        </w:rPr>
        <w:t>万元，</w:t>
      </w:r>
      <w:r>
        <w:rPr>
          <w:rFonts w:hint="default" w:ascii="Times New Roman" w:hAnsi="Times New Roman" w:eastAsia="仿宋" w:cs="Times New Roman"/>
          <w:sz w:val="32"/>
          <w:szCs w:val="32"/>
          <w:lang w:val="en-US" w:eastAsia="zh-CN"/>
        </w:rPr>
        <w:t>同比增</w:t>
      </w:r>
      <w:r>
        <w:rPr>
          <w:rFonts w:hint="default" w:ascii="Times New Roman" w:hAnsi="Times New Roman" w:eastAsia="仿宋" w:cs="Times New Roman"/>
          <w:sz w:val="32"/>
          <w:szCs w:val="32"/>
          <w:lang w:eastAsia="zh-CN"/>
        </w:rPr>
        <w:t>支</w:t>
      </w:r>
      <w:r>
        <w:rPr>
          <w:rFonts w:hint="default" w:ascii="Times New Roman" w:hAnsi="Times New Roman" w:eastAsia="仿宋" w:cs="Times New Roman"/>
          <w:sz w:val="32"/>
          <w:szCs w:val="32"/>
          <w:lang w:val="en-US" w:eastAsia="zh-CN"/>
        </w:rPr>
        <w:t>116</w:t>
      </w:r>
      <w:r>
        <w:rPr>
          <w:rFonts w:hint="default" w:ascii="Times New Roman" w:hAnsi="Times New Roman" w:eastAsia="仿宋" w:cs="Times New Roman"/>
          <w:sz w:val="32"/>
          <w:szCs w:val="32"/>
          <w:lang w:eastAsia="zh-CN"/>
        </w:rPr>
        <w:t>万元，</w:t>
      </w:r>
      <w:r>
        <w:rPr>
          <w:rFonts w:hint="default" w:ascii="Times New Roman" w:hAnsi="Times New Roman" w:eastAsia="仿宋" w:cs="Times New Roman"/>
          <w:sz w:val="32"/>
          <w:szCs w:val="32"/>
          <w:lang w:val="en-US" w:eastAsia="zh-CN"/>
        </w:rPr>
        <w:t>增长0.11</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无特殊大额变化。</w:t>
      </w:r>
    </w:p>
    <w:p w14:paraId="2ECF9CC9">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cs="Times New Roman"/>
          <w:sz w:val="32"/>
          <w:szCs w:val="32"/>
          <w:lang w:val="en-US" w:eastAsia="zh-CN"/>
        </w:rPr>
      </w:pPr>
      <w:r>
        <w:rPr>
          <w:rFonts w:hint="default" w:ascii="Times New Roman" w:hAnsi="Times New Roman" w:eastAsia="仿宋" w:cs="Times New Roman"/>
          <w:b/>
          <w:bCs/>
          <w:sz w:val="32"/>
          <w:szCs w:val="32"/>
        </w:rPr>
        <w:t>科学技术支出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284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同比增支166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增长140.68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1.2025年列支库森农业寻甸天生科技创新示范村创建项目资金70万元，2024年无，导致“20604技术研究与开发支出”增支；2.2025年组织各种科普活动列支“2060702科普活动”支出86万元(主要是承办昆明市第三届青少年科技创新大赛)，2024年列支7万元，增支79万元。</w:t>
      </w:r>
    </w:p>
    <w:p w14:paraId="2FEE6288">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文化体育与传媒支出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3,341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w:t>
      </w:r>
      <w:r>
        <w:rPr>
          <w:rFonts w:hint="default" w:ascii="Times New Roman" w:hAnsi="Times New Roman" w:eastAsia="仿宋" w:cs="Times New Roman"/>
          <w:sz w:val="32"/>
          <w:szCs w:val="32"/>
          <w:lang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454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增长-11.98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w:t>
      </w:r>
      <w:r>
        <w:rPr>
          <w:rFonts w:hint="default" w:ascii="Times New Roman" w:hAnsi="Times New Roman" w:eastAsia="仿宋" w:cs="Times New Roman"/>
          <w:sz w:val="32"/>
          <w:szCs w:val="32"/>
          <w:lang w:val="en-US" w:eastAsia="zh-CN"/>
        </w:rPr>
        <w:t>：1.文化和旅游减支768万元(具体是：2024年列支以前年度逸岛公寓疫情防控隔离点改造项目欠款213万元，列支国家长征文化公园寻甸段标识牌施工项目工程欠款96万元，列支县文化馆县图书馆“两馆”公共服务能力提升项目资金108万元，列支“红色干部学院”综合楼公寓楼室内装修安装室外附属绿化等工程项目尾款366万元，2025年无上述项目支出)。2.体育支出增支67万元(2025年列支“昆明市第十三届少数民族传统体育运动会”相关支出69万元，2024年无)。3.此外：2025年列支文物保护相关业务经费122万元，2024年列支59万元，增支63万元；2025年列支“广播电视节目无线覆盖(数字/模拟)运行维护专项资金”218万元，2024年同期列支43万元，同比增支175万元。</w:t>
      </w:r>
    </w:p>
    <w:p w14:paraId="4B5B789B">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社会保障和就业支出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64,256万</w:t>
      </w:r>
      <w:r>
        <w:rPr>
          <w:rFonts w:hint="default" w:ascii="Times New Roman" w:hAnsi="Times New Roman" w:eastAsia="仿宋" w:cs="Times New Roman"/>
          <w:sz w:val="32"/>
          <w:szCs w:val="32"/>
        </w:rPr>
        <w:t>元，</w:t>
      </w:r>
      <w:r>
        <w:rPr>
          <w:rFonts w:hint="default" w:ascii="Times New Roman" w:hAnsi="Times New Roman" w:eastAsia="仿宋" w:cs="Times New Roman"/>
          <w:sz w:val="32"/>
          <w:szCs w:val="32"/>
          <w:lang w:val="en-US" w:eastAsia="zh-CN"/>
        </w:rPr>
        <w:t>同比减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5,229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增长-7.53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lang w:eastAsia="zh-CN"/>
        </w:rPr>
        <w:t>主要</w:t>
      </w:r>
      <w:r>
        <w:rPr>
          <w:rFonts w:hint="default" w:ascii="Times New Roman" w:hAnsi="Times New Roman" w:eastAsia="仿宋" w:cs="Times New Roman"/>
          <w:sz w:val="32"/>
          <w:szCs w:val="32"/>
        </w:rPr>
        <w:t>原因是</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1.行政事业养老支出减支1,226万元(“2080507对机关事业单位养老保险基金的补助”，2025年列支1,300万元，2024年列支2,541万元，减支1,241万元；机关事业单位养老保险缴费及职业年金缴费2025列支年21,139万元，2024年列支21,574万元，减支435万元；机关事业单位统筹外养老金2025年列支9,122万元，2024年列支9,334万元，减支212万元；企业离休人员生活补助、春节重阳节看完慰问离退休老干部、“8.13”生活补贴、已故企业离休干部无固定收入配偶生活补贴等其他行政事业单位养老支出2025年列支132万元，2024年列支573，减支441万元)。2.就业补助增支1,022万元(2025年列支职业培训补贴72万元，2024年无；2025年列支就业见习补贴541万元，2024年列支149万元，增支392万元；2025年列支中央就业补助资金1,307万元，2024年列支1,068万元，增支239万元；2025年列支职业技能培训资金306万元，2024年列支262万元，增支44万元；2025年列支一卡通.乡村公岗、一卡通.就业补贴等572万元，2024年列支151万元，增支421万元)。3.此外：根据财政部《2025年政府收支分类科目》，2025年删除2080208项(2024年该项列支8,574万元)，转列2013904项(2025年该项列支9,320万元)，导致2025年208类同比减支8,574万元；人力资源和社会保障事业支出2025年列支1,346万元，2024年列支1,191万元，增支155万元；民政事业支出2025年列支282万元，2024年列支184万元，增支98万元；“20808抚恤”科目伤残死亡抚恤、复原退伍军人补助等抚恤事业支出2025年列支6,141万元，2024年列支4,746万元，增支1395元；残疾人事业支出2025年列支2,979万元，2024年列支2,442万元，增支537万元；城乡居民最低生活保障支出2025年列支13,234万元，2024年列支11,506万元，增支1,728万元；临时救助支出2025年列支180万元，2024年列支786万元，减支606万元；退役军人事务管理支出2025年列支449万元，2024年列支269万元，增支180万元。</w:t>
      </w:r>
    </w:p>
    <w:p w14:paraId="20534432">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卫生健康</w:t>
      </w:r>
      <w:r>
        <w:rPr>
          <w:rFonts w:hint="default" w:ascii="Times New Roman" w:hAnsi="Times New Roman" w:eastAsia="仿宋" w:cs="Times New Roman"/>
          <w:b/>
          <w:bCs/>
          <w:sz w:val="32"/>
          <w:szCs w:val="32"/>
        </w:rPr>
        <w:t>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41,600</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同比增支8,978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增长27.52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1.公共卫生增支2,200万元(疾病预防控制事业支出2025年列支1,040万元，2024年列支716万元，增支324万元；医疗卫生监督监管事业支出2025年列支177万元，2024年列支350万元，增支减支179万元；妇幼保健事业支出2025年列支676万元，2024年列支574万元，增支102万元；突发公共卫生事件应急处置事业支出2024年列支307万元(主要是补发“新冠”疫情期间医务人员临时补助)，2025年无；2024年因县级财力吃紧及库款紧张等原因，将“2100408基本公共卫生服务”科目2,605万元支出结转到2025年支出，导致2025年该科目支出4,178万元，2024年该科目支出1,910万元，增支2,268万元)。2.县一院、二院、县中医院等几家县级公立医疗机构事业支出2025年列支2,641万元，2024年列支2,384万元，增支257元；16家乡镇卫生院事业支出2025年列支8,018万元，2024年列支7,235万元，增支783元；计划生育事业支出2025年列支842万元，2024年列支1,239万元，减支397元；2025年列支“一卡通-育儿补助-2025-3600元/年育儿补贴”5,524万元，2024年无。</w:t>
      </w:r>
    </w:p>
    <w:p w14:paraId="484E708C">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节能环保支出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11,166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同比增支7,428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增长198.72</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1.污染防治增支3,753万元(2025年列支“牛栏江水环境治理”工程款等项目支出4,949万元，2024年列支“原两区污水处理厂收购款”等项目支出1,020万元，导致“2110302水体污染防治”科目增支3,929万元；2024年列支汇龙湿地公园改造项目款171万元，2025年无。)2.此外：2025年列支清水海水源保护区管护资金、“一卡通-生态护林”等项目支出5,215万元，2024年列支2,402万元，导致“21104自然生态保护”科目增支2,813万元；2025年列支“一卡通-停伐管护”、公益林管护、国有林管护等项目支出741万元，2024年列支18万元，导致“21104自然生态保护”科目增支723万元；2025年列支能源保供引导资金、煤电保供资金等211万元，2024年列支22万元，导致“2111407能源行业管理”科目增支189万元。</w:t>
      </w:r>
    </w:p>
    <w:p w14:paraId="7BE2B7E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城乡社区支出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7,465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47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增长0.63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2025年盘活往年存量资金，统筹使用，2025年本科目冲减支出367万元。</w:t>
      </w:r>
    </w:p>
    <w:p w14:paraId="1301E26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农林水支出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64,816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同比减支32,117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增长-33.13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支的主要原因是：1.巩固脱贫衔接乡村振兴支出减支6,681万元(每年纳入衔接资金统筹整合管理的项目范围和资金规模都不一样，今年有的项目去年不一定有，明年也不一定会还有，例如：2025年1,000万元以上项目有1个，2024年一个都没有；2025年100-1,000万元的项目有46个，2024年有88个等等，因此，不同年度之间不具有可比性。2025年虽然21305款同比减支6,681万元，但支出进度达到97.18%，2024年支出进度为97.68%，相差不大。)2.此外：2025年县农业农村局各种农业项目类支出列支24,861万元，2024年列支41,274万元，减支16,413万元；2025年县林草局各种林业草原项目类支出列支1,103万元，2024年列支5,023万元，减支3920万元；2025年县水务局各种水利工程项目类支出列支4,674万元，2024年列支8,401万元，减支3,727万元；2025年农村综合改革类项目支出列支1,179万元，2024年列支724万元，增支455万元；2025年农业保险等普惠金融类项目支出列支1,375万元，2024年列支4,367万元，减支2,992万元。2025年盘活往年存量资金，统筹使用，2025年本科目冲减支出672万元。</w:t>
      </w:r>
    </w:p>
    <w:p w14:paraId="7F4719B8">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cs="Times New Roman"/>
          <w:sz w:val="32"/>
          <w:szCs w:val="32"/>
          <w:lang w:val="en-US" w:eastAsia="zh-CN"/>
        </w:rPr>
      </w:pPr>
      <w:r>
        <w:rPr>
          <w:rFonts w:hint="default" w:ascii="Times New Roman" w:hAnsi="Times New Roman" w:eastAsia="仿宋" w:cs="Times New Roman"/>
          <w:b/>
          <w:bCs/>
          <w:sz w:val="32"/>
          <w:szCs w:val="32"/>
        </w:rPr>
        <w:t>交通运输支出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10,958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1,617</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增长17.31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的主要</w:t>
      </w:r>
      <w:r>
        <w:rPr>
          <w:rFonts w:hint="default" w:ascii="Times New Roman" w:hAnsi="Times New Roman" w:eastAsia="仿宋" w:cs="Times New Roman"/>
          <w:sz w:val="32"/>
          <w:szCs w:val="32"/>
        </w:rPr>
        <w:t>原因</w:t>
      </w:r>
      <w:r>
        <w:rPr>
          <w:rFonts w:hint="default" w:ascii="Times New Roman" w:hAnsi="Times New Roman" w:eastAsia="仿宋" w:cs="Times New Roman"/>
          <w:sz w:val="32"/>
          <w:szCs w:val="32"/>
          <w:lang w:eastAsia="zh-CN"/>
        </w:rPr>
        <w:t>是：</w:t>
      </w:r>
      <w:r>
        <w:rPr>
          <w:rFonts w:hint="default" w:ascii="Times New Roman" w:hAnsi="Times New Roman" w:eastAsia="仿宋" w:cs="Times New Roman"/>
          <w:sz w:val="32"/>
          <w:szCs w:val="32"/>
          <w:lang w:val="en-US" w:eastAsia="zh-CN"/>
        </w:rPr>
        <w:t>2025年列支“渝昆高铁寻甸三岔河站”站前广场建设专项资金2,900万元，2024年无。2025年列支县乡公路建设及管护相关支出7,049万元，2024年列支8,530万元，减支1,481万元。2025年列支“农村客运补贴资金和城市交通发展奖励资金”460万元，2024年无。县交通运输局2025年“保工资”支出列支673万元，2024年列支368万元，增支305万元。公交运营补贴2025年列支484万元，2024年列支443万元，增支41万元。此外，盘活往年存量资金，统筹使用，2025年该科目冲减支出709万元。</w:t>
      </w:r>
    </w:p>
    <w:p w14:paraId="7449E15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资源勘探信息等支出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448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同比减支1,296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增长-74.31</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：2025年列支“规模以上工业企业培育奖励资金”、“煤电保供”等支出381万元，2024年列支1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460万元，导致“2150517产业发展”科目减支1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079万元。2025年列支中小企业发展专项资金64万元，2024年列支284万元，减支220万元。</w:t>
      </w:r>
    </w:p>
    <w:p w14:paraId="509B728D">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商业服务业</w:t>
      </w:r>
      <w:r>
        <w:rPr>
          <w:rFonts w:hint="default" w:ascii="Times New Roman" w:hAnsi="Times New Roman" w:eastAsia="仿宋" w:cs="Times New Roman"/>
          <w:b/>
          <w:bCs/>
          <w:sz w:val="32"/>
          <w:szCs w:val="32"/>
        </w:rPr>
        <w:t>等支出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465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与2024年持平。</w:t>
      </w:r>
    </w:p>
    <w:p w14:paraId="7CD91523">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b/>
          <w:bCs/>
          <w:kern w:val="2"/>
          <w:sz w:val="32"/>
          <w:szCs w:val="32"/>
          <w:lang w:val="en-US" w:eastAsia="zh-CN" w:bidi="ar-SA"/>
        </w:rPr>
        <w:t>国土海洋气象等支出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2,535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w:t>
      </w:r>
      <w:r>
        <w:rPr>
          <w:rFonts w:hint="default" w:ascii="Times New Roman" w:hAnsi="Times New Roman" w:eastAsia="仿宋" w:cs="Times New Roman"/>
          <w:sz w:val="32"/>
          <w:szCs w:val="32"/>
          <w:lang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1,449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增长-36.37</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减</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：2024年</w:t>
      </w:r>
      <w:r>
        <w:rPr>
          <w:rFonts w:hint="default" w:ascii="Times New Roman" w:hAnsi="Times New Roman" w:eastAsia="仿宋" w:cs="Times New Roman"/>
          <w:sz w:val="32"/>
          <w:szCs w:val="32"/>
          <w:lang w:val="en-US" w:eastAsia="zh-CN"/>
        </w:rPr>
        <w:t>列支</w:t>
      </w:r>
      <w:r>
        <w:rPr>
          <w:rFonts w:hint="default" w:ascii="Times New Roman" w:hAnsi="Times New Roman" w:eastAsia="仿宋" w:cs="Times New Roman"/>
          <w:sz w:val="32"/>
          <w:szCs w:val="32"/>
          <w:lang w:eastAsia="zh-CN"/>
        </w:rPr>
        <w:t>“失地农民保障金”1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663万元，2025年无。</w:t>
      </w:r>
    </w:p>
    <w:p w14:paraId="4C7435EA">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b/>
          <w:bCs/>
          <w:sz w:val="32"/>
          <w:szCs w:val="32"/>
        </w:rPr>
        <w:t>住房保障支出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14,921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948</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增长6.78</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rPr>
        <w:t>主要原因是</w:t>
      </w:r>
      <w:r>
        <w:rPr>
          <w:rFonts w:hint="default" w:ascii="Times New Roman" w:hAnsi="Times New Roman" w:eastAsia="仿宋" w:cs="Times New Roman"/>
          <w:sz w:val="32"/>
          <w:szCs w:val="32"/>
          <w:lang w:eastAsia="zh-CN"/>
        </w:rPr>
        <w:t>：住房公积金缴费支出2025年14</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771万元，2024年13</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723万元，增支1</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048万元。农村危房改造支出2025年列支64万元，2024年列支222万元，减支158万元。</w:t>
      </w:r>
    </w:p>
    <w:p w14:paraId="583EECFE">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rPr>
        <w:t>粮油物资储备支出</w:t>
      </w:r>
      <w:r>
        <w:rPr>
          <w:rFonts w:hint="default" w:ascii="Times New Roman" w:hAnsi="Times New Roman" w:eastAsia="仿宋" w:cs="Times New Roman"/>
          <w:sz w:val="32"/>
          <w:szCs w:val="32"/>
        </w:rPr>
        <w:t>完成</w:t>
      </w:r>
      <w:r>
        <w:rPr>
          <w:rFonts w:hint="default" w:ascii="Times New Roman" w:hAnsi="Times New Roman" w:eastAsia="仿宋" w:cs="Times New Roman"/>
          <w:sz w:val="32"/>
          <w:szCs w:val="32"/>
          <w:lang w:val="en-US" w:eastAsia="zh-CN"/>
        </w:rPr>
        <w:t>816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同比</w:t>
      </w:r>
      <w:r>
        <w:rPr>
          <w:rFonts w:hint="default" w:ascii="Times New Roman" w:hAnsi="Times New Roman" w:eastAsia="仿宋" w:cs="Times New Roman"/>
          <w:sz w:val="32"/>
          <w:szCs w:val="32"/>
          <w:lang w:eastAsia="zh-CN"/>
        </w:rPr>
        <w:t>增</w:t>
      </w:r>
      <w:r>
        <w:rPr>
          <w:rFonts w:hint="default" w:ascii="Times New Roman" w:hAnsi="Times New Roman" w:eastAsia="仿宋" w:cs="Times New Roman"/>
          <w:sz w:val="32"/>
          <w:szCs w:val="32"/>
        </w:rPr>
        <w:t>支</w:t>
      </w:r>
      <w:r>
        <w:rPr>
          <w:rFonts w:hint="default" w:ascii="Times New Roman" w:hAnsi="Times New Roman" w:eastAsia="仿宋" w:cs="Times New Roman"/>
          <w:sz w:val="32"/>
          <w:szCs w:val="32"/>
          <w:lang w:val="en-US" w:eastAsia="zh-CN"/>
        </w:rPr>
        <w:t>331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增长</w:t>
      </w:r>
      <w:r>
        <w:rPr>
          <w:rFonts w:hint="default" w:ascii="Times New Roman" w:hAnsi="Times New Roman" w:eastAsia="仿宋" w:cs="Times New Roman"/>
          <w:sz w:val="32"/>
          <w:szCs w:val="32"/>
          <w:lang w:val="en-US" w:eastAsia="zh-CN"/>
        </w:rPr>
        <w:t>68.25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增支的主要原因是：2025年粮食风险基金县级配套490万元，市级配套316万元，合计806万元；2024年粮食风险基金县级配套416万元，市级配套无。</w:t>
      </w:r>
    </w:p>
    <w:p w14:paraId="2CD2ECE3">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eastAsia="zh-CN"/>
        </w:rPr>
        <w:t>灾害防治及应急管理支出</w:t>
      </w:r>
      <w:r>
        <w:rPr>
          <w:rFonts w:hint="default" w:ascii="Times New Roman" w:hAnsi="Times New Roman" w:eastAsia="仿宋" w:cs="Times New Roman"/>
          <w:sz w:val="32"/>
          <w:szCs w:val="32"/>
          <w:lang w:eastAsia="zh-CN"/>
        </w:rPr>
        <w:t>完成</w:t>
      </w:r>
      <w:r>
        <w:rPr>
          <w:rFonts w:hint="default" w:ascii="Times New Roman" w:hAnsi="Times New Roman" w:eastAsia="仿宋" w:cs="Times New Roman"/>
          <w:sz w:val="32"/>
          <w:szCs w:val="32"/>
          <w:lang w:val="en-US" w:eastAsia="zh-CN"/>
        </w:rPr>
        <w:t>2,596万元，同比减支1,642万元，增长-38.74%。减支的主要原因是：2024年列支先锋镇姚家村煤矿“煤矿重大灾害风险防控项目补助资金”520万元，2025年无。2025年列支“地质灾害防治”专项资金454万元，2024年列支2,135万元，减支1,681万元。2025年列支“地质灾害救灾及恢复重建”专项资金990万元，2024年列支528万元，增支462万元。2025年列支“应急事务管理”资金624万元，2024年列支572万元，增支52万元。</w:t>
      </w:r>
    </w:p>
    <w:p w14:paraId="509B71F3">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一般债务付息支出</w:t>
      </w:r>
      <w:r>
        <w:rPr>
          <w:rFonts w:hint="default" w:ascii="Times New Roman" w:hAnsi="Times New Roman" w:eastAsia="仿宋" w:cs="Times New Roman"/>
          <w:b w:val="0"/>
          <w:bCs w:val="0"/>
          <w:sz w:val="32"/>
          <w:szCs w:val="32"/>
          <w:lang w:val="en-US" w:eastAsia="zh-CN"/>
        </w:rPr>
        <w:t>完成</w:t>
      </w:r>
      <w:r>
        <w:rPr>
          <w:rFonts w:hint="default" w:ascii="Times New Roman" w:hAnsi="Times New Roman" w:eastAsia="仿宋" w:cs="Times New Roman"/>
          <w:sz w:val="32"/>
          <w:szCs w:val="32"/>
          <w:lang w:val="en-US" w:eastAsia="zh-CN"/>
        </w:rPr>
        <w:t>2,174万元，同比减支98万元，增长-4.31%。债务付息情况由债务规模、债务结构、还本付息约定等合同条款决定，无特殊异常变动。</w:t>
      </w:r>
    </w:p>
    <w:p w14:paraId="5EF4D682">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一般债务发行费用支出</w:t>
      </w:r>
      <w:r>
        <w:rPr>
          <w:rFonts w:hint="default" w:ascii="Times New Roman" w:hAnsi="Times New Roman" w:eastAsia="仿宋" w:cs="Times New Roman"/>
          <w:b w:val="0"/>
          <w:bCs w:val="0"/>
          <w:sz w:val="32"/>
          <w:szCs w:val="32"/>
          <w:lang w:val="en-US" w:eastAsia="zh-CN"/>
        </w:rPr>
        <w:t>完</w:t>
      </w:r>
      <w:r>
        <w:rPr>
          <w:rFonts w:hint="default" w:ascii="Times New Roman" w:hAnsi="Times New Roman" w:eastAsia="仿宋" w:cs="Times New Roman"/>
          <w:sz w:val="32"/>
          <w:szCs w:val="32"/>
          <w:lang w:val="en-US" w:eastAsia="zh-CN"/>
        </w:rPr>
        <w:t>成16万元，同比增支4万元，增长300%。正常支出，无特殊变动。</w:t>
      </w:r>
    </w:p>
    <w:p w14:paraId="1C9FFCE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楷体" w:cs="Times New Roman"/>
          <w:color w:val="auto"/>
          <w:sz w:val="32"/>
          <w:szCs w:val="32"/>
          <w:lang w:eastAsia="zh-CN"/>
        </w:rPr>
      </w:pP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二</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一般公共预算支出按经济分类科目分析</w:t>
      </w:r>
    </w:p>
    <w:p w14:paraId="61C239C0">
      <w:pPr>
        <w:pStyle w:val="2"/>
        <w:keepNext w:val="0"/>
        <w:keepLines w:val="0"/>
        <w:pageBreakBefore w:val="0"/>
        <w:widowControl w:val="0"/>
        <w:kinsoku/>
        <w:wordWrap/>
        <w:overflowPunct/>
        <w:autoSpaceDE/>
        <w:autoSpaceDN/>
        <w:bidi w:val="0"/>
        <w:snapToGrid/>
        <w:spacing w:line="62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从一般公共预算支出经济分类情况看，2025年基本支出233,591万元，比2024年(217,544万元)增支16,047万元，增长7.38%；占一般公共预算支出的比重为60.38%，2024年占比为54.39%，占比上升5.99个百分点。其中：财政供养支出(工资福利及“五险两金”等社保配套)197,549万元，2024年</w:t>
      </w:r>
      <w:r>
        <w:rPr>
          <w:rFonts w:hint="default" w:ascii="Times New Roman" w:hAnsi="Times New Roman" w:eastAsia="仿宋" w:cs="Times New Roman"/>
          <w:kern w:val="2"/>
          <w:sz w:val="32"/>
          <w:szCs w:val="32"/>
          <w:highlight w:val="none"/>
          <w:lang w:val="en-US" w:eastAsia="zh-CN" w:bidi="ar-SA"/>
        </w:rPr>
        <w:t>为</w:t>
      </w:r>
      <w:r>
        <w:rPr>
          <w:rFonts w:hint="default" w:ascii="Times New Roman" w:hAnsi="Times New Roman" w:eastAsia="仿宋" w:cs="Times New Roman"/>
          <w:kern w:val="2"/>
          <w:sz w:val="32"/>
          <w:szCs w:val="32"/>
          <w:lang w:val="en-US" w:eastAsia="zh-CN" w:bidi="ar-SA"/>
        </w:rPr>
        <w:t>186,141万元，增支11,408万元</w:t>
      </w:r>
      <w:r>
        <w:rPr>
          <w:rFonts w:hint="eastAsia" w:ascii="Times New Roman" w:hAnsi="Times New Roman" w:eastAsia="仿宋" w:cs="Times New Roman"/>
          <w:kern w:val="2"/>
          <w:sz w:val="32"/>
          <w:szCs w:val="32"/>
          <w:lang w:val="en-US" w:eastAsia="zh-CN" w:bidi="ar-SA"/>
        </w:rPr>
        <w:t>，增长6.13%</w:t>
      </w:r>
      <w:r>
        <w:rPr>
          <w:rFonts w:hint="default" w:ascii="Times New Roman" w:hAnsi="Times New Roman" w:eastAsia="仿宋" w:cs="Times New Roman"/>
          <w:kern w:val="2"/>
          <w:sz w:val="32"/>
          <w:szCs w:val="32"/>
          <w:lang w:val="en-US" w:eastAsia="zh-CN" w:bidi="ar-SA"/>
        </w:rPr>
        <w:t>。</w:t>
      </w:r>
    </w:p>
    <w:p w14:paraId="379DC07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lang w:eastAsia="zh-CN"/>
        </w:rPr>
        <w:t>2025年县级政府性基金收入决算情况</w:t>
      </w:r>
    </w:p>
    <w:p w14:paraId="732EEBD6">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2025年，寻甸县</w:t>
      </w:r>
      <w:r>
        <w:rPr>
          <w:rFonts w:hint="default" w:ascii="Times New Roman" w:hAnsi="Times New Roman" w:eastAsia="仿宋_GB2312" w:cs="Times New Roman"/>
          <w:kern w:val="0"/>
          <w:sz w:val="32"/>
          <w:szCs w:val="32"/>
          <w:highlight w:val="none"/>
        </w:rPr>
        <w:t>政府性基金预算收入完成</w:t>
      </w:r>
      <w:r>
        <w:rPr>
          <w:rFonts w:hint="default" w:ascii="Times New Roman" w:hAnsi="Times New Roman" w:eastAsia="仿宋_GB2312" w:cs="Times New Roman"/>
          <w:kern w:val="0"/>
          <w:sz w:val="32"/>
          <w:szCs w:val="32"/>
          <w:highlight w:val="none"/>
          <w:lang w:val="en-US" w:eastAsia="zh-CN"/>
        </w:rPr>
        <w:t>7</w:t>
      </w:r>
      <w:r>
        <w:rPr>
          <w:rFonts w:hint="default" w:ascii="Times New Roman" w:hAnsi="Times New Roman" w:eastAsia="仿宋_GB2312" w:cs="Times New Roman"/>
          <w:kern w:val="0"/>
          <w:sz w:val="32"/>
          <w:szCs w:val="32"/>
          <w:highlight w:val="none"/>
        </w:rPr>
        <w:t>,2</w:t>
      </w:r>
      <w:r>
        <w:rPr>
          <w:rFonts w:hint="default" w:ascii="Times New Roman" w:hAnsi="Times New Roman" w:eastAsia="仿宋_GB2312" w:cs="Times New Roman"/>
          <w:kern w:val="0"/>
          <w:sz w:val="32"/>
          <w:szCs w:val="32"/>
          <w:highlight w:val="none"/>
          <w:lang w:val="en-US" w:eastAsia="zh-CN"/>
        </w:rPr>
        <w:t>52</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比2024年(20,245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收</w:t>
      </w:r>
      <w:r>
        <w:rPr>
          <w:rFonts w:hint="default" w:ascii="Times New Roman" w:hAnsi="Times New Roman" w:eastAsia="仿宋" w:cs="Times New Roman"/>
          <w:sz w:val="32"/>
          <w:szCs w:val="32"/>
          <w:lang w:val="en-US" w:eastAsia="zh-CN"/>
        </w:rPr>
        <w:t>12,993</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减少64.18%。具体是：</w:t>
      </w:r>
    </w:p>
    <w:p w14:paraId="093F106F">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国有土地使用权出让收入</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5</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497</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比2024年(19,401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收</w:t>
      </w:r>
      <w:r>
        <w:rPr>
          <w:rFonts w:hint="default" w:ascii="Times New Roman" w:hAnsi="Times New Roman" w:eastAsia="仿宋" w:cs="Times New Roman"/>
          <w:sz w:val="32"/>
          <w:szCs w:val="32"/>
          <w:lang w:val="en-US" w:eastAsia="zh-CN"/>
        </w:rPr>
        <w:t>13,904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减少71.67%。</w:t>
      </w:r>
    </w:p>
    <w:p w14:paraId="2D9C0E25">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彩票公益金收入</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239</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比2024年(314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rPr>
        <w:t>收</w:t>
      </w:r>
      <w:r>
        <w:rPr>
          <w:rFonts w:hint="default" w:ascii="Times New Roman" w:hAnsi="Times New Roman" w:eastAsia="仿宋" w:cs="Times New Roman"/>
          <w:sz w:val="32"/>
          <w:szCs w:val="32"/>
          <w:lang w:val="en-US" w:eastAsia="zh-CN"/>
        </w:rPr>
        <w:t>75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减少23.89%。</w:t>
      </w:r>
    </w:p>
    <w:p w14:paraId="3BF61760">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污水处理费收入</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499</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比2024年(495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收</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增长0.81%。</w:t>
      </w:r>
    </w:p>
    <w:p w14:paraId="497356C5">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专项债务对应项目专项收入</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017</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比2024年(35</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w:t>
      </w:r>
      <w:r>
        <w:rPr>
          <w:rFonts w:hint="default" w:ascii="Times New Roman" w:hAnsi="Times New Roman" w:eastAsia="仿宋" w:cs="Times New Roman"/>
          <w:sz w:val="32"/>
          <w:szCs w:val="32"/>
        </w:rPr>
        <w:t>收</w:t>
      </w:r>
      <w:r>
        <w:rPr>
          <w:rFonts w:hint="default" w:ascii="Times New Roman" w:hAnsi="Times New Roman" w:eastAsia="仿宋" w:cs="Times New Roman"/>
          <w:sz w:val="32"/>
          <w:szCs w:val="32"/>
          <w:lang w:val="en-US" w:eastAsia="zh-CN"/>
        </w:rPr>
        <w:t>982</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增长2805.71%。</w:t>
      </w:r>
    </w:p>
    <w:p w14:paraId="2106A8C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w:t>
      </w:r>
      <w:r>
        <w:rPr>
          <w:rFonts w:hint="default" w:ascii="Times New Roman" w:hAnsi="Times New Roman" w:eastAsia="黑体" w:cs="Times New Roman"/>
          <w:color w:val="auto"/>
          <w:sz w:val="32"/>
          <w:szCs w:val="32"/>
          <w:lang w:eastAsia="zh-CN"/>
        </w:rPr>
        <w:t>2025年</w:t>
      </w:r>
      <w:r>
        <w:rPr>
          <w:rFonts w:hint="default" w:ascii="Times New Roman" w:hAnsi="Times New Roman" w:eastAsia="黑体" w:cs="Times New Roman"/>
          <w:color w:val="auto"/>
          <w:sz w:val="32"/>
          <w:szCs w:val="32"/>
        </w:rPr>
        <w:t>县级政府性基金支出决算情况</w:t>
      </w:r>
    </w:p>
    <w:p w14:paraId="716FC8A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2025年，寻甸县</w:t>
      </w:r>
      <w:r>
        <w:rPr>
          <w:rFonts w:hint="default" w:ascii="Times New Roman" w:hAnsi="Times New Roman" w:eastAsia="仿宋_GB2312" w:cs="Times New Roman"/>
          <w:kern w:val="0"/>
          <w:sz w:val="32"/>
          <w:szCs w:val="32"/>
          <w:highlight w:val="none"/>
        </w:rPr>
        <w:t>政府性基金预算</w:t>
      </w:r>
      <w:r>
        <w:rPr>
          <w:rFonts w:hint="default" w:ascii="Times New Roman" w:hAnsi="Times New Roman" w:eastAsia="仿宋_GB2312" w:cs="Times New Roman"/>
          <w:kern w:val="0"/>
          <w:sz w:val="32"/>
          <w:szCs w:val="32"/>
          <w:highlight w:val="none"/>
          <w:lang w:val="en-US" w:eastAsia="zh-CN"/>
        </w:rPr>
        <w:t>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42</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800</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比2024年(43,196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)减支966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减少2.27%。具体是：</w:t>
      </w:r>
    </w:p>
    <w:p w14:paraId="5E0AB1BA">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国家电影事业发展专项资金安排的支出</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2024年无。</w:t>
      </w:r>
    </w:p>
    <w:p w14:paraId="5AB3C073">
      <w:pPr>
        <w:pStyle w:val="2"/>
        <w:keepNext w:val="0"/>
        <w:keepLines w:val="0"/>
        <w:pageBreakBefore w:val="0"/>
        <w:widowControl w:val="0"/>
        <w:kinsoku/>
        <w:wordWrap/>
        <w:overflowPunct/>
        <w:topLinePunct w:val="0"/>
        <w:autoSpaceDE/>
        <w:autoSpaceDN/>
        <w:bidi w:val="0"/>
        <w:snapToGrid/>
        <w:spacing w:after="0" w:line="620" w:lineRule="exact"/>
        <w:ind w:left="0" w:leftChars="0"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超长期特别国债安排的节能环保支出</w:t>
      </w:r>
      <w:r>
        <w:rPr>
          <w:rFonts w:hint="default" w:ascii="Times New Roman" w:hAnsi="Times New Roman" w:eastAsia="仿宋" w:cs="Times New Roman"/>
          <w:sz w:val="32"/>
          <w:szCs w:val="32"/>
          <w:lang w:val="en-US" w:eastAsia="zh-CN"/>
        </w:rPr>
        <w:t>完成</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922</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val="en-US" w:eastAsia="zh-CN"/>
        </w:rPr>
        <w:t>(磷石膏项目)</w:t>
      </w:r>
      <w:r>
        <w:rPr>
          <w:rFonts w:hint="default" w:ascii="Times New Roman" w:hAnsi="Times New Roman" w:eastAsia="仿宋_GB2312" w:cs="Times New Roman"/>
          <w:kern w:val="0"/>
          <w:sz w:val="32"/>
          <w:szCs w:val="32"/>
          <w:highlight w:val="none"/>
        </w:rPr>
        <w:t>，</w:t>
      </w:r>
      <w:r>
        <w:rPr>
          <w:rFonts w:hint="default" w:ascii="Times New Roman" w:hAnsi="Times New Roman" w:eastAsia="仿宋" w:cs="Times New Roman"/>
          <w:sz w:val="32"/>
          <w:szCs w:val="32"/>
          <w:lang w:val="en-US" w:eastAsia="zh-CN"/>
        </w:rPr>
        <w:t>2024年无。</w:t>
      </w:r>
    </w:p>
    <w:p w14:paraId="463F5CFC">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国有土地使用权出让收入安排的城乡社区支出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9</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200</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比2024年(8,756</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)增支444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增长5.07%。</w:t>
      </w:r>
    </w:p>
    <w:p w14:paraId="0AD71476">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污水处理费收入安排的城乡社区支出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25</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2024年无。</w:t>
      </w:r>
    </w:p>
    <w:p w14:paraId="29BD1BCE">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大中型水库库区基金收入安排的农林水支出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685</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2024年无。</w:t>
      </w:r>
    </w:p>
    <w:p w14:paraId="03BD7A35">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大中型水库移民后期扶持基金收入安排的农林水支出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378</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比2024年(334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)增支44</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增长13.17%。</w:t>
      </w:r>
    </w:p>
    <w:p w14:paraId="2B252379">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超长期特别国债安排的农林水支出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691</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lang w:val="en-US" w:eastAsia="zh-CN"/>
        </w:rPr>
        <w:t>高标准农田建设项目</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w:t>
      </w:r>
      <w:r>
        <w:rPr>
          <w:rFonts w:hint="default" w:ascii="Times New Roman" w:hAnsi="Times New Roman" w:eastAsia="仿宋" w:cs="Times New Roman"/>
          <w:sz w:val="32"/>
          <w:szCs w:val="32"/>
          <w:lang w:val="en-US" w:eastAsia="zh-CN"/>
        </w:rPr>
        <w:t>2024年无。</w:t>
      </w:r>
    </w:p>
    <w:p w14:paraId="444877C3">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其他政府性基金及对应专项债务收入安排的支出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16</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991</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比2024年(28,200</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)减支11,209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减少39.75%。</w:t>
      </w:r>
    </w:p>
    <w:p w14:paraId="56EC02B2">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彩票公益金安排的支出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520</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比2024年(1,111</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)增支409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增长36.81%。</w:t>
      </w:r>
    </w:p>
    <w:p w14:paraId="5AA74D6B">
      <w:pPr>
        <w:keepNext w:val="0"/>
        <w:keepLines w:val="0"/>
        <w:pageBreakBefore w:val="0"/>
        <w:widowControl w:val="0"/>
        <w:kinsoku/>
        <w:wordWrap/>
        <w:overflowPunct/>
        <w:topLinePunct w:val="0"/>
        <w:autoSpaceDE/>
        <w:autoSpaceDN/>
        <w:bidi w:val="0"/>
        <w:snapToGrid/>
        <w:spacing w:line="62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地方政府专项债务付息支出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6</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342</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比2024年(5,313</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)增支1,029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增长19.37%。</w:t>
      </w:r>
    </w:p>
    <w:p w14:paraId="566F4DD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kern w:val="0"/>
          <w:sz w:val="32"/>
          <w:szCs w:val="32"/>
          <w:lang w:val="en-US" w:eastAsia="zh-CN" w:bidi="ar-SA"/>
        </w:rPr>
        <w:t>地方政府专项债务发行费用支出</w:t>
      </w:r>
      <w:r>
        <w:rPr>
          <w:rFonts w:hint="default" w:ascii="Times New Roman" w:hAnsi="Times New Roman" w:eastAsia="仿宋_GB2312" w:cs="Times New Roman"/>
          <w:kern w:val="0"/>
          <w:sz w:val="32"/>
          <w:szCs w:val="32"/>
          <w:highlight w:val="none"/>
        </w:rPr>
        <w:t>完成</w:t>
      </w:r>
      <w:r>
        <w:rPr>
          <w:rFonts w:hint="default" w:ascii="Times New Roman" w:hAnsi="Times New Roman" w:eastAsia="仿宋_GB2312" w:cs="Times New Roman"/>
          <w:kern w:val="0"/>
          <w:sz w:val="32"/>
          <w:szCs w:val="32"/>
          <w:highlight w:val="none"/>
          <w:lang w:val="en-US" w:eastAsia="zh-CN"/>
        </w:rPr>
        <w:t>43</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 w:cs="Times New Roman"/>
          <w:sz w:val="32"/>
          <w:szCs w:val="32"/>
          <w:lang w:val="en-US" w:eastAsia="zh-CN"/>
        </w:rPr>
        <w:t>比2024年(82</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val="en-US" w:eastAsia="zh-CN"/>
        </w:rPr>
        <w:t>)减支39</w:t>
      </w:r>
      <w:r>
        <w:rPr>
          <w:rFonts w:hint="default" w:ascii="Times New Roman" w:hAnsi="Times New Roman" w:eastAsia="仿宋" w:cs="Times New Roman"/>
          <w:sz w:val="32"/>
          <w:szCs w:val="32"/>
        </w:rPr>
        <w:t>万元</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减少47.56%。</w:t>
      </w:r>
    </w:p>
    <w:p w14:paraId="59B1643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eastAsia="zh-CN"/>
        </w:rPr>
        <w:t>2025年</w:t>
      </w:r>
      <w:r>
        <w:rPr>
          <w:rFonts w:hint="default" w:ascii="Times New Roman" w:hAnsi="Times New Roman" w:eastAsia="黑体" w:cs="Times New Roman"/>
          <w:color w:val="auto"/>
          <w:sz w:val="32"/>
          <w:szCs w:val="32"/>
        </w:rPr>
        <w:t>县级国有资本经营预算收支决算情况</w:t>
      </w:r>
    </w:p>
    <w:p w14:paraId="71558D4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2025年，寻甸县完成国有资本经营预算收入173万元(其中：利润收入123万元，股息红利收入50万元)，比2024年(股息红利收入565万元)减收392万元，减少69.38%。</w:t>
      </w:r>
    </w:p>
    <w:p w14:paraId="19C70C1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 w:cs="Times New Roman"/>
          <w:sz w:val="32"/>
          <w:szCs w:val="32"/>
          <w:lang w:val="en-US" w:eastAsia="zh-CN"/>
        </w:rPr>
        <w:t>国有资本经营预算支出41万元(国有企业离退休人员社会化管理支出)，比2024年(国有企业离退休人员社会化管理支出13万元)增支28万元，增长215.38%。</w:t>
      </w:r>
    </w:p>
    <w:p w14:paraId="4677251F">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lang w:eastAsia="zh-CN"/>
        </w:rPr>
        <w:t>2025年县级社会保险基金预算收支决算情况</w:t>
      </w:r>
    </w:p>
    <w:p w14:paraId="66371CA5">
      <w:pPr>
        <w:pStyle w:val="2"/>
        <w:keepNext w:val="0"/>
        <w:keepLines w:val="0"/>
        <w:pageBreakBefore w:val="0"/>
        <w:widowControl w:val="0"/>
        <w:kinsoku/>
        <w:wordWrap/>
        <w:overflowPunct/>
        <w:topLinePunct w:val="0"/>
        <w:autoSpaceDE/>
        <w:autoSpaceDN/>
        <w:bidi w:val="0"/>
        <w:snapToGrid/>
        <w:spacing w:line="620" w:lineRule="exact"/>
        <w:ind w:left="0" w:leftChars="0" w:firstLine="640" w:firstLineChars="200"/>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2025年财政总决算报表社保基金预算县(区)级报表只要求填报机关事业单位基本养老保险基金收支情况，企业职工基本养老保险基金收支、城乡居民基本养老保险基金收支等均不要求填报。</w:t>
      </w:r>
    </w:p>
    <w:p w14:paraId="74909CA8">
      <w:pPr>
        <w:pStyle w:val="2"/>
        <w:keepNext w:val="0"/>
        <w:keepLines w:val="0"/>
        <w:pageBreakBefore w:val="0"/>
        <w:widowControl w:val="0"/>
        <w:kinsoku/>
        <w:wordWrap/>
        <w:overflowPunct/>
        <w:topLinePunct w:val="0"/>
        <w:autoSpaceDE/>
        <w:autoSpaceDN/>
        <w:bidi w:val="0"/>
        <w:snapToGrid/>
        <w:spacing w:line="620" w:lineRule="exact"/>
        <w:ind w:left="0" w:leftChars="0" w:firstLine="640" w:firstLineChars="200"/>
        <w:rPr>
          <w:rFonts w:hint="default" w:ascii="Times New Roman" w:hAnsi="Times New Roman" w:eastAsia="仿宋" w:cs="Times New Roman"/>
          <w:b w:val="0"/>
          <w:bCs w:val="0"/>
          <w:color w:val="auto"/>
          <w:kern w:val="2"/>
          <w:sz w:val="32"/>
          <w:szCs w:val="32"/>
          <w:lang w:val="en-US" w:eastAsia="zh-CN" w:bidi="ar-SA"/>
        </w:rPr>
      </w:pPr>
      <w:r>
        <w:rPr>
          <w:rFonts w:hint="default" w:ascii="Times New Roman" w:hAnsi="Times New Roman" w:eastAsia="仿宋" w:cs="Times New Roman"/>
          <w:b w:val="0"/>
          <w:bCs w:val="0"/>
          <w:color w:val="auto"/>
          <w:kern w:val="2"/>
          <w:sz w:val="32"/>
          <w:szCs w:val="32"/>
          <w:lang w:val="en-US" w:eastAsia="zh-CN" w:bidi="ar-SA"/>
        </w:rPr>
        <w:t>2025年，寻甸县机关事业单位基本养老保险基金收入30,198万元，比2024年(32,399万元)减收1,601万元，减少4.94%。其中：社会保险费收入28,825万元，比2024年(29,181万元)减收356万元，减少1.22%；财政补贴收入1,300万元，比2024年(2,541万元)减收1,241万元，减少48.84%；利息收入195万元，比2024年(504万元)减收309万元，减少61.31%；转移收入469万元，比2024年(153万元)增收316万元，增长206.54%；其他收入9万元，比2024年(20万元)减收11万元，减少55%。</w:t>
      </w:r>
    </w:p>
    <w:p w14:paraId="513A2638">
      <w:pPr>
        <w:pStyle w:val="2"/>
        <w:keepNext w:val="0"/>
        <w:keepLines w:val="0"/>
        <w:pageBreakBefore w:val="0"/>
        <w:widowControl w:val="0"/>
        <w:kinsoku/>
        <w:wordWrap/>
        <w:overflowPunct/>
        <w:topLinePunct w:val="0"/>
        <w:autoSpaceDE/>
        <w:autoSpaceDN/>
        <w:bidi w:val="0"/>
        <w:snapToGrid/>
        <w:spacing w:line="620" w:lineRule="exact"/>
        <w:ind w:left="0" w:leftChars="0" w:firstLine="640" w:firstLineChars="200"/>
        <w:rPr>
          <w:rFonts w:hint="default" w:ascii="Times New Roman" w:hAnsi="Times New Roman" w:eastAsia="仿宋" w:cs="Times New Roman"/>
          <w:b w:val="0"/>
          <w:bCs w:val="0"/>
          <w:color w:val="auto"/>
          <w:kern w:val="2"/>
          <w:sz w:val="32"/>
          <w:szCs w:val="32"/>
          <w:lang w:val="en-US" w:eastAsia="zh-CN" w:bidi="ar-SA"/>
        </w:rPr>
      </w:pPr>
      <w:r>
        <w:rPr>
          <w:rFonts w:hint="default" w:ascii="Times New Roman" w:hAnsi="Times New Roman" w:eastAsia="仿宋" w:cs="Times New Roman"/>
          <w:b w:val="0"/>
          <w:bCs w:val="0"/>
          <w:color w:val="auto"/>
          <w:kern w:val="2"/>
          <w:sz w:val="32"/>
          <w:szCs w:val="32"/>
          <w:lang w:val="en-US" w:eastAsia="zh-CN" w:bidi="ar-SA"/>
        </w:rPr>
        <w:t>2025年，寻甸县机关事业单位基本养老保险基金支出33,926万元，比2024年(31,592万元)增支2,334万元，增长7.39%。其中：社会保险待遇支出33,885万元，比2024年(31,492万元)增支2,393万元，增长7.6%；转移支出26万元，比2024年(59万元)减支33万元，减少55.93%；其他支出15万元，比2024年(41万元)减支26万元，减少63.41%。</w:t>
      </w:r>
    </w:p>
    <w:p w14:paraId="7FAD1FE2">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 w:cs="Times New Roman"/>
          <w:b w:val="0"/>
          <w:bCs w:val="0"/>
          <w:color w:val="auto"/>
          <w:kern w:val="2"/>
          <w:sz w:val="32"/>
          <w:szCs w:val="32"/>
          <w:lang w:val="en-US" w:eastAsia="zh-CN" w:bidi="ar-SA"/>
        </w:rPr>
      </w:pPr>
      <w:r>
        <w:rPr>
          <w:rFonts w:hint="default" w:ascii="Times New Roman" w:hAnsi="Times New Roman" w:eastAsia="仿宋" w:cs="Times New Roman"/>
          <w:b w:val="0"/>
          <w:bCs w:val="0"/>
          <w:color w:val="auto"/>
          <w:kern w:val="2"/>
          <w:sz w:val="32"/>
          <w:szCs w:val="32"/>
          <w:lang w:val="en-US" w:eastAsia="zh-CN" w:bidi="ar-SA"/>
        </w:rPr>
        <w:t>2025年</w:t>
      </w:r>
      <w:r>
        <w:rPr>
          <w:rFonts w:hint="default" w:ascii="Times New Roman" w:hAnsi="Times New Roman" w:eastAsia="仿宋" w:cs="Times New Roman"/>
          <w:b w:val="0"/>
          <w:bCs w:val="0"/>
          <w:color w:val="auto"/>
          <w:kern w:val="2"/>
          <w:sz w:val="32"/>
          <w:szCs w:val="32"/>
          <w:highlight w:val="none"/>
          <w:lang w:val="en-US" w:eastAsia="zh-CN" w:bidi="ar-SA"/>
        </w:rPr>
        <w:t>本年度</w:t>
      </w:r>
      <w:r>
        <w:rPr>
          <w:rFonts w:hint="default" w:ascii="Times New Roman" w:hAnsi="Times New Roman" w:eastAsia="仿宋" w:cs="Times New Roman"/>
          <w:b w:val="0"/>
          <w:bCs w:val="0"/>
          <w:color w:val="auto"/>
          <w:kern w:val="2"/>
          <w:sz w:val="32"/>
          <w:szCs w:val="32"/>
          <w:lang w:val="en-US" w:eastAsia="zh-CN" w:bidi="ar-SA"/>
        </w:rPr>
        <w:t>，寻甸县机关事业单位基本养老保险基金结余-3,128万元，比2024年(807万元)减少3,935万元，减少487.61%。2025年年末，寻甸县机关事业单位基本养老保险基金滚存结余41,209万元，比2024年年末滚存结余(44,337万元)减少3,128万元，减少7.06%。</w:t>
      </w:r>
    </w:p>
    <w:p w14:paraId="79347E48">
      <w:pPr>
        <w:pStyle w:val="2"/>
        <w:keepNext w:val="0"/>
        <w:keepLines w:val="0"/>
        <w:pageBreakBefore w:val="0"/>
        <w:widowControl w:val="0"/>
        <w:numPr>
          <w:ilvl w:val="0"/>
          <w:numId w:val="1"/>
        </w:numPr>
        <w:kinsoku/>
        <w:wordWrap/>
        <w:overflowPunct/>
        <w:autoSpaceDE/>
        <w:autoSpaceDN/>
        <w:bidi w:val="0"/>
        <w:snapToGrid/>
        <w:spacing w:line="620" w:lineRule="exact"/>
        <w:ind w:left="0" w:leftChars="0" w:firstLine="640" w:firstLineChars="200"/>
        <w:rPr>
          <w:rFonts w:hint="eastAsia" w:eastAsia="黑体" w:cs="Times New Roman"/>
          <w:color w:val="auto"/>
          <w:sz w:val="32"/>
          <w:lang w:val="en-US" w:eastAsia="zh-CN"/>
        </w:rPr>
      </w:pPr>
      <w:r>
        <w:rPr>
          <w:rFonts w:hint="eastAsia" w:eastAsia="黑体" w:cs="Times New Roman"/>
          <w:color w:val="auto"/>
          <w:sz w:val="32"/>
          <w:lang w:val="en-US" w:eastAsia="zh-CN"/>
        </w:rPr>
        <w:t>调入资金相关情况说明</w:t>
      </w:r>
    </w:p>
    <w:p w14:paraId="2128C8EE">
      <w:pPr>
        <w:keepNext w:val="0"/>
        <w:keepLines w:val="0"/>
        <w:pageBreakBefore w:val="0"/>
        <w:widowControl w:val="0"/>
        <w:numPr>
          <w:numId w:val="0"/>
        </w:numPr>
        <w:kinsoku/>
        <w:wordWrap/>
        <w:overflowPunct/>
        <w:autoSpaceDE/>
        <w:autoSpaceDN/>
        <w:bidi w:val="0"/>
        <w:snapToGrid/>
        <w:spacing w:line="620" w:lineRule="exact"/>
        <w:rPr>
          <w:rFonts w:hint="default" w:ascii="Times New Roman" w:hAnsi="Times New Roman" w:eastAsia="仿宋" w:cs="Times New Roman"/>
          <w:b w:val="0"/>
          <w:bCs w:val="0"/>
          <w:color w:val="auto"/>
          <w:kern w:val="2"/>
          <w:sz w:val="32"/>
          <w:szCs w:val="32"/>
          <w:lang w:val="en-US" w:eastAsia="zh-CN" w:bidi="ar-SA"/>
        </w:rPr>
      </w:pPr>
      <w:r>
        <w:rPr>
          <w:rFonts w:hint="eastAsia"/>
          <w:lang w:val="en-US" w:eastAsia="zh-CN"/>
        </w:rPr>
        <w:t xml:space="preserve">      </w:t>
      </w:r>
      <w:r>
        <w:rPr>
          <w:rFonts w:hint="default" w:ascii="Times New Roman" w:hAnsi="Times New Roman" w:eastAsia="仿宋" w:cs="Times New Roman"/>
          <w:b w:val="0"/>
          <w:bCs w:val="0"/>
          <w:color w:val="auto"/>
          <w:kern w:val="2"/>
          <w:sz w:val="32"/>
          <w:szCs w:val="32"/>
          <w:lang w:val="en-US" w:eastAsia="zh-CN" w:bidi="ar-SA"/>
        </w:rPr>
        <w:t>为有效避免财政资金闲置、沉淀，切实提高财政资金使用效率，2020年以来，寻甸县持续加大对财政存量资金的清理盘活力度。对各级各类财政监督检查、审计、巡查、其他检查等过程中发现的资金闲置情况，严格责令预算单位及时缴交国库；部分预算单位也根据财政存量资金管理相关规定，积极主动自觉缴交存量资金。通过历年清理盘活使用及滚存，2025年年初，寻甸县存量资金余额22</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452万元，当年收缴国库11</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551万元，年度中间统筹使用冲减支出10</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169万元，年末余额23</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834万元。因2025年度寻甸县一般公共预算和政府性基金预算存在较大收支平衡缺口，年末时将存量资金通过“其他调入”方式调入一般公共预算12</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110万元，调入政府性基金预算7</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754万元，合计调入19</w:t>
      </w:r>
      <w:r>
        <w:rPr>
          <w:rFonts w:hint="eastAsia" w:eastAsia="仿宋" w:cs="Times New Roman"/>
          <w:b w:val="0"/>
          <w:bCs w:val="0"/>
          <w:color w:val="auto"/>
          <w:kern w:val="2"/>
          <w:sz w:val="32"/>
          <w:szCs w:val="32"/>
          <w:lang w:val="en-US" w:eastAsia="zh-CN" w:bidi="ar-SA"/>
        </w:rPr>
        <w:t>,</w:t>
      </w:r>
      <w:r>
        <w:rPr>
          <w:rFonts w:hint="default" w:ascii="Times New Roman" w:hAnsi="Times New Roman" w:eastAsia="仿宋" w:cs="Times New Roman"/>
          <w:b w:val="0"/>
          <w:bCs w:val="0"/>
          <w:color w:val="auto"/>
          <w:kern w:val="2"/>
          <w:sz w:val="32"/>
          <w:szCs w:val="32"/>
          <w:lang w:val="en-US" w:eastAsia="zh-CN" w:bidi="ar-SA"/>
        </w:rPr>
        <w:t>864万元，用于平衡两本预算。</w:t>
      </w:r>
    </w:p>
    <w:sectPr>
      <w:headerReference r:id="rId3" w:type="default"/>
      <w:footerReference r:id="rId4" w:type="default"/>
      <w:footerReference r:id="rId5" w:type="even"/>
      <w:pgSz w:w="11906" w:h="16838"/>
      <w:pgMar w:top="2098" w:right="1531" w:bottom="1985" w:left="1531" w:header="851" w:footer="851" w:gutter="0"/>
      <w:pgNumType w:fmt="numberInDash"/>
      <w:cols w:space="720" w:num="1"/>
      <w:docGrid w:linePitch="636" w:charSpace="233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1288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74111">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774111">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1C048">
    <w:pPr>
      <w:pStyle w:val="7"/>
      <w:framePr w:wrap="around" w:vAnchor="text" w:hAnchor="margin" w:xAlign="center" w:y="1"/>
      <w:rPr>
        <w:rStyle w:val="12"/>
      </w:rPr>
    </w:pPr>
    <w:r>
      <w:fldChar w:fldCharType="begin"/>
    </w:r>
    <w:r>
      <w:rPr>
        <w:rStyle w:val="12"/>
      </w:rPr>
      <w:instrText xml:space="preserve">PAGE  </w:instrText>
    </w:r>
    <w:r>
      <w:fldChar w:fldCharType="end"/>
    </w:r>
  </w:p>
  <w:p w14:paraId="314661F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F24D9">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815BD2"/>
    <w:multiLevelType w:val="singleLevel"/>
    <w:tmpl w:val="4E815BD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1M2ZhZDhlZDM0NjQ5MmJhNzA1ZDE5NTEzZmYwNTUifQ=="/>
  </w:docVars>
  <w:rsids>
    <w:rsidRoot w:val="6D24675E"/>
    <w:rsid w:val="007200AE"/>
    <w:rsid w:val="00867FFD"/>
    <w:rsid w:val="00911163"/>
    <w:rsid w:val="00B95CDD"/>
    <w:rsid w:val="011D450E"/>
    <w:rsid w:val="016E7D57"/>
    <w:rsid w:val="019A7548"/>
    <w:rsid w:val="01C4547B"/>
    <w:rsid w:val="01EB4FC0"/>
    <w:rsid w:val="01F86CD9"/>
    <w:rsid w:val="025657AD"/>
    <w:rsid w:val="025E264D"/>
    <w:rsid w:val="0261662C"/>
    <w:rsid w:val="027542F0"/>
    <w:rsid w:val="029E66A9"/>
    <w:rsid w:val="02D97ED0"/>
    <w:rsid w:val="030D40BE"/>
    <w:rsid w:val="03434BB7"/>
    <w:rsid w:val="03614395"/>
    <w:rsid w:val="036E2E00"/>
    <w:rsid w:val="03B92498"/>
    <w:rsid w:val="03BD5AE4"/>
    <w:rsid w:val="03C7300E"/>
    <w:rsid w:val="04246395"/>
    <w:rsid w:val="04F46C31"/>
    <w:rsid w:val="05123C0E"/>
    <w:rsid w:val="051B6A6A"/>
    <w:rsid w:val="053843E4"/>
    <w:rsid w:val="05457AFE"/>
    <w:rsid w:val="0580501B"/>
    <w:rsid w:val="05C3315A"/>
    <w:rsid w:val="05CD19D4"/>
    <w:rsid w:val="05D66251"/>
    <w:rsid w:val="05D709B3"/>
    <w:rsid w:val="05D83D75"/>
    <w:rsid w:val="05F81055"/>
    <w:rsid w:val="05F9301F"/>
    <w:rsid w:val="068943A3"/>
    <w:rsid w:val="06AC7BAD"/>
    <w:rsid w:val="072702BE"/>
    <w:rsid w:val="07852DBD"/>
    <w:rsid w:val="079E6D17"/>
    <w:rsid w:val="07B216D8"/>
    <w:rsid w:val="07C62E0B"/>
    <w:rsid w:val="07DE7642"/>
    <w:rsid w:val="07E53F88"/>
    <w:rsid w:val="08196765"/>
    <w:rsid w:val="08904827"/>
    <w:rsid w:val="08BA4C05"/>
    <w:rsid w:val="091C267B"/>
    <w:rsid w:val="099B565D"/>
    <w:rsid w:val="09A40EF0"/>
    <w:rsid w:val="09CC509A"/>
    <w:rsid w:val="09E1024B"/>
    <w:rsid w:val="09EC7123"/>
    <w:rsid w:val="0A570E8F"/>
    <w:rsid w:val="0AB6025A"/>
    <w:rsid w:val="0AB614DF"/>
    <w:rsid w:val="0ACE2679"/>
    <w:rsid w:val="0B354E74"/>
    <w:rsid w:val="0B39610B"/>
    <w:rsid w:val="0B611604"/>
    <w:rsid w:val="0B8B6237"/>
    <w:rsid w:val="0C200CAB"/>
    <w:rsid w:val="0C7F68D5"/>
    <w:rsid w:val="0C953C1E"/>
    <w:rsid w:val="0D2D3F93"/>
    <w:rsid w:val="0D32701B"/>
    <w:rsid w:val="0D73083E"/>
    <w:rsid w:val="0DC41BB3"/>
    <w:rsid w:val="0DF11BA6"/>
    <w:rsid w:val="0E6C4D10"/>
    <w:rsid w:val="0EB071B9"/>
    <w:rsid w:val="0EB364BF"/>
    <w:rsid w:val="0F043F2D"/>
    <w:rsid w:val="0F2E7001"/>
    <w:rsid w:val="0F39623B"/>
    <w:rsid w:val="0F5A3F93"/>
    <w:rsid w:val="0FA32A0F"/>
    <w:rsid w:val="0FC32258"/>
    <w:rsid w:val="0FFF7A76"/>
    <w:rsid w:val="107D6F04"/>
    <w:rsid w:val="109951E3"/>
    <w:rsid w:val="10D2689B"/>
    <w:rsid w:val="114535BD"/>
    <w:rsid w:val="116613C2"/>
    <w:rsid w:val="11720880"/>
    <w:rsid w:val="11845E93"/>
    <w:rsid w:val="12096398"/>
    <w:rsid w:val="121D1E44"/>
    <w:rsid w:val="124817C4"/>
    <w:rsid w:val="124A70DD"/>
    <w:rsid w:val="12B025DB"/>
    <w:rsid w:val="12BE3627"/>
    <w:rsid w:val="12C4120D"/>
    <w:rsid w:val="12EA1553"/>
    <w:rsid w:val="13051F3C"/>
    <w:rsid w:val="131D034D"/>
    <w:rsid w:val="1331204B"/>
    <w:rsid w:val="13C609E5"/>
    <w:rsid w:val="141D25CF"/>
    <w:rsid w:val="14203B90"/>
    <w:rsid w:val="147A1575"/>
    <w:rsid w:val="147E2422"/>
    <w:rsid w:val="14922DCA"/>
    <w:rsid w:val="14A14FAE"/>
    <w:rsid w:val="14F146D5"/>
    <w:rsid w:val="150610F5"/>
    <w:rsid w:val="1521716C"/>
    <w:rsid w:val="15294AF5"/>
    <w:rsid w:val="153A5B93"/>
    <w:rsid w:val="15493E6F"/>
    <w:rsid w:val="157B57FF"/>
    <w:rsid w:val="15D66B43"/>
    <w:rsid w:val="15E22EA6"/>
    <w:rsid w:val="160901A7"/>
    <w:rsid w:val="16297009"/>
    <w:rsid w:val="163329E8"/>
    <w:rsid w:val="16832BBD"/>
    <w:rsid w:val="16C37384"/>
    <w:rsid w:val="17073F9F"/>
    <w:rsid w:val="17366F99"/>
    <w:rsid w:val="17540703"/>
    <w:rsid w:val="17885FB1"/>
    <w:rsid w:val="179F6A0A"/>
    <w:rsid w:val="17DC01E0"/>
    <w:rsid w:val="181D7869"/>
    <w:rsid w:val="182B7BA5"/>
    <w:rsid w:val="19242F56"/>
    <w:rsid w:val="193323D3"/>
    <w:rsid w:val="1936164A"/>
    <w:rsid w:val="193E2DCB"/>
    <w:rsid w:val="1960689E"/>
    <w:rsid w:val="19740DD3"/>
    <w:rsid w:val="198301CE"/>
    <w:rsid w:val="1A212535"/>
    <w:rsid w:val="1A2C3C94"/>
    <w:rsid w:val="1A30052B"/>
    <w:rsid w:val="1A484B2B"/>
    <w:rsid w:val="1AAC2AFA"/>
    <w:rsid w:val="1AAD17B7"/>
    <w:rsid w:val="1ADC7B8B"/>
    <w:rsid w:val="1B1A1D71"/>
    <w:rsid w:val="1B6539EB"/>
    <w:rsid w:val="1B7869B7"/>
    <w:rsid w:val="1BC46335"/>
    <w:rsid w:val="1C335675"/>
    <w:rsid w:val="1C4F52EF"/>
    <w:rsid w:val="1CC86B44"/>
    <w:rsid w:val="1CDD3812"/>
    <w:rsid w:val="1CEF0C5B"/>
    <w:rsid w:val="1D3D4690"/>
    <w:rsid w:val="1DC41A78"/>
    <w:rsid w:val="1E8219AC"/>
    <w:rsid w:val="1E92524E"/>
    <w:rsid w:val="1E950795"/>
    <w:rsid w:val="1EC40358"/>
    <w:rsid w:val="1F316CE2"/>
    <w:rsid w:val="1FA92F69"/>
    <w:rsid w:val="20782C99"/>
    <w:rsid w:val="209410FF"/>
    <w:rsid w:val="20A26336"/>
    <w:rsid w:val="20C445AE"/>
    <w:rsid w:val="20C75D9C"/>
    <w:rsid w:val="20D314B1"/>
    <w:rsid w:val="20F841A8"/>
    <w:rsid w:val="21020FFE"/>
    <w:rsid w:val="211C7DDE"/>
    <w:rsid w:val="211C7E96"/>
    <w:rsid w:val="21473F96"/>
    <w:rsid w:val="216435EB"/>
    <w:rsid w:val="21A374BD"/>
    <w:rsid w:val="21A55F0B"/>
    <w:rsid w:val="21F307EC"/>
    <w:rsid w:val="22106292"/>
    <w:rsid w:val="221658E7"/>
    <w:rsid w:val="22D54D94"/>
    <w:rsid w:val="22E17E3C"/>
    <w:rsid w:val="22E4497E"/>
    <w:rsid w:val="2302130E"/>
    <w:rsid w:val="230E3883"/>
    <w:rsid w:val="232F795B"/>
    <w:rsid w:val="23462747"/>
    <w:rsid w:val="235037E4"/>
    <w:rsid w:val="23586D8F"/>
    <w:rsid w:val="23863CED"/>
    <w:rsid w:val="23F52C20"/>
    <w:rsid w:val="241E7FAE"/>
    <w:rsid w:val="247955FF"/>
    <w:rsid w:val="247A78ED"/>
    <w:rsid w:val="24BB03A3"/>
    <w:rsid w:val="25141C68"/>
    <w:rsid w:val="251A3C42"/>
    <w:rsid w:val="25573759"/>
    <w:rsid w:val="259124D5"/>
    <w:rsid w:val="25EB63F5"/>
    <w:rsid w:val="262445E1"/>
    <w:rsid w:val="265039EA"/>
    <w:rsid w:val="26673B7B"/>
    <w:rsid w:val="26775B6F"/>
    <w:rsid w:val="26C74D0D"/>
    <w:rsid w:val="26DA4C24"/>
    <w:rsid w:val="26E44EC7"/>
    <w:rsid w:val="26E67B15"/>
    <w:rsid w:val="26E825C8"/>
    <w:rsid w:val="26F31699"/>
    <w:rsid w:val="272960C0"/>
    <w:rsid w:val="274D1988"/>
    <w:rsid w:val="27545FD5"/>
    <w:rsid w:val="277F2F2D"/>
    <w:rsid w:val="27AF30E6"/>
    <w:rsid w:val="28061E73"/>
    <w:rsid w:val="2877128F"/>
    <w:rsid w:val="28960AB2"/>
    <w:rsid w:val="28B37B16"/>
    <w:rsid w:val="291244A4"/>
    <w:rsid w:val="293731C8"/>
    <w:rsid w:val="29481277"/>
    <w:rsid w:val="29562040"/>
    <w:rsid w:val="29A70519"/>
    <w:rsid w:val="29B70362"/>
    <w:rsid w:val="29E577A7"/>
    <w:rsid w:val="29E849A3"/>
    <w:rsid w:val="2A1A6182"/>
    <w:rsid w:val="2A302382"/>
    <w:rsid w:val="2A3D0E7D"/>
    <w:rsid w:val="2A5F48C5"/>
    <w:rsid w:val="2AAE45E6"/>
    <w:rsid w:val="2AAF3B29"/>
    <w:rsid w:val="2AD040DC"/>
    <w:rsid w:val="2AEB2D77"/>
    <w:rsid w:val="2AF874D6"/>
    <w:rsid w:val="2AFC4959"/>
    <w:rsid w:val="2B207FB2"/>
    <w:rsid w:val="2BAC0068"/>
    <w:rsid w:val="2BDA4B92"/>
    <w:rsid w:val="2C040ADD"/>
    <w:rsid w:val="2C0E2AD1"/>
    <w:rsid w:val="2C2422D1"/>
    <w:rsid w:val="2C574925"/>
    <w:rsid w:val="2C75266B"/>
    <w:rsid w:val="2C995DB7"/>
    <w:rsid w:val="2CA90B98"/>
    <w:rsid w:val="2CDB2EA8"/>
    <w:rsid w:val="2D085772"/>
    <w:rsid w:val="2D4C7B2F"/>
    <w:rsid w:val="2D617977"/>
    <w:rsid w:val="2DB651CE"/>
    <w:rsid w:val="2DE675FB"/>
    <w:rsid w:val="2DF26241"/>
    <w:rsid w:val="2DF67673"/>
    <w:rsid w:val="2DF70EBB"/>
    <w:rsid w:val="2E091100"/>
    <w:rsid w:val="2E2C1BAC"/>
    <w:rsid w:val="2E76495E"/>
    <w:rsid w:val="2EAE4870"/>
    <w:rsid w:val="2ED43E5D"/>
    <w:rsid w:val="2ED7364E"/>
    <w:rsid w:val="2EF6130C"/>
    <w:rsid w:val="2F837598"/>
    <w:rsid w:val="2F9C21A2"/>
    <w:rsid w:val="2FDF6AC5"/>
    <w:rsid w:val="2FE61ED8"/>
    <w:rsid w:val="2FE9694B"/>
    <w:rsid w:val="302B79F1"/>
    <w:rsid w:val="303921E8"/>
    <w:rsid w:val="30395356"/>
    <w:rsid w:val="30647164"/>
    <w:rsid w:val="306B36FA"/>
    <w:rsid w:val="3084005B"/>
    <w:rsid w:val="30910AFB"/>
    <w:rsid w:val="31330E28"/>
    <w:rsid w:val="314D5CCF"/>
    <w:rsid w:val="317E0F66"/>
    <w:rsid w:val="319C3D50"/>
    <w:rsid w:val="319E1A95"/>
    <w:rsid w:val="31E818C8"/>
    <w:rsid w:val="3216623C"/>
    <w:rsid w:val="321921D0"/>
    <w:rsid w:val="322C1F03"/>
    <w:rsid w:val="32452FC5"/>
    <w:rsid w:val="32654F54"/>
    <w:rsid w:val="329D528B"/>
    <w:rsid w:val="331679F7"/>
    <w:rsid w:val="331704BD"/>
    <w:rsid w:val="333D2BF4"/>
    <w:rsid w:val="333D75CF"/>
    <w:rsid w:val="33533F1D"/>
    <w:rsid w:val="33775400"/>
    <w:rsid w:val="33791178"/>
    <w:rsid w:val="338B203C"/>
    <w:rsid w:val="33A6414D"/>
    <w:rsid w:val="33D140D6"/>
    <w:rsid w:val="3437693D"/>
    <w:rsid w:val="34485A68"/>
    <w:rsid w:val="34894016"/>
    <w:rsid w:val="349B0B9F"/>
    <w:rsid w:val="34A55F9D"/>
    <w:rsid w:val="34AF5E8F"/>
    <w:rsid w:val="34E92DF2"/>
    <w:rsid w:val="351D3D85"/>
    <w:rsid w:val="35297908"/>
    <w:rsid w:val="353F3CFB"/>
    <w:rsid w:val="357D57E1"/>
    <w:rsid w:val="35B069A7"/>
    <w:rsid w:val="35C24F89"/>
    <w:rsid w:val="366A4DA8"/>
    <w:rsid w:val="366F2E4A"/>
    <w:rsid w:val="369A2271"/>
    <w:rsid w:val="36A66F32"/>
    <w:rsid w:val="36C15D3B"/>
    <w:rsid w:val="36EB6CA2"/>
    <w:rsid w:val="371C4C2E"/>
    <w:rsid w:val="372C7679"/>
    <w:rsid w:val="375225D7"/>
    <w:rsid w:val="37630DBD"/>
    <w:rsid w:val="377A726D"/>
    <w:rsid w:val="378F2ADA"/>
    <w:rsid w:val="37B4430C"/>
    <w:rsid w:val="38082ACA"/>
    <w:rsid w:val="3862042D"/>
    <w:rsid w:val="3868610D"/>
    <w:rsid w:val="387A02BC"/>
    <w:rsid w:val="388660C5"/>
    <w:rsid w:val="388742B0"/>
    <w:rsid w:val="388C54AA"/>
    <w:rsid w:val="38A21C39"/>
    <w:rsid w:val="38C5276A"/>
    <w:rsid w:val="3925589B"/>
    <w:rsid w:val="39292CF8"/>
    <w:rsid w:val="392C22DA"/>
    <w:rsid w:val="399050F9"/>
    <w:rsid w:val="39B755BB"/>
    <w:rsid w:val="3A1336D0"/>
    <w:rsid w:val="3A6823E1"/>
    <w:rsid w:val="3A8D6864"/>
    <w:rsid w:val="3AA773D3"/>
    <w:rsid w:val="3AA91CD9"/>
    <w:rsid w:val="3AB139ED"/>
    <w:rsid w:val="3B09258C"/>
    <w:rsid w:val="3B1E0DB4"/>
    <w:rsid w:val="3B4D289E"/>
    <w:rsid w:val="3B9D79CE"/>
    <w:rsid w:val="3BF0778A"/>
    <w:rsid w:val="3BF910A8"/>
    <w:rsid w:val="3C0815AA"/>
    <w:rsid w:val="3C7E0B29"/>
    <w:rsid w:val="3D142A16"/>
    <w:rsid w:val="3D3305EA"/>
    <w:rsid w:val="3D374D9F"/>
    <w:rsid w:val="3D694CC9"/>
    <w:rsid w:val="3D6C7658"/>
    <w:rsid w:val="3D725F3C"/>
    <w:rsid w:val="3D7E5249"/>
    <w:rsid w:val="3D8C1AA8"/>
    <w:rsid w:val="3D8C261B"/>
    <w:rsid w:val="3DA43295"/>
    <w:rsid w:val="3DB92C12"/>
    <w:rsid w:val="3DC80E16"/>
    <w:rsid w:val="3DCB5F44"/>
    <w:rsid w:val="3E095044"/>
    <w:rsid w:val="3E2F2C26"/>
    <w:rsid w:val="3E4619B8"/>
    <w:rsid w:val="3E8D1F7B"/>
    <w:rsid w:val="3ED37476"/>
    <w:rsid w:val="3F070849"/>
    <w:rsid w:val="3F4F0FDF"/>
    <w:rsid w:val="3F56236D"/>
    <w:rsid w:val="3F87608A"/>
    <w:rsid w:val="400A4401"/>
    <w:rsid w:val="40491F6F"/>
    <w:rsid w:val="40784F42"/>
    <w:rsid w:val="40C35F1E"/>
    <w:rsid w:val="410C6B9B"/>
    <w:rsid w:val="41247A50"/>
    <w:rsid w:val="412F541A"/>
    <w:rsid w:val="41542ED6"/>
    <w:rsid w:val="41A76EB0"/>
    <w:rsid w:val="41AC25D7"/>
    <w:rsid w:val="41C757A4"/>
    <w:rsid w:val="41F3725F"/>
    <w:rsid w:val="41F92EF4"/>
    <w:rsid w:val="42060D20"/>
    <w:rsid w:val="42274495"/>
    <w:rsid w:val="42460934"/>
    <w:rsid w:val="42484D80"/>
    <w:rsid w:val="4251506E"/>
    <w:rsid w:val="42890CAC"/>
    <w:rsid w:val="42BF7437"/>
    <w:rsid w:val="42C93216"/>
    <w:rsid w:val="42F51025"/>
    <w:rsid w:val="42F70F8D"/>
    <w:rsid w:val="43095949"/>
    <w:rsid w:val="43106CD7"/>
    <w:rsid w:val="434A420F"/>
    <w:rsid w:val="434F77FF"/>
    <w:rsid w:val="436D19F1"/>
    <w:rsid w:val="438748C7"/>
    <w:rsid w:val="438A0837"/>
    <w:rsid w:val="438D0328"/>
    <w:rsid w:val="438E43F3"/>
    <w:rsid w:val="43B4678F"/>
    <w:rsid w:val="43BE6029"/>
    <w:rsid w:val="43C656B9"/>
    <w:rsid w:val="43F04987"/>
    <w:rsid w:val="44116D65"/>
    <w:rsid w:val="441A7E0D"/>
    <w:rsid w:val="44202F4A"/>
    <w:rsid w:val="44401DD0"/>
    <w:rsid w:val="44530378"/>
    <w:rsid w:val="44712E92"/>
    <w:rsid w:val="4471308E"/>
    <w:rsid w:val="44852008"/>
    <w:rsid w:val="448A3410"/>
    <w:rsid w:val="44DB7F5F"/>
    <w:rsid w:val="44E73CA2"/>
    <w:rsid w:val="45035AD9"/>
    <w:rsid w:val="45321187"/>
    <w:rsid w:val="45A2162D"/>
    <w:rsid w:val="46065C49"/>
    <w:rsid w:val="46261F4F"/>
    <w:rsid w:val="46310DA0"/>
    <w:rsid w:val="464140E0"/>
    <w:rsid w:val="466435C2"/>
    <w:rsid w:val="4685516B"/>
    <w:rsid w:val="4693572E"/>
    <w:rsid w:val="46B53E1D"/>
    <w:rsid w:val="46B967EB"/>
    <w:rsid w:val="471D2CCD"/>
    <w:rsid w:val="47346769"/>
    <w:rsid w:val="47353237"/>
    <w:rsid w:val="47406BAF"/>
    <w:rsid w:val="474B6530"/>
    <w:rsid w:val="47504376"/>
    <w:rsid w:val="4750657C"/>
    <w:rsid w:val="476717F2"/>
    <w:rsid w:val="476D64A6"/>
    <w:rsid w:val="479565EE"/>
    <w:rsid w:val="47A06CD3"/>
    <w:rsid w:val="48401E0D"/>
    <w:rsid w:val="48C84486"/>
    <w:rsid w:val="48DB3A6C"/>
    <w:rsid w:val="48EF512A"/>
    <w:rsid w:val="49081BDE"/>
    <w:rsid w:val="490D6193"/>
    <w:rsid w:val="497E0E3E"/>
    <w:rsid w:val="49A60395"/>
    <w:rsid w:val="49C36851"/>
    <w:rsid w:val="49C5081B"/>
    <w:rsid w:val="49EE7104"/>
    <w:rsid w:val="4A1A65DB"/>
    <w:rsid w:val="4A2A68D0"/>
    <w:rsid w:val="4A5120AF"/>
    <w:rsid w:val="4A62155C"/>
    <w:rsid w:val="4A813AF1"/>
    <w:rsid w:val="4A8A1BDF"/>
    <w:rsid w:val="4ACC5BD9"/>
    <w:rsid w:val="4AFC4731"/>
    <w:rsid w:val="4B2477C4"/>
    <w:rsid w:val="4BB17AD3"/>
    <w:rsid w:val="4BB65442"/>
    <w:rsid w:val="4C092F6B"/>
    <w:rsid w:val="4C1E4068"/>
    <w:rsid w:val="4C5A6E5D"/>
    <w:rsid w:val="4D80767E"/>
    <w:rsid w:val="4DA44BEC"/>
    <w:rsid w:val="4DA9303C"/>
    <w:rsid w:val="4DEC0971"/>
    <w:rsid w:val="4DF700E1"/>
    <w:rsid w:val="4DFF506D"/>
    <w:rsid w:val="4E04485B"/>
    <w:rsid w:val="4E3E6FCD"/>
    <w:rsid w:val="4E804FB2"/>
    <w:rsid w:val="4EB84D19"/>
    <w:rsid w:val="4F07585E"/>
    <w:rsid w:val="4F0C499F"/>
    <w:rsid w:val="4F155DA1"/>
    <w:rsid w:val="4F4C2631"/>
    <w:rsid w:val="4F6D66E8"/>
    <w:rsid w:val="4F875A7A"/>
    <w:rsid w:val="4FC03AC9"/>
    <w:rsid w:val="50096F88"/>
    <w:rsid w:val="50301BEB"/>
    <w:rsid w:val="50520DE3"/>
    <w:rsid w:val="50F10148"/>
    <w:rsid w:val="512F6EC2"/>
    <w:rsid w:val="519412E6"/>
    <w:rsid w:val="51CA4951"/>
    <w:rsid w:val="51DC741C"/>
    <w:rsid w:val="522C68D0"/>
    <w:rsid w:val="522F358F"/>
    <w:rsid w:val="5256366B"/>
    <w:rsid w:val="52A86F2C"/>
    <w:rsid w:val="52AA785F"/>
    <w:rsid w:val="530D1AEC"/>
    <w:rsid w:val="532C190B"/>
    <w:rsid w:val="537B21A9"/>
    <w:rsid w:val="53B042EA"/>
    <w:rsid w:val="53F654B5"/>
    <w:rsid w:val="542257AF"/>
    <w:rsid w:val="54346417"/>
    <w:rsid w:val="54643395"/>
    <w:rsid w:val="548447FB"/>
    <w:rsid w:val="549E6424"/>
    <w:rsid w:val="54B9612F"/>
    <w:rsid w:val="54C52EC8"/>
    <w:rsid w:val="5511480A"/>
    <w:rsid w:val="55630EE8"/>
    <w:rsid w:val="55B56564"/>
    <w:rsid w:val="55CD6504"/>
    <w:rsid w:val="55DB095E"/>
    <w:rsid w:val="56047ABC"/>
    <w:rsid w:val="562D0F9D"/>
    <w:rsid w:val="563623C6"/>
    <w:rsid w:val="56690780"/>
    <w:rsid w:val="569530BB"/>
    <w:rsid w:val="569752EE"/>
    <w:rsid w:val="56A0610D"/>
    <w:rsid w:val="56AD12F0"/>
    <w:rsid w:val="56C80CE8"/>
    <w:rsid w:val="56CC7A85"/>
    <w:rsid w:val="573C7C43"/>
    <w:rsid w:val="575E1D8E"/>
    <w:rsid w:val="57A96182"/>
    <w:rsid w:val="57C32112"/>
    <w:rsid w:val="57DC7E06"/>
    <w:rsid w:val="57E37DC6"/>
    <w:rsid w:val="5818420C"/>
    <w:rsid w:val="5818521D"/>
    <w:rsid w:val="583D5E0E"/>
    <w:rsid w:val="58685464"/>
    <w:rsid w:val="587C0C3F"/>
    <w:rsid w:val="58B73A25"/>
    <w:rsid w:val="58E73A7A"/>
    <w:rsid w:val="59064C7E"/>
    <w:rsid w:val="590C1A15"/>
    <w:rsid w:val="59101387"/>
    <w:rsid w:val="593D5EDB"/>
    <w:rsid w:val="595D4291"/>
    <w:rsid w:val="59983234"/>
    <w:rsid w:val="59CF467F"/>
    <w:rsid w:val="59D828F1"/>
    <w:rsid w:val="59DF3EB6"/>
    <w:rsid w:val="5A2275C4"/>
    <w:rsid w:val="5A8A0999"/>
    <w:rsid w:val="5A9C0EAD"/>
    <w:rsid w:val="5A9D1BC7"/>
    <w:rsid w:val="5AA06ED4"/>
    <w:rsid w:val="5AA7088E"/>
    <w:rsid w:val="5ABC44B1"/>
    <w:rsid w:val="5B06002B"/>
    <w:rsid w:val="5B1038C0"/>
    <w:rsid w:val="5B1C04B7"/>
    <w:rsid w:val="5B395710"/>
    <w:rsid w:val="5B432627"/>
    <w:rsid w:val="5B4812AC"/>
    <w:rsid w:val="5B801611"/>
    <w:rsid w:val="5BC111CB"/>
    <w:rsid w:val="5C9200E1"/>
    <w:rsid w:val="5CD82D12"/>
    <w:rsid w:val="5D005A05"/>
    <w:rsid w:val="5DA36CD8"/>
    <w:rsid w:val="5DA42A27"/>
    <w:rsid w:val="5DC34C1A"/>
    <w:rsid w:val="5E867557"/>
    <w:rsid w:val="5E8911EF"/>
    <w:rsid w:val="5EA67731"/>
    <w:rsid w:val="5EC05130"/>
    <w:rsid w:val="5F2973FA"/>
    <w:rsid w:val="5F466206"/>
    <w:rsid w:val="5F512932"/>
    <w:rsid w:val="5F703480"/>
    <w:rsid w:val="5F7E0EC4"/>
    <w:rsid w:val="5FC15C6F"/>
    <w:rsid w:val="5FC2064A"/>
    <w:rsid w:val="600D6620"/>
    <w:rsid w:val="60C969EB"/>
    <w:rsid w:val="60DD2497"/>
    <w:rsid w:val="60E20EAF"/>
    <w:rsid w:val="61742027"/>
    <w:rsid w:val="617F3156"/>
    <w:rsid w:val="6240636C"/>
    <w:rsid w:val="624C284E"/>
    <w:rsid w:val="628D57F7"/>
    <w:rsid w:val="62D6719E"/>
    <w:rsid w:val="630E24A8"/>
    <w:rsid w:val="63665E33"/>
    <w:rsid w:val="636858B0"/>
    <w:rsid w:val="63704AA8"/>
    <w:rsid w:val="639A71E0"/>
    <w:rsid w:val="63F4655A"/>
    <w:rsid w:val="64032214"/>
    <w:rsid w:val="641655BB"/>
    <w:rsid w:val="642E5089"/>
    <w:rsid w:val="646515EF"/>
    <w:rsid w:val="647A1DAB"/>
    <w:rsid w:val="64B90B25"/>
    <w:rsid w:val="64D12312"/>
    <w:rsid w:val="659D4768"/>
    <w:rsid w:val="662E0517"/>
    <w:rsid w:val="66AD0B06"/>
    <w:rsid w:val="66C11F13"/>
    <w:rsid w:val="66F45E44"/>
    <w:rsid w:val="675754C9"/>
    <w:rsid w:val="67790849"/>
    <w:rsid w:val="679079C9"/>
    <w:rsid w:val="67EE51F3"/>
    <w:rsid w:val="67FC1454"/>
    <w:rsid w:val="68126ECA"/>
    <w:rsid w:val="685A4EA2"/>
    <w:rsid w:val="686B482C"/>
    <w:rsid w:val="68955405"/>
    <w:rsid w:val="68A50491"/>
    <w:rsid w:val="68B13C05"/>
    <w:rsid w:val="68C111CC"/>
    <w:rsid w:val="69006C6D"/>
    <w:rsid w:val="690507DD"/>
    <w:rsid w:val="696E7D47"/>
    <w:rsid w:val="69BC64AB"/>
    <w:rsid w:val="69BD2E65"/>
    <w:rsid w:val="69C5323D"/>
    <w:rsid w:val="6A4A0944"/>
    <w:rsid w:val="6A5870C2"/>
    <w:rsid w:val="6A65789B"/>
    <w:rsid w:val="6A9C6603"/>
    <w:rsid w:val="6AEA21D6"/>
    <w:rsid w:val="6B0A4D03"/>
    <w:rsid w:val="6B0D7632"/>
    <w:rsid w:val="6B3D2B48"/>
    <w:rsid w:val="6B9C29D3"/>
    <w:rsid w:val="6BF32B6E"/>
    <w:rsid w:val="6C0B610A"/>
    <w:rsid w:val="6C5555D7"/>
    <w:rsid w:val="6C9F7C5C"/>
    <w:rsid w:val="6CA43329"/>
    <w:rsid w:val="6CC10EBE"/>
    <w:rsid w:val="6D06169B"/>
    <w:rsid w:val="6D142AF5"/>
    <w:rsid w:val="6D24675E"/>
    <w:rsid w:val="6D687169"/>
    <w:rsid w:val="6D965EA7"/>
    <w:rsid w:val="6D9B59B8"/>
    <w:rsid w:val="6DF35D8F"/>
    <w:rsid w:val="6E2A3575"/>
    <w:rsid w:val="6E3F209B"/>
    <w:rsid w:val="6E7C2EBD"/>
    <w:rsid w:val="6EB911CD"/>
    <w:rsid w:val="6EF9560A"/>
    <w:rsid w:val="6F213EBA"/>
    <w:rsid w:val="6F643DC1"/>
    <w:rsid w:val="6F6C598C"/>
    <w:rsid w:val="6F795A80"/>
    <w:rsid w:val="6F8957C7"/>
    <w:rsid w:val="6FA031C1"/>
    <w:rsid w:val="6FA100AD"/>
    <w:rsid w:val="6FBE7CC4"/>
    <w:rsid w:val="6FF13ACB"/>
    <w:rsid w:val="6FFD066C"/>
    <w:rsid w:val="70136F9A"/>
    <w:rsid w:val="702C5EC4"/>
    <w:rsid w:val="703A567D"/>
    <w:rsid w:val="70561A77"/>
    <w:rsid w:val="70D70373"/>
    <w:rsid w:val="71341C5F"/>
    <w:rsid w:val="71C67A54"/>
    <w:rsid w:val="71D76A8E"/>
    <w:rsid w:val="72234FF6"/>
    <w:rsid w:val="722F3DBE"/>
    <w:rsid w:val="72392B19"/>
    <w:rsid w:val="729624A5"/>
    <w:rsid w:val="72BA206F"/>
    <w:rsid w:val="72F30DFA"/>
    <w:rsid w:val="730D7AEA"/>
    <w:rsid w:val="731C0C24"/>
    <w:rsid w:val="7330127B"/>
    <w:rsid w:val="73373C88"/>
    <w:rsid w:val="737A742B"/>
    <w:rsid w:val="739509AF"/>
    <w:rsid w:val="73CD298E"/>
    <w:rsid w:val="742C0509"/>
    <w:rsid w:val="743B3304"/>
    <w:rsid w:val="746A1E3C"/>
    <w:rsid w:val="74706124"/>
    <w:rsid w:val="74761554"/>
    <w:rsid w:val="747B75D9"/>
    <w:rsid w:val="74820F33"/>
    <w:rsid w:val="74933140"/>
    <w:rsid w:val="74C07F99"/>
    <w:rsid w:val="74E30E76"/>
    <w:rsid w:val="750C4CA1"/>
    <w:rsid w:val="753D5800"/>
    <w:rsid w:val="754E25B8"/>
    <w:rsid w:val="7551340C"/>
    <w:rsid w:val="75562F5B"/>
    <w:rsid w:val="75AA6994"/>
    <w:rsid w:val="75E14BE3"/>
    <w:rsid w:val="75F25C45"/>
    <w:rsid w:val="75FA0B4B"/>
    <w:rsid w:val="764F3097"/>
    <w:rsid w:val="769D43B5"/>
    <w:rsid w:val="76A52F5F"/>
    <w:rsid w:val="76BF021D"/>
    <w:rsid w:val="76E979EB"/>
    <w:rsid w:val="772B17D5"/>
    <w:rsid w:val="77D9530E"/>
    <w:rsid w:val="780305DD"/>
    <w:rsid w:val="780A371A"/>
    <w:rsid w:val="78112F0C"/>
    <w:rsid w:val="781227DC"/>
    <w:rsid w:val="78252301"/>
    <w:rsid w:val="782A4813"/>
    <w:rsid w:val="7835082F"/>
    <w:rsid w:val="78CC2CFF"/>
    <w:rsid w:val="793F5645"/>
    <w:rsid w:val="797A149A"/>
    <w:rsid w:val="79BD41FF"/>
    <w:rsid w:val="79F77BB8"/>
    <w:rsid w:val="7A314CF7"/>
    <w:rsid w:val="7A6D691C"/>
    <w:rsid w:val="7A8A5D40"/>
    <w:rsid w:val="7AB14320"/>
    <w:rsid w:val="7ABD0C22"/>
    <w:rsid w:val="7ADA6EA2"/>
    <w:rsid w:val="7AE438C9"/>
    <w:rsid w:val="7B211BCB"/>
    <w:rsid w:val="7B226FCC"/>
    <w:rsid w:val="7B376AA9"/>
    <w:rsid w:val="7B3A1738"/>
    <w:rsid w:val="7B8C08E9"/>
    <w:rsid w:val="7BAF46B3"/>
    <w:rsid w:val="7BE93E7E"/>
    <w:rsid w:val="7C0430DE"/>
    <w:rsid w:val="7C1F723F"/>
    <w:rsid w:val="7CED58B2"/>
    <w:rsid w:val="7CF75B2B"/>
    <w:rsid w:val="7CFE75C5"/>
    <w:rsid w:val="7D050953"/>
    <w:rsid w:val="7D133233"/>
    <w:rsid w:val="7D274134"/>
    <w:rsid w:val="7D395BDC"/>
    <w:rsid w:val="7DCF73B0"/>
    <w:rsid w:val="7E12588B"/>
    <w:rsid w:val="7E235535"/>
    <w:rsid w:val="7E2D6024"/>
    <w:rsid w:val="7E5428F3"/>
    <w:rsid w:val="7EC86B48"/>
    <w:rsid w:val="7ED51D27"/>
    <w:rsid w:val="7F5D6825"/>
    <w:rsid w:val="7FC164A6"/>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unhideWhenUsed/>
    <w:qFormat/>
    <w:uiPriority w:val="0"/>
    <w:pPr>
      <w:keepNext/>
      <w:keepLines/>
      <w:jc w:val="left"/>
      <w:outlineLvl w:val="1"/>
    </w:pPr>
    <w:rPr>
      <w:b/>
      <w:bCs/>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adjustRightInd w:val="0"/>
      <w:spacing w:after="120" w:line="312" w:lineRule="atLeast"/>
      <w:ind w:left="420"/>
      <w:textAlignment w:val="baseline"/>
    </w:pPr>
    <w:rPr>
      <w:kern w:val="0"/>
    </w:rPr>
  </w:style>
  <w:style w:type="paragraph" w:styleId="5">
    <w:name w:val="Body Text"/>
    <w:basedOn w:val="1"/>
    <w:next w:val="6"/>
    <w:qFormat/>
    <w:uiPriority w:val="0"/>
    <w:pPr>
      <w:widowControl w:val="0"/>
      <w:spacing w:line="620" w:lineRule="exact"/>
    </w:pPr>
    <w:rPr>
      <w:rFonts w:eastAsia="仿宋_GB2312"/>
      <w:b/>
      <w:sz w:val="32"/>
      <w:u w:val="single"/>
      <w:lang w:val="en-US" w:eastAsia="zh-CN" w:bidi="ar-SA"/>
    </w:rPr>
  </w:style>
  <w:style w:type="paragraph" w:styleId="6">
    <w:name w:val="toc 5"/>
    <w:basedOn w:val="1"/>
    <w:next w:val="1"/>
    <w:qFormat/>
    <w:uiPriority w:val="0"/>
    <w:pPr>
      <w:ind w:left="1680" w:leftChars="800"/>
    </w:pPr>
    <w:rPr>
      <w:rFonts w:ascii="Times New Roman" w:hAnsi="Times New Roma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page number"/>
    <w:basedOn w:val="11"/>
    <w:qFormat/>
    <w:uiPriority w:val="0"/>
  </w:style>
  <w:style w:type="paragraph" w:customStyle="1" w:styleId="13">
    <w:name w:val="实施方案正文"/>
    <w:basedOn w:val="14"/>
    <w:qFormat/>
    <w:uiPriority w:val="0"/>
    <w:pPr>
      <w:ind w:firstLine="566" w:firstLineChars="202"/>
    </w:pPr>
  </w:style>
  <w:style w:type="paragraph" w:customStyle="1" w:styleId="14">
    <w:name w:val="正文 New"/>
    <w:next w:val="13"/>
    <w:qFormat/>
    <w:uiPriority w:val="0"/>
    <w:pPr>
      <w:widowControl w:val="0"/>
      <w:spacing w:line="588" w:lineRule="exact"/>
      <w:ind w:firstLine="200" w:firstLineChars="200"/>
      <w:jc w:val="both"/>
      <w:textAlignment w:val="center"/>
    </w:pPr>
    <w:rPr>
      <w:rFonts w:ascii="Calibri" w:hAnsi="Calibri" w:eastAsia="方正仿宋_GBK" w:cs="Times New Roman"/>
      <w:kern w:val="2"/>
      <w:sz w:val="30"/>
      <w:szCs w:val="22"/>
      <w:lang w:val="en-US" w:eastAsia="zh-CN" w:bidi="ar-SA"/>
    </w:rPr>
  </w:style>
  <w:style w:type="paragraph" w:customStyle="1" w:styleId="15">
    <w:name w:val="BodyText"/>
    <w:basedOn w:val="1"/>
    <w:qFormat/>
    <w:uiPriority w:val="0"/>
    <w:pPr>
      <w:spacing w:after="120" w:line="240" w:lineRule="auto"/>
      <w:jc w:val="both"/>
      <w:textAlignment w:val="baseline"/>
    </w:pPr>
    <w:rPr>
      <w:rFonts w:ascii="Calibri" w:hAnsi="Calibri" w:eastAsia="宋体"/>
      <w:kern w:val="2"/>
      <w:sz w:val="21"/>
      <w:szCs w:val="24"/>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8192</Words>
  <Characters>10956</Characters>
  <Lines>0</Lines>
  <Paragraphs>0</Paragraphs>
  <TotalTime>2</TotalTime>
  <ScaleCrop>false</ScaleCrop>
  <LinksUpToDate>false</LinksUpToDate>
  <CharactersWithSpaces>10956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2022-08-08T08:54:00Z</dcterms:created>
  <dc:creator>Administrator</dc:creator>
  <cp:lastModifiedBy>余伟平</cp:lastModifiedBy>
  <cp:lastPrinted>2022-08-09T07:13:00Z</cp:lastPrinted>
  <dcterms:modified xsi:type="dcterms:W3CDTF">2026-08-05T07:31:08Z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C3AE97B268DB46DE8697693339C00FEF</vt:lpwstr>
  </property>
  <property fmtid="{D5CDD505-2E9C-101B-9397-08002B2CF9AE}" pid="4" name="KSOTemplateDocerSaveRecord">
    <vt:lpwstr>eyJoZGlkIjoiNTRiMjM1ZGRiMGM0NjUzZTFmMmRmOGU4NWI3NTJhNTciLCJ1c2VySWQiOiIxNjE2Njk4OTA2In0=</vt:lpwstr>
  </property>
</Properties>
</file>