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3AA7F">
      <w:pPr>
        <w:pStyle w:val="3"/>
        <w:spacing w:line="242" w:lineRule="auto"/>
        <w:rPr>
          <w:color w:val="auto"/>
        </w:rPr>
      </w:pPr>
    </w:p>
    <w:p w14:paraId="1EAB6CAD">
      <w:pPr>
        <w:pStyle w:val="3"/>
        <w:spacing w:line="242" w:lineRule="auto"/>
        <w:rPr>
          <w:color w:val="auto"/>
        </w:rPr>
      </w:pPr>
    </w:p>
    <w:p w14:paraId="42B4D0A8">
      <w:pPr>
        <w:spacing w:before="305" w:line="185" w:lineRule="auto"/>
        <w:ind w:left="222"/>
        <w:outlineLvl w:val="0"/>
        <w:rPr>
          <w:rFonts w:ascii="微软雅黑" w:hAnsi="微软雅黑" w:eastAsia="微软雅黑" w:cs="微软雅黑"/>
          <w:color w:val="auto"/>
          <w:sz w:val="71"/>
          <w:szCs w:val="71"/>
        </w:rPr>
      </w:pPr>
      <w:r>
        <w:rPr>
          <w:rFonts w:ascii="微软雅黑" w:hAnsi="微软雅黑" w:eastAsia="微软雅黑" w:cs="微软雅黑"/>
          <w:color w:val="auto"/>
          <w:spacing w:val="8"/>
          <w:sz w:val="71"/>
          <w:szCs w:val="71"/>
        </w:rPr>
        <w:t>建设项目环境影响报告表</w:t>
      </w:r>
    </w:p>
    <w:p w14:paraId="33B5C970">
      <w:pPr>
        <w:spacing w:before="345" w:line="227" w:lineRule="auto"/>
        <w:ind w:left="2541"/>
        <w:rPr>
          <w:rFonts w:ascii="楷体" w:hAnsi="楷体" w:eastAsia="楷体" w:cs="楷体"/>
          <w:color w:val="auto"/>
          <w:sz w:val="47"/>
          <w:szCs w:val="47"/>
        </w:rPr>
      </w:pPr>
      <w:r>
        <w:rPr>
          <w:rFonts w:ascii="楷体" w:hAnsi="楷体" w:eastAsia="楷体" w:cs="楷体"/>
          <w:color w:val="auto"/>
          <w:sz w:val="47"/>
          <w:szCs w:val="47"/>
        </w:rPr>
        <w:t>（污染影响类）</w:t>
      </w:r>
    </w:p>
    <w:p w14:paraId="135A7BE4">
      <w:pPr>
        <w:pStyle w:val="3"/>
        <w:spacing w:line="241" w:lineRule="auto"/>
        <w:rPr>
          <w:rFonts w:hint="eastAsia" w:ascii="宋体" w:hAnsi="宋体" w:eastAsia="宋体" w:cs="宋体"/>
          <w:color w:val="auto"/>
          <w:sz w:val="32"/>
          <w:szCs w:val="32"/>
        </w:rPr>
      </w:pPr>
    </w:p>
    <w:p w14:paraId="4465E3A8">
      <w:pPr>
        <w:pStyle w:val="3"/>
        <w:spacing w:line="241" w:lineRule="auto"/>
        <w:rPr>
          <w:rFonts w:hint="eastAsia" w:ascii="宋体" w:hAnsi="宋体" w:eastAsia="宋体" w:cs="宋体"/>
          <w:color w:val="auto"/>
          <w:sz w:val="32"/>
          <w:szCs w:val="32"/>
        </w:rPr>
      </w:pPr>
    </w:p>
    <w:p w14:paraId="6D78E66E">
      <w:pPr>
        <w:pStyle w:val="3"/>
        <w:spacing w:line="241" w:lineRule="auto"/>
        <w:rPr>
          <w:rFonts w:hint="eastAsia" w:ascii="宋体" w:hAnsi="宋体" w:eastAsia="宋体" w:cs="宋体"/>
          <w:color w:val="auto"/>
          <w:sz w:val="32"/>
          <w:szCs w:val="32"/>
        </w:rPr>
      </w:pPr>
    </w:p>
    <w:p w14:paraId="22B66946">
      <w:pPr>
        <w:pStyle w:val="3"/>
        <w:spacing w:line="241" w:lineRule="auto"/>
        <w:rPr>
          <w:rFonts w:hint="eastAsia" w:ascii="宋体" w:hAnsi="宋体" w:eastAsia="宋体" w:cs="宋体"/>
          <w:color w:val="auto"/>
          <w:sz w:val="32"/>
          <w:szCs w:val="32"/>
        </w:rPr>
      </w:pPr>
    </w:p>
    <w:p w14:paraId="637AF386">
      <w:pPr>
        <w:pStyle w:val="3"/>
        <w:spacing w:line="241" w:lineRule="auto"/>
        <w:rPr>
          <w:rFonts w:hint="eastAsia" w:ascii="宋体" w:hAnsi="宋体" w:eastAsia="宋体" w:cs="宋体"/>
          <w:color w:val="auto"/>
          <w:sz w:val="32"/>
          <w:szCs w:val="32"/>
        </w:rPr>
      </w:pPr>
    </w:p>
    <w:p w14:paraId="761F7C71">
      <w:pPr>
        <w:pStyle w:val="3"/>
        <w:spacing w:line="242" w:lineRule="auto"/>
        <w:rPr>
          <w:rFonts w:hint="eastAsia" w:ascii="宋体" w:hAnsi="宋体" w:eastAsia="宋体" w:cs="宋体"/>
          <w:color w:val="auto"/>
          <w:sz w:val="32"/>
          <w:szCs w:val="32"/>
        </w:rPr>
      </w:pPr>
    </w:p>
    <w:p w14:paraId="7072B1C7">
      <w:pPr>
        <w:pStyle w:val="3"/>
        <w:spacing w:line="242" w:lineRule="auto"/>
        <w:rPr>
          <w:rFonts w:hint="eastAsia" w:ascii="宋体" w:hAnsi="宋体" w:eastAsia="宋体" w:cs="宋体"/>
          <w:color w:val="auto"/>
          <w:sz w:val="32"/>
          <w:szCs w:val="32"/>
        </w:rPr>
      </w:pPr>
    </w:p>
    <w:p w14:paraId="31999880">
      <w:pPr>
        <w:keepNext w:val="0"/>
        <w:keepLines w:val="0"/>
        <w:pageBreakBefore w:val="0"/>
        <w:widowControl w:val="0"/>
        <w:kinsoku/>
        <w:wordWrap/>
        <w:overflowPunct/>
        <w:topLinePunct w:val="0"/>
        <w:autoSpaceDE/>
        <w:autoSpaceDN/>
        <w:bidi w:val="0"/>
        <w:adjustRightInd/>
        <w:snapToGrid/>
        <w:spacing w:before="113" w:line="480" w:lineRule="auto"/>
        <w:ind w:left="1840" w:right="156" w:hanging="1801"/>
        <w:textAlignment w:val="auto"/>
        <w:rPr>
          <w:rFonts w:hint="eastAsia" w:ascii="宋体" w:hAnsi="宋体" w:eastAsia="宋体" w:cs="宋体"/>
          <w:color w:val="auto"/>
          <w:spacing w:val="-11"/>
          <w:sz w:val="32"/>
          <w:szCs w:val="32"/>
        </w:rPr>
      </w:pPr>
      <w:r>
        <w:rPr>
          <w:rFonts w:hint="eastAsia" w:ascii="宋体" w:hAnsi="宋体" w:eastAsia="宋体" w:cs="宋体"/>
          <w:color w:val="auto"/>
          <w:spacing w:val="-11"/>
          <w:sz w:val="32"/>
          <w:szCs w:val="32"/>
        </w:rPr>
        <w:t>项目名称：</w:t>
      </w:r>
      <w:r>
        <w:rPr>
          <w:rFonts w:hint="eastAsia" w:ascii="宋体" w:hAnsi="宋体" w:eastAsia="宋体" w:cs="宋体"/>
          <w:color w:val="auto"/>
          <w:spacing w:val="-11"/>
          <w:sz w:val="32"/>
          <w:szCs w:val="32"/>
          <w:u w:val="single" w:color="auto"/>
          <w:lang w:val="en-US" w:eastAsia="zh-CN"/>
        </w:rPr>
        <w:t>昆明优竹商贸有限公司烟花爆竹存储仓库改扩建项目</w:t>
      </w:r>
    </w:p>
    <w:p w14:paraId="05177936">
      <w:pPr>
        <w:keepNext w:val="0"/>
        <w:keepLines w:val="0"/>
        <w:pageBreakBefore w:val="0"/>
        <w:widowControl w:val="0"/>
        <w:kinsoku/>
        <w:wordWrap/>
        <w:overflowPunct/>
        <w:topLinePunct w:val="0"/>
        <w:autoSpaceDE/>
        <w:autoSpaceDN/>
        <w:bidi w:val="0"/>
        <w:adjustRightInd/>
        <w:snapToGrid/>
        <w:spacing w:line="480" w:lineRule="auto"/>
        <w:ind w:left="1716" w:leftChars="17" w:hanging="1680" w:hangingChars="500"/>
        <w:textAlignment w:val="auto"/>
        <w:rPr>
          <w:rFonts w:hint="eastAsia" w:ascii="宋体" w:hAnsi="宋体" w:eastAsia="宋体" w:cs="宋体"/>
          <w:color w:val="auto"/>
          <w:spacing w:val="-10"/>
          <w:sz w:val="32"/>
          <w:szCs w:val="32"/>
          <w:u w:val="single" w:color="auto"/>
          <w:lang w:val="en-US" w:eastAsia="zh-CN"/>
        </w:rPr>
      </w:pPr>
      <w:r>
        <w:rPr>
          <w:rFonts w:hint="eastAsia" w:ascii="宋体" w:hAnsi="宋体" w:eastAsia="宋体" w:cs="宋体"/>
          <w:color w:val="auto"/>
          <w:spacing w:val="8"/>
          <w:sz w:val="32"/>
          <w:szCs w:val="32"/>
        </w:rPr>
        <w:t>建设单位（盖章</w:t>
      </w:r>
      <w:r>
        <w:rPr>
          <w:rFonts w:hint="eastAsia" w:ascii="宋体" w:hAnsi="宋体" w:eastAsia="宋体" w:cs="宋体"/>
          <w:color w:val="auto"/>
          <w:spacing w:val="-97"/>
          <w:sz w:val="32"/>
          <w:szCs w:val="32"/>
        </w:rPr>
        <w:t>）：</w:t>
      </w:r>
      <w:r>
        <w:rPr>
          <w:rFonts w:hint="eastAsia" w:ascii="宋体" w:hAnsi="宋体" w:eastAsia="宋体" w:cs="宋体"/>
          <w:color w:val="auto"/>
          <w:spacing w:val="-142"/>
          <w:sz w:val="32"/>
          <w:szCs w:val="32"/>
        </w:rPr>
        <w:t xml:space="preserve"> </w:t>
      </w:r>
      <w:r>
        <w:rPr>
          <w:rFonts w:hint="eastAsia" w:ascii="宋体" w:hAnsi="宋体" w:eastAsia="宋体" w:cs="宋体"/>
          <w:color w:val="auto"/>
          <w:spacing w:val="-155"/>
          <w:sz w:val="32"/>
          <w:szCs w:val="32"/>
          <w:u w:val="single" w:color="auto"/>
        </w:rPr>
        <w:t xml:space="preserve"> </w:t>
      </w:r>
      <w:r>
        <w:rPr>
          <w:rFonts w:hint="eastAsia" w:ascii="宋体" w:hAnsi="宋体" w:eastAsia="宋体" w:cs="宋体"/>
          <w:color w:val="auto"/>
          <w:spacing w:val="-10"/>
          <w:sz w:val="32"/>
          <w:szCs w:val="32"/>
          <w:u w:val="single" w:color="auto"/>
          <w:lang w:val="en-US" w:eastAsia="zh-CN"/>
        </w:rPr>
        <w:t>昆明优竹商贸有限公司</w:t>
      </w:r>
    </w:p>
    <w:p w14:paraId="1AD3BDC2">
      <w:pPr>
        <w:pStyle w:val="3"/>
        <w:rPr>
          <w:rFonts w:hint="eastAsia" w:ascii="宋体" w:hAnsi="宋体" w:eastAsia="宋体" w:cs="宋体"/>
          <w:color w:val="auto"/>
          <w:spacing w:val="-10"/>
          <w:sz w:val="32"/>
          <w:szCs w:val="32"/>
          <w:u w:val="single" w:color="auto"/>
          <w:lang w:val="en-US" w:eastAsia="zh-CN"/>
        </w:rPr>
      </w:pPr>
    </w:p>
    <w:p w14:paraId="0A9F2FE6">
      <w:pPr>
        <w:pStyle w:val="29"/>
        <w:rPr>
          <w:rFonts w:hint="eastAsia" w:ascii="宋体" w:hAnsi="宋体" w:eastAsia="宋体" w:cs="宋体"/>
          <w:color w:val="auto"/>
          <w:spacing w:val="-10"/>
          <w:sz w:val="32"/>
          <w:szCs w:val="32"/>
          <w:u w:val="single" w:color="auto"/>
          <w:lang w:val="en-US" w:eastAsia="zh-CN"/>
        </w:rPr>
      </w:pPr>
    </w:p>
    <w:p w14:paraId="56A854C6">
      <w:pPr>
        <w:spacing w:line="360" w:lineRule="auto"/>
        <w:jc w:val="both"/>
        <w:rPr>
          <w:rFonts w:hint="eastAsia" w:ascii="宋体" w:hAnsi="宋体" w:eastAsia="宋体" w:cs="宋体"/>
          <w:color w:val="auto"/>
          <w:spacing w:val="-10"/>
          <w:sz w:val="32"/>
          <w:szCs w:val="32"/>
        </w:rPr>
      </w:pPr>
    </w:p>
    <w:p w14:paraId="5BF14D5B">
      <w:pPr>
        <w:spacing w:line="360" w:lineRule="auto"/>
        <w:jc w:val="center"/>
        <w:rPr>
          <w:rFonts w:hint="eastAsia" w:ascii="宋体" w:hAnsi="宋体" w:eastAsia="宋体" w:cs="宋体"/>
          <w:color w:val="auto"/>
          <w:sz w:val="32"/>
          <w:szCs w:val="32"/>
        </w:rPr>
      </w:pPr>
      <w:r>
        <w:rPr>
          <w:rFonts w:hint="eastAsia" w:ascii="宋体" w:hAnsi="宋体" w:eastAsia="宋体" w:cs="宋体"/>
          <w:color w:val="auto"/>
          <w:spacing w:val="-10"/>
          <w:sz w:val="32"/>
          <w:szCs w:val="32"/>
        </w:rPr>
        <w:t>编制日期：</w:t>
      </w:r>
      <w:r>
        <w:rPr>
          <w:rFonts w:hint="eastAsia" w:ascii="宋体" w:hAnsi="宋体" w:eastAsia="宋体" w:cs="宋体"/>
          <w:color w:val="auto"/>
          <w:spacing w:val="-10"/>
          <w:sz w:val="32"/>
          <w:szCs w:val="32"/>
          <w:u w:val="none" w:color="auto"/>
        </w:rPr>
        <w:t>202</w:t>
      </w:r>
      <w:r>
        <w:rPr>
          <w:rFonts w:hint="eastAsia" w:ascii="宋体" w:hAnsi="宋体" w:eastAsia="宋体" w:cs="宋体"/>
          <w:color w:val="auto"/>
          <w:spacing w:val="-10"/>
          <w:sz w:val="32"/>
          <w:szCs w:val="32"/>
          <w:u w:val="none" w:color="auto"/>
          <w:lang w:val="en-US" w:eastAsia="zh-CN"/>
        </w:rPr>
        <w:t>6</w:t>
      </w:r>
      <w:r>
        <w:rPr>
          <w:rFonts w:hint="eastAsia" w:ascii="宋体" w:hAnsi="宋体" w:eastAsia="宋体" w:cs="宋体"/>
          <w:color w:val="auto"/>
          <w:spacing w:val="-47"/>
          <w:sz w:val="32"/>
          <w:szCs w:val="32"/>
          <w:u w:val="none" w:color="auto"/>
        </w:rPr>
        <w:t xml:space="preserve"> </w:t>
      </w:r>
      <w:r>
        <w:rPr>
          <w:rFonts w:hint="eastAsia" w:ascii="宋体" w:hAnsi="宋体" w:eastAsia="宋体" w:cs="宋体"/>
          <w:color w:val="auto"/>
          <w:spacing w:val="-10"/>
          <w:sz w:val="32"/>
          <w:szCs w:val="32"/>
          <w:u w:val="none" w:color="auto"/>
        </w:rPr>
        <w:t>年</w:t>
      </w:r>
      <w:r>
        <w:rPr>
          <w:rFonts w:hint="eastAsia" w:ascii="宋体" w:hAnsi="宋体" w:eastAsia="宋体" w:cs="宋体"/>
          <w:color w:val="auto"/>
          <w:spacing w:val="-45"/>
          <w:sz w:val="32"/>
          <w:szCs w:val="32"/>
          <w:u w:val="none" w:color="auto"/>
        </w:rPr>
        <w:t xml:space="preserve"> </w:t>
      </w:r>
      <w:r>
        <w:rPr>
          <w:rFonts w:hint="eastAsia" w:ascii="宋体" w:hAnsi="宋体" w:cs="宋体"/>
          <w:color w:val="auto"/>
          <w:spacing w:val="-45"/>
          <w:sz w:val="32"/>
          <w:szCs w:val="32"/>
          <w:u w:val="none" w:color="auto"/>
          <w:lang w:val="en-US" w:eastAsia="zh-CN"/>
        </w:rPr>
        <w:t>8</w:t>
      </w:r>
      <w:r>
        <w:rPr>
          <w:rFonts w:hint="eastAsia" w:ascii="宋体" w:hAnsi="宋体" w:eastAsia="宋体" w:cs="宋体"/>
          <w:color w:val="auto"/>
          <w:spacing w:val="-45"/>
          <w:sz w:val="32"/>
          <w:szCs w:val="32"/>
          <w:u w:val="none" w:color="auto"/>
        </w:rPr>
        <w:t xml:space="preserve"> </w:t>
      </w:r>
      <w:r>
        <w:rPr>
          <w:rFonts w:hint="eastAsia" w:ascii="宋体" w:hAnsi="宋体" w:eastAsia="宋体" w:cs="宋体"/>
          <w:color w:val="auto"/>
          <w:spacing w:val="-10"/>
          <w:sz w:val="32"/>
          <w:szCs w:val="32"/>
          <w:u w:val="none" w:color="auto"/>
        </w:rPr>
        <w:t>月</w:t>
      </w:r>
    </w:p>
    <w:p w14:paraId="58232087">
      <w:pPr>
        <w:spacing w:before="115" w:line="230" w:lineRule="auto"/>
        <w:rPr>
          <w:rFonts w:hint="eastAsia" w:ascii="宋体" w:hAnsi="宋体" w:eastAsia="宋体" w:cs="宋体"/>
          <w:color w:val="auto"/>
          <w:spacing w:val="5"/>
          <w:sz w:val="32"/>
          <w:szCs w:val="32"/>
        </w:rPr>
      </w:pPr>
    </w:p>
    <w:p w14:paraId="32091AFC">
      <w:pPr>
        <w:spacing w:before="115" w:line="230" w:lineRule="auto"/>
        <w:jc w:val="center"/>
        <w:rPr>
          <w:rFonts w:hint="eastAsia" w:ascii="宋体" w:hAnsi="宋体" w:eastAsia="宋体" w:cs="宋体"/>
          <w:color w:val="auto"/>
          <w:sz w:val="32"/>
          <w:szCs w:val="32"/>
        </w:rPr>
      </w:pPr>
      <w:r>
        <w:rPr>
          <w:rFonts w:hint="eastAsia" w:ascii="宋体" w:hAnsi="宋体" w:eastAsia="宋体" w:cs="宋体"/>
          <w:color w:val="auto"/>
          <w:spacing w:val="5"/>
          <w:sz w:val="32"/>
          <w:szCs w:val="32"/>
        </w:rPr>
        <w:t>中华人民共和国生态环境部制</w:t>
      </w:r>
    </w:p>
    <w:p w14:paraId="619CC33F">
      <w:pPr>
        <w:spacing w:line="230" w:lineRule="auto"/>
        <w:rPr>
          <w:rFonts w:hint="eastAsia" w:ascii="宋体" w:hAnsi="宋体" w:eastAsia="宋体" w:cs="宋体"/>
          <w:color w:val="auto"/>
          <w:sz w:val="32"/>
          <w:szCs w:val="32"/>
        </w:rPr>
        <w:sectPr>
          <w:pgSz w:w="11906" w:h="16839"/>
          <w:pgMar w:top="1431" w:right="1645" w:bottom="0" w:left="1785" w:header="0" w:footer="0" w:gutter="0"/>
          <w:pgBorders>
            <w:top w:val="none" w:sz="0" w:space="0"/>
            <w:left w:val="none" w:sz="0" w:space="0"/>
            <w:bottom w:val="none" w:sz="0" w:space="0"/>
            <w:right w:val="none" w:sz="0" w:space="0"/>
          </w:pgBorders>
          <w:cols w:space="720" w:num="1"/>
        </w:sectPr>
      </w:pPr>
    </w:p>
    <w:sdt>
      <w:sdtPr>
        <w:rPr>
          <w:rFonts w:ascii="宋体" w:hAnsi="宋体"/>
          <w:color w:val="auto"/>
        </w:rPr>
        <w:id w:val="147465151"/>
        <w:docPartObj>
          <w:docPartGallery w:val="Table of Contents"/>
          <w:docPartUnique/>
        </w:docPartObj>
      </w:sdtPr>
      <w:sdtEndPr>
        <w:rPr>
          <w:rFonts w:ascii="Times New Roman" w:hAnsi="Times New Roman"/>
          <w:color w:val="auto"/>
          <w:szCs w:val="21"/>
        </w:rPr>
      </w:sdtEndPr>
      <w:sdtContent>
        <w:p w14:paraId="0B088888">
          <w:pPr>
            <w:jc w:val="center"/>
            <w:rPr>
              <w:color w:val="auto"/>
              <w:sz w:val="30"/>
              <w:szCs w:val="30"/>
            </w:rPr>
          </w:pPr>
          <w:r>
            <w:rPr>
              <w:rFonts w:ascii="宋体" w:hAnsi="宋体"/>
              <w:b/>
              <w:bCs/>
              <w:color w:val="auto"/>
              <w:sz w:val="30"/>
              <w:szCs w:val="30"/>
            </w:rPr>
            <w:t>目录</w:t>
          </w:r>
        </w:p>
        <w:p w14:paraId="0AE49407">
          <w:pPr>
            <w:pStyle w:val="17"/>
            <w:tabs>
              <w:tab w:val="right" w:leader="dot" w:pos="8844"/>
            </w:tabs>
            <w:spacing w:line="360" w:lineRule="auto"/>
            <w:rPr>
              <w:color w:val="auto"/>
              <w:sz w:val="24"/>
            </w:rPr>
          </w:pPr>
          <w:r>
            <w:rPr>
              <w:color w:val="auto"/>
              <w:sz w:val="24"/>
            </w:rPr>
            <w:fldChar w:fldCharType="begin"/>
          </w:r>
          <w:r>
            <w:rPr>
              <w:color w:val="auto"/>
              <w:sz w:val="24"/>
            </w:rPr>
            <w:instrText xml:space="preserve">TOC \o "1-3" \h \u </w:instrText>
          </w:r>
          <w:r>
            <w:rPr>
              <w:color w:val="auto"/>
              <w:sz w:val="24"/>
            </w:rPr>
            <w:fldChar w:fldCharType="separate"/>
          </w:r>
          <w:r>
            <w:rPr>
              <w:color w:val="auto"/>
            </w:rPr>
            <w:fldChar w:fldCharType="begin"/>
          </w:r>
          <w:r>
            <w:rPr>
              <w:color w:val="auto"/>
            </w:rPr>
            <w:instrText xml:space="preserve"> HYPERLINK \l "_Toc32651" </w:instrText>
          </w:r>
          <w:r>
            <w:rPr>
              <w:color w:val="auto"/>
            </w:rPr>
            <w:fldChar w:fldCharType="separate"/>
          </w:r>
          <w:r>
            <w:rPr>
              <w:rFonts w:hint="eastAsia" w:ascii="宋体" w:hAnsi="宋体" w:cs="宋体"/>
              <w:color w:val="auto"/>
              <w:sz w:val="24"/>
            </w:rPr>
            <w:t>一、建设项目基本情况</w:t>
          </w:r>
          <w:r>
            <w:rPr>
              <w:color w:val="auto"/>
              <w:sz w:val="24"/>
            </w:rPr>
            <w:tab/>
          </w:r>
          <w:r>
            <w:rPr>
              <w:color w:val="auto"/>
              <w:sz w:val="24"/>
            </w:rPr>
            <w:fldChar w:fldCharType="begin"/>
          </w:r>
          <w:r>
            <w:rPr>
              <w:color w:val="auto"/>
              <w:sz w:val="24"/>
            </w:rPr>
            <w:instrText xml:space="preserve"> PAGEREF _Toc32651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370352FB">
          <w:pPr>
            <w:pStyle w:val="17"/>
            <w:tabs>
              <w:tab w:val="right" w:leader="dot" w:pos="8844"/>
            </w:tabs>
            <w:spacing w:line="360" w:lineRule="auto"/>
            <w:rPr>
              <w:color w:val="auto"/>
              <w:sz w:val="24"/>
            </w:rPr>
          </w:pPr>
          <w:r>
            <w:rPr>
              <w:color w:val="auto"/>
            </w:rPr>
            <w:fldChar w:fldCharType="begin"/>
          </w:r>
          <w:r>
            <w:rPr>
              <w:color w:val="auto"/>
            </w:rPr>
            <w:instrText xml:space="preserve"> HYPERLINK \l "_Toc29522" </w:instrText>
          </w:r>
          <w:r>
            <w:rPr>
              <w:color w:val="auto"/>
            </w:rPr>
            <w:fldChar w:fldCharType="separate"/>
          </w:r>
          <w:r>
            <w:rPr>
              <w:color w:val="auto"/>
              <w:sz w:val="24"/>
            </w:rPr>
            <w:t>二、建设项目工程分析</w:t>
          </w:r>
          <w:r>
            <w:rPr>
              <w:color w:val="auto"/>
              <w:sz w:val="24"/>
            </w:rPr>
            <w:tab/>
          </w:r>
          <w:r>
            <w:rPr>
              <w:color w:val="auto"/>
              <w:sz w:val="24"/>
            </w:rPr>
            <w:fldChar w:fldCharType="begin"/>
          </w:r>
          <w:r>
            <w:rPr>
              <w:color w:val="auto"/>
              <w:sz w:val="24"/>
            </w:rPr>
            <w:instrText xml:space="preserve"> PAGEREF _Toc29522 \h </w:instrText>
          </w:r>
          <w:r>
            <w:rPr>
              <w:color w:val="auto"/>
              <w:sz w:val="24"/>
            </w:rPr>
            <w:fldChar w:fldCharType="separate"/>
          </w:r>
          <w:r>
            <w:rPr>
              <w:color w:val="auto"/>
              <w:sz w:val="24"/>
            </w:rPr>
            <w:t>27</w:t>
          </w:r>
          <w:r>
            <w:rPr>
              <w:color w:val="auto"/>
              <w:sz w:val="24"/>
            </w:rPr>
            <w:fldChar w:fldCharType="end"/>
          </w:r>
          <w:r>
            <w:rPr>
              <w:color w:val="auto"/>
              <w:sz w:val="24"/>
            </w:rPr>
            <w:fldChar w:fldCharType="end"/>
          </w:r>
        </w:p>
        <w:p w14:paraId="0F655607">
          <w:pPr>
            <w:pStyle w:val="17"/>
            <w:tabs>
              <w:tab w:val="right" w:leader="dot" w:pos="8844"/>
            </w:tabs>
            <w:spacing w:line="360" w:lineRule="auto"/>
            <w:rPr>
              <w:color w:val="auto"/>
              <w:sz w:val="24"/>
            </w:rPr>
          </w:pPr>
          <w:r>
            <w:rPr>
              <w:color w:val="auto"/>
            </w:rPr>
            <w:fldChar w:fldCharType="begin"/>
          </w:r>
          <w:r>
            <w:rPr>
              <w:color w:val="auto"/>
            </w:rPr>
            <w:instrText xml:space="preserve"> HYPERLINK \l "_Toc30778" </w:instrText>
          </w:r>
          <w:r>
            <w:rPr>
              <w:color w:val="auto"/>
            </w:rPr>
            <w:fldChar w:fldCharType="separate"/>
          </w:r>
          <w:r>
            <w:rPr>
              <w:color w:val="auto"/>
              <w:sz w:val="24"/>
            </w:rPr>
            <w:t>三、区域环境质量现状、环境保护目标及评价标准</w:t>
          </w:r>
          <w:r>
            <w:rPr>
              <w:color w:val="auto"/>
              <w:sz w:val="24"/>
            </w:rPr>
            <w:tab/>
          </w:r>
          <w:r>
            <w:rPr>
              <w:color w:val="auto"/>
              <w:sz w:val="24"/>
            </w:rPr>
            <w:fldChar w:fldCharType="begin"/>
          </w:r>
          <w:r>
            <w:rPr>
              <w:color w:val="auto"/>
              <w:sz w:val="24"/>
            </w:rPr>
            <w:instrText xml:space="preserve"> PAGEREF _Toc30778 \h </w:instrText>
          </w:r>
          <w:r>
            <w:rPr>
              <w:color w:val="auto"/>
              <w:sz w:val="24"/>
            </w:rPr>
            <w:fldChar w:fldCharType="separate"/>
          </w:r>
          <w:r>
            <w:rPr>
              <w:color w:val="auto"/>
              <w:sz w:val="24"/>
            </w:rPr>
            <w:t>54</w:t>
          </w:r>
          <w:r>
            <w:rPr>
              <w:color w:val="auto"/>
              <w:sz w:val="24"/>
            </w:rPr>
            <w:fldChar w:fldCharType="end"/>
          </w:r>
          <w:r>
            <w:rPr>
              <w:color w:val="auto"/>
              <w:sz w:val="24"/>
            </w:rPr>
            <w:fldChar w:fldCharType="end"/>
          </w:r>
        </w:p>
        <w:p w14:paraId="0792AB88">
          <w:pPr>
            <w:pStyle w:val="17"/>
            <w:tabs>
              <w:tab w:val="right" w:leader="dot" w:pos="8844"/>
            </w:tabs>
            <w:spacing w:line="360" w:lineRule="auto"/>
            <w:rPr>
              <w:color w:val="auto"/>
              <w:sz w:val="24"/>
            </w:rPr>
          </w:pPr>
          <w:r>
            <w:rPr>
              <w:color w:val="auto"/>
            </w:rPr>
            <w:fldChar w:fldCharType="begin"/>
          </w:r>
          <w:r>
            <w:rPr>
              <w:color w:val="auto"/>
            </w:rPr>
            <w:instrText xml:space="preserve"> HYPERLINK \l "_Toc3837" </w:instrText>
          </w:r>
          <w:r>
            <w:rPr>
              <w:color w:val="auto"/>
            </w:rPr>
            <w:fldChar w:fldCharType="separate"/>
          </w:r>
          <w:r>
            <w:rPr>
              <w:color w:val="auto"/>
              <w:sz w:val="24"/>
            </w:rPr>
            <w:t>四、主要环境影响和保护措施</w:t>
          </w:r>
          <w:r>
            <w:rPr>
              <w:color w:val="auto"/>
              <w:sz w:val="24"/>
            </w:rPr>
            <w:tab/>
          </w:r>
          <w:r>
            <w:rPr>
              <w:color w:val="auto"/>
              <w:sz w:val="24"/>
            </w:rPr>
            <w:fldChar w:fldCharType="begin"/>
          </w:r>
          <w:r>
            <w:rPr>
              <w:color w:val="auto"/>
              <w:sz w:val="24"/>
            </w:rPr>
            <w:instrText xml:space="preserve"> PAGEREF _Toc3837 \h </w:instrText>
          </w:r>
          <w:r>
            <w:rPr>
              <w:color w:val="auto"/>
              <w:sz w:val="24"/>
            </w:rPr>
            <w:fldChar w:fldCharType="separate"/>
          </w:r>
          <w:r>
            <w:rPr>
              <w:color w:val="auto"/>
              <w:sz w:val="24"/>
            </w:rPr>
            <w:t>60</w:t>
          </w:r>
          <w:r>
            <w:rPr>
              <w:color w:val="auto"/>
              <w:sz w:val="24"/>
            </w:rPr>
            <w:fldChar w:fldCharType="end"/>
          </w:r>
          <w:r>
            <w:rPr>
              <w:color w:val="auto"/>
              <w:sz w:val="24"/>
            </w:rPr>
            <w:fldChar w:fldCharType="end"/>
          </w:r>
        </w:p>
        <w:p w14:paraId="4A54B9FA">
          <w:pPr>
            <w:pStyle w:val="17"/>
            <w:tabs>
              <w:tab w:val="right" w:leader="dot" w:pos="8844"/>
            </w:tabs>
            <w:spacing w:line="360" w:lineRule="auto"/>
            <w:rPr>
              <w:color w:val="auto"/>
              <w:sz w:val="24"/>
            </w:rPr>
          </w:pPr>
          <w:r>
            <w:rPr>
              <w:color w:val="auto"/>
            </w:rPr>
            <w:fldChar w:fldCharType="begin"/>
          </w:r>
          <w:r>
            <w:rPr>
              <w:color w:val="auto"/>
            </w:rPr>
            <w:instrText xml:space="preserve"> HYPERLINK \l "_Toc18351" </w:instrText>
          </w:r>
          <w:r>
            <w:rPr>
              <w:color w:val="auto"/>
            </w:rPr>
            <w:fldChar w:fldCharType="separate"/>
          </w:r>
          <w:r>
            <w:rPr>
              <w:color w:val="auto"/>
              <w:sz w:val="24"/>
            </w:rPr>
            <w:t>五、环境保护措施监督检查清单</w:t>
          </w:r>
          <w:r>
            <w:rPr>
              <w:color w:val="auto"/>
              <w:sz w:val="24"/>
            </w:rPr>
            <w:tab/>
          </w:r>
          <w:r>
            <w:rPr>
              <w:color w:val="auto"/>
              <w:sz w:val="24"/>
            </w:rPr>
            <w:fldChar w:fldCharType="begin"/>
          </w:r>
          <w:r>
            <w:rPr>
              <w:color w:val="auto"/>
              <w:sz w:val="24"/>
            </w:rPr>
            <w:instrText xml:space="preserve"> PAGEREF _Toc18351 \h </w:instrText>
          </w:r>
          <w:r>
            <w:rPr>
              <w:color w:val="auto"/>
              <w:sz w:val="24"/>
            </w:rPr>
            <w:fldChar w:fldCharType="separate"/>
          </w:r>
          <w:r>
            <w:rPr>
              <w:color w:val="auto"/>
              <w:sz w:val="24"/>
            </w:rPr>
            <w:t>79</w:t>
          </w:r>
          <w:r>
            <w:rPr>
              <w:color w:val="auto"/>
              <w:sz w:val="24"/>
            </w:rPr>
            <w:fldChar w:fldCharType="end"/>
          </w:r>
          <w:r>
            <w:rPr>
              <w:color w:val="auto"/>
              <w:sz w:val="24"/>
            </w:rPr>
            <w:fldChar w:fldCharType="end"/>
          </w:r>
        </w:p>
        <w:p w14:paraId="3F53B723">
          <w:pPr>
            <w:pStyle w:val="17"/>
            <w:tabs>
              <w:tab w:val="right" w:leader="dot" w:pos="8844"/>
            </w:tabs>
            <w:spacing w:line="360" w:lineRule="auto"/>
            <w:rPr>
              <w:color w:val="auto"/>
              <w:sz w:val="24"/>
            </w:rPr>
          </w:pPr>
          <w:r>
            <w:rPr>
              <w:color w:val="auto"/>
            </w:rPr>
            <w:fldChar w:fldCharType="begin"/>
          </w:r>
          <w:r>
            <w:rPr>
              <w:color w:val="auto"/>
            </w:rPr>
            <w:instrText xml:space="preserve"> HYPERLINK \l "_Toc7771" </w:instrText>
          </w:r>
          <w:r>
            <w:rPr>
              <w:color w:val="auto"/>
            </w:rPr>
            <w:fldChar w:fldCharType="separate"/>
          </w:r>
          <w:r>
            <w:rPr>
              <w:color w:val="auto"/>
              <w:sz w:val="24"/>
            </w:rPr>
            <w:t>六、结论</w:t>
          </w:r>
          <w:r>
            <w:rPr>
              <w:color w:val="auto"/>
              <w:sz w:val="24"/>
            </w:rPr>
            <w:tab/>
          </w:r>
          <w:r>
            <w:rPr>
              <w:color w:val="auto"/>
              <w:sz w:val="24"/>
            </w:rPr>
            <w:fldChar w:fldCharType="begin"/>
          </w:r>
          <w:r>
            <w:rPr>
              <w:color w:val="auto"/>
              <w:sz w:val="24"/>
            </w:rPr>
            <w:instrText xml:space="preserve"> PAGEREF _Toc7771 \h </w:instrText>
          </w:r>
          <w:r>
            <w:rPr>
              <w:color w:val="auto"/>
              <w:sz w:val="24"/>
            </w:rPr>
            <w:fldChar w:fldCharType="separate"/>
          </w:r>
          <w:r>
            <w:rPr>
              <w:color w:val="auto"/>
              <w:sz w:val="24"/>
            </w:rPr>
            <w:t>80</w:t>
          </w:r>
          <w:r>
            <w:rPr>
              <w:color w:val="auto"/>
              <w:sz w:val="24"/>
            </w:rPr>
            <w:fldChar w:fldCharType="end"/>
          </w:r>
          <w:r>
            <w:rPr>
              <w:color w:val="auto"/>
              <w:sz w:val="24"/>
            </w:rPr>
            <w:fldChar w:fldCharType="end"/>
          </w:r>
        </w:p>
        <w:p w14:paraId="6400F0E3">
          <w:pPr>
            <w:spacing w:line="360" w:lineRule="auto"/>
            <w:rPr>
              <w:color w:val="auto"/>
              <w:szCs w:val="21"/>
            </w:rPr>
          </w:pPr>
          <w:r>
            <w:rPr>
              <w:color w:val="auto"/>
              <w:sz w:val="24"/>
            </w:rPr>
            <w:fldChar w:fldCharType="end"/>
          </w:r>
          <w:r>
            <w:rPr>
              <w:rFonts w:hint="eastAsia"/>
              <w:b/>
              <w:bCs/>
              <w:color w:val="auto"/>
              <w:sz w:val="24"/>
              <w:lang w:val="en-US" w:eastAsia="zh-CN"/>
            </w:rPr>
            <w:t>环境风险专项评价</w:t>
          </w:r>
        </w:p>
      </w:sdtContent>
    </w:sdt>
    <w:p w14:paraId="3F856E0C">
      <w:pPr>
        <w:rPr>
          <w:color w:val="auto"/>
          <w:szCs w:val="21"/>
        </w:rPr>
      </w:pPr>
    </w:p>
    <w:p w14:paraId="3722B1A8">
      <w:pPr>
        <w:rPr>
          <w:color w:val="auto"/>
          <w:szCs w:val="21"/>
        </w:rPr>
      </w:pPr>
    </w:p>
    <w:p w14:paraId="598DC272">
      <w:pPr>
        <w:rPr>
          <w:color w:val="auto"/>
          <w:szCs w:val="21"/>
        </w:rPr>
      </w:pPr>
    </w:p>
    <w:p w14:paraId="6411267B">
      <w:pPr>
        <w:rPr>
          <w:color w:val="auto"/>
          <w:szCs w:val="21"/>
        </w:rPr>
      </w:pPr>
    </w:p>
    <w:p w14:paraId="1778A9FF">
      <w:pPr>
        <w:rPr>
          <w:color w:val="auto"/>
          <w:szCs w:val="21"/>
        </w:rPr>
      </w:pPr>
    </w:p>
    <w:p w14:paraId="6E3436FF">
      <w:pPr>
        <w:rPr>
          <w:color w:val="auto"/>
          <w:szCs w:val="21"/>
        </w:rPr>
      </w:pPr>
    </w:p>
    <w:p w14:paraId="6BB0E0CF">
      <w:pPr>
        <w:rPr>
          <w:color w:val="auto"/>
          <w:szCs w:val="21"/>
        </w:rPr>
      </w:pPr>
    </w:p>
    <w:p w14:paraId="7718BE4A">
      <w:pPr>
        <w:rPr>
          <w:color w:val="auto"/>
          <w:szCs w:val="21"/>
        </w:rPr>
      </w:pPr>
    </w:p>
    <w:p w14:paraId="4797561A">
      <w:pPr>
        <w:rPr>
          <w:color w:val="auto"/>
          <w:szCs w:val="21"/>
        </w:rPr>
      </w:pPr>
    </w:p>
    <w:p w14:paraId="1F291012">
      <w:pPr>
        <w:rPr>
          <w:color w:val="auto"/>
          <w:szCs w:val="21"/>
        </w:rPr>
      </w:pPr>
    </w:p>
    <w:p w14:paraId="45B0665D">
      <w:pPr>
        <w:rPr>
          <w:color w:val="auto"/>
          <w:szCs w:val="21"/>
        </w:rPr>
      </w:pPr>
    </w:p>
    <w:p w14:paraId="3693B99B">
      <w:pPr>
        <w:rPr>
          <w:color w:val="auto"/>
          <w:szCs w:val="21"/>
        </w:rPr>
      </w:pPr>
    </w:p>
    <w:p w14:paraId="3994FE30">
      <w:pPr>
        <w:rPr>
          <w:color w:val="auto"/>
          <w:szCs w:val="21"/>
        </w:rPr>
      </w:pPr>
    </w:p>
    <w:p w14:paraId="6964383D">
      <w:pPr>
        <w:rPr>
          <w:color w:val="auto"/>
          <w:szCs w:val="21"/>
        </w:rPr>
      </w:pPr>
    </w:p>
    <w:p w14:paraId="79BDEE34">
      <w:pPr>
        <w:rPr>
          <w:color w:val="auto"/>
          <w:szCs w:val="21"/>
        </w:rPr>
      </w:pPr>
    </w:p>
    <w:p w14:paraId="10ECC041">
      <w:pPr>
        <w:rPr>
          <w:color w:val="auto"/>
          <w:szCs w:val="21"/>
        </w:rPr>
      </w:pPr>
    </w:p>
    <w:p w14:paraId="4463540E">
      <w:pPr>
        <w:rPr>
          <w:color w:val="auto"/>
          <w:szCs w:val="21"/>
        </w:rPr>
      </w:pPr>
    </w:p>
    <w:p w14:paraId="4EE0111E">
      <w:pPr>
        <w:rPr>
          <w:color w:val="auto"/>
          <w:szCs w:val="21"/>
        </w:rPr>
      </w:pPr>
    </w:p>
    <w:p w14:paraId="3B1BB7ED">
      <w:pPr>
        <w:rPr>
          <w:color w:val="auto"/>
          <w:szCs w:val="21"/>
        </w:rPr>
      </w:pPr>
    </w:p>
    <w:p w14:paraId="281D6650">
      <w:pPr>
        <w:rPr>
          <w:color w:val="auto"/>
          <w:szCs w:val="21"/>
        </w:rPr>
      </w:pPr>
    </w:p>
    <w:p w14:paraId="67E0AAEF">
      <w:pPr>
        <w:rPr>
          <w:color w:val="auto"/>
          <w:szCs w:val="21"/>
        </w:rPr>
      </w:pPr>
    </w:p>
    <w:p w14:paraId="14274762">
      <w:pPr>
        <w:rPr>
          <w:color w:val="auto"/>
          <w:szCs w:val="21"/>
        </w:rPr>
      </w:pPr>
    </w:p>
    <w:p w14:paraId="40E93068">
      <w:pPr>
        <w:rPr>
          <w:color w:val="auto"/>
          <w:szCs w:val="21"/>
        </w:rPr>
      </w:pPr>
    </w:p>
    <w:p w14:paraId="421C80E2">
      <w:pPr>
        <w:rPr>
          <w:color w:val="auto"/>
          <w:szCs w:val="21"/>
        </w:rPr>
      </w:pPr>
    </w:p>
    <w:p w14:paraId="5DDCC6EC">
      <w:pPr>
        <w:rPr>
          <w:color w:val="auto"/>
          <w:szCs w:val="21"/>
        </w:rPr>
      </w:pPr>
    </w:p>
    <w:p w14:paraId="3ED9E3CA">
      <w:pPr>
        <w:rPr>
          <w:color w:val="auto"/>
          <w:szCs w:val="21"/>
        </w:rPr>
      </w:pPr>
    </w:p>
    <w:p w14:paraId="089953E0">
      <w:pPr>
        <w:rPr>
          <w:color w:val="auto"/>
          <w:szCs w:val="21"/>
        </w:rPr>
      </w:pPr>
    </w:p>
    <w:p w14:paraId="5EA4A88B">
      <w:pPr>
        <w:rPr>
          <w:color w:val="auto"/>
          <w:szCs w:val="21"/>
        </w:rPr>
      </w:pPr>
    </w:p>
    <w:p w14:paraId="0B63A20D">
      <w:pPr>
        <w:rPr>
          <w:color w:val="auto"/>
          <w:szCs w:val="21"/>
        </w:rPr>
      </w:pPr>
    </w:p>
    <w:p w14:paraId="3C2CC19A">
      <w:pPr>
        <w:rPr>
          <w:color w:val="auto"/>
          <w:szCs w:val="21"/>
        </w:rPr>
      </w:pPr>
    </w:p>
    <w:p w14:paraId="7E943973">
      <w:pPr>
        <w:rPr>
          <w:color w:val="auto"/>
          <w:szCs w:val="21"/>
        </w:rPr>
      </w:pPr>
    </w:p>
    <w:p w14:paraId="22FDCB70">
      <w:pPr>
        <w:rPr>
          <w:color w:val="auto"/>
          <w:szCs w:val="21"/>
        </w:rPr>
      </w:pPr>
    </w:p>
    <w:p w14:paraId="2C971055">
      <w:pPr>
        <w:rPr>
          <w:color w:val="auto"/>
          <w:szCs w:val="21"/>
        </w:rPr>
      </w:pPr>
    </w:p>
    <w:p w14:paraId="2F46B106">
      <w:pPr>
        <w:rPr>
          <w:color w:val="auto"/>
          <w:szCs w:val="21"/>
        </w:rPr>
      </w:pPr>
    </w:p>
    <w:p w14:paraId="54364221">
      <w:pPr>
        <w:rPr>
          <w:color w:val="auto"/>
          <w:szCs w:val="21"/>
        </w:rPr>
      </w:pPr>
    </w:p>
    <w:p w14:paraId="5E426C81">
      <w:pPr>
        <w:rPr>
          <w:color w:val="auto"/>
          <w:szCs w:val="21"/>
        </w:rPr>
      </w:pPr>
    </w:p>
    <w:p w14:paraId="6E4CCD1D">
      <w:pPr>
        <w:rPr>
          <w:color w:val="auto"/>
          <w:szCs w:val="21"/>
        </w:rPr>
      </w:pPr>
    </w:p>
    <w:p w14:paraId="53C32CDB">
      <w:pPr>
        <w:rPr>
          <w:color w:val="auto"/>
          <w:szCs w:val="21"/>
        </w:rPr>
      </w:pPr>
    </w:p>
    <w:p w14:paraId="2DFE8FE6">
      <w:pPr>
        <w:rPr>
          <w:color w:val="auto"/>
          <w:szCs w:val="21"/>
        </w:rPr>
      </w:pPr>
    </w:p>
    <w:p w14:paraId="1FA21DE2">
      <w:pPr>
        <w:rPr>
          <w:color w:val="auto"/>
          <w:szCs w:val="21"/>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74042BD">
      <w:pPr>
        <w:spacing w:line="360" w:lineRule="auto"/>
        <w:rPr>
          <w:b/>
          <w:bCs/>
          <w:color w:val="auto"/>
          <w:sz w:val="28"/>
          <w:szCs w:val="28"/>
        </w:rPr>
      </w:pPr>
      <w:r>
        <w:rPr>
          <w:b/>
          <w:bCs/>
          <w:color w:val="auto"/>
          <w:sz w:val="28"/>
          <w:szCs w:val="28"/>
        </w:rPr>
        <w:t>附件</w:t>
      </w:r>
    </w:p>
    <w:p w14:paraId="2B45F50B">
      <w:pPr>
        <w:spacing w:line="240" w:lineRule="auto"/>
        <w:rPr>
          <w:color w:val="auto"/>
          <w:szCs w:val="21"/>
        </w:rPr>
      </w:pPr>
      <w:r>
        <w:rPr>
          <w:color w:val="auto"/>
          <w:szCs w:val="21"/>
        </w:rPr>
        <w:t>附件1 项目环评委托书</w:t>
      </w:r>
    </w:p>
    <w:p w14:paraId="2C125734">
      <w:pPr>
        <w:spacing w:line="240" w:lineRule="auto"/>
        <w:rPr>
          <w:color w:val="auto"/>
          <w:szCs w:val="21"/>
        </w:rPr>
      </w:pPr>
      <w:r>
        <w:rPr>
          <w:color w:val="auto"/>
          <w:szCs w:val="21"/>
        </w:rPr>
        <w:t>附件2 项目营业执照</w:t>
      </w:r>
    </w:p>
    <w:p w14:paraId="0378C719">
      <w:pPr>
        <w:spacing w:line="240" w:lineRule="auto"/>
        <w:rPr>
          <w:color w:val="auto"/>
          <w:szCs w:val="21"/>
        </w:rPr>
      </w:pPr>
      <w:r>
        <w:rPr>
          <w:color w:val="auto"/>
          <w:szCs w:val="21"/>
        </w:rPr>
        <w:t>附件3 项目</w:t>
      </w:r>
      <w:r>
        <w:rPr>
          <w:rFonts w:hint="eastAsia"/>
          <w:color w:val="auto"/>
          <w:szCs w:val="21"/>
          <w:lang w:val="en-US" w:eastAsia="zh-CN"/>
        </w:rPr>
        <w:t>经营</w:t>
      </w:r>
      <w:r>
        <w:rPr>
          <w:color w:val="auto"/>
          <w:szCs w:val="21"/>
        </w:rPr>
        <w:t>许可证</w:t>
      </w:r>
    </w:p>
    <w:p w14:paraId="3182DBDE">
      <w:pPr>
        <w:spacing w:line="240" w:lineRule="auto"/>
        <w:rPr>
          <w:color w:val="auto"/>
          <w:szCs w:val="21"/>
        </w:rPr>
      </w:pPr>
      <w:r>
        <w:rPr>
          <w:color w:val="auto"/>
          <w:szCs w:val="21"/>
        </w:rPr>
        <w:t>附件4 项目投资备案证</w:t>
      </w:r>
    </w:p>
    <w:p w14:paraId="0F2440D0">
      <w:pPr>
        <w:spacing w:line="240" w:lineRule="auto"/>
        <w:rPr>
          <w:color w:val="auto"/>
          <w:szCs w:val="21"/>
        </w:rPr>
      </w:pPr>
      <w:r>
        <w:rPr>
          <w:color w:val="auto"/>
          <w:szCs w:val="21"/>
        </w:rPr>
        <w:t xml:space="preserve">附件5 </w:t>
      </w:r>
      <w:r>
        <w:rPr>
          <w:rFonts w:hint="eastAsia"/>
          <w:color w:val="auto"/>
          <w:szCs w:val="21"/>
        </w:rPr>
        <w:t>林业和草原局仓库改扩建使用草原的行政许可决定</w:t>
      </w:r>
    </w:p>
    <w:p w14:paraId="377BCF0A">
      <w:pPr>
        <w:spacing w:line="240" w:lineRule="auto"/>
        <w:rPr>
          <w:rFonts w:hint="default" w:eastAsia="宋体"/>
          <w:color w:val="auto"/>
          <w:szCs w:val="21"/>
          <w:lang w:val="en-US" w:eastAsia="zh-CN"/>
        </w:rPr>
      </w:pPr>
      <w:r>
        <w:rPr>
          <w:color w:val="auto"/>
          <w:szCs w:val="21"/>
        </w:rPr>
        <w:t xml:space="preserve">附件6 </w:t>
      </w:r>
      <w:r>
        <w:rPr>
          <w:rFonts w:hint="eastAsia"/>
          <w:color w:val="auto"/>
          <w:szCs w:val="21"/>
        </w:rPr>
        <w:t>污水处理</w:t>
      </w:r>
      <w:r>
        <w:rPr>
          <w:rFonts w:hint="eastAsia"/>
          <w:color w:val="auto"/>
          <w:szCs w:val="21"/>
          <w:lang w:val="en-US" w:eastAsia="zh-CN"/>
        </w:rPr>
        <w:t>协议及说明</w:t>
      </w:r>
    </w:p>
    <w:p w14:paraId="74C73BBC">
      <w:pPr>
        <w:spacing w:line="240" w:lineRule="auto"/>
        <w:rPr>
          <w:color w:val="auto"/>
          <w:szCs w:val="21"/>
        </w:rPr>
      </w:pPr>
      <w:r>
        <w:rPr>
          <w:color w:val="auto"/>
          <w:szCs w:val="21"/>
        </w:rPr>
        <w:t xml:space="preserve">附件7 </w:t>
      </w:r>
      <w:r>
        <w:rPr>
          <w:rFonts w:hint="eastAsia"/>
          <w:color w:val="auto"/>
          <w:szCs w:val="21"/>
        </w:rPr>
        <w:t>使用林地审核同意书</w:t>
      </w:r>
    </w:p>
    <w:p w14:paraId="638BB98C">
      <w:pPr>
        <w:spacing w:line="240" w:lineRule="auto"/>
        <w:rPr>
          <w:rFonts w:hint="eastAsia"/>
          <w:color w:val="auto"/>
          <w:szCs w:val="21"/>
        </w:rPr>
      </w:pPr>
      <w:r>
        <w:rPr>
          <w:color w:val="auto"/>
          <w:szCs w:val="21"/>
        </w:rPr>
        <w:t xml:space="preserve">附件8 </w:t>
      </w:r>
      <w:r>
        <w:rPr>
          <w:rFonts w:hint="eastAsia"/>
          <w:color w:val="auto"/>
          <w:szCs w:val="21"/>
        </w:rPr>
        <w:t>安全评估意见</w:t>
      </w:r>
    </w:p>
    <w:p w14:paraId="2ACD09D8">
      <w:pPr>
        <w:spacing w:line="240" w:lineRule="auto"/>
        <w:rPr>
          <w:rFonts w:hint="eastAsia" w:ascii="Times New Roman" w:hAnsi="Times New Roman" w:cs="Times New Roman"/>
          <w:color w:val="auto"/>
        </w:rPr>
      </w:pPr>
      <w:r>
        <w:rPr>
          <w:rFonts w:hint="eastAsia" w:ascii="Times New Roman" w:hAnsi="Times New Roman" w:cs="Times New Roman"/>
          <w:color w:val="auto"/>
        </w:rPr>
        <w:t>附件9 昆明优竹商贸有限公司烟花爆竹存储仓库新建项目竣工验收检测报告</w:t>
      </w:r>
    </w:p>
    <w:p w14:paraId="2C3571DF">
      <w:pPr>
        <w:spacing w:line="240" w:lineRule="auto"/>
        <w:rPr>
          <w:rFonts w:hint="eastAsia" w:ascii="Times New Roman" w:hAnsi="Times New Roman" w:cs="Times New Roman"/>
          <w:color w:val="auto"/>
        </w:rPr>
      </w:pPr>
      <w:r>
        <w:rPr>
          <w:rFonts w:hint="eastAsia" w:ascii="Times New Roman" w:hAnsi="Times New Roman" w:cs="Times New Roman"/>
          <w:color w:val="auto"/>
        </w:rPr>
        <w:t>附件10 2025年废烟花爆竹销毁记录</w:t>
      </w:r>
    </w:p>
    <w:p w14:paraId="306AEBD0">
      <w:pPr>
        <w:spacing w:line="240" w:lineRule="auto"/>
        <w:rPr>
          <w:color w:val="auto"/>
        </w:rPr>
      </w:pPr>
      <w:r>
        <w:rPr>
          <w:rFonts w:hint="eastAsia"/>
          <w:color w:val="auto"/>
        </w:rPr>
        <w:t>附件11项目污水运输台账</w:t>
      </w:r>
    </w:p>
    <w:p w14:paraId="59B59553">
      <w:pPr>
        <w:spacing w:line="240" w:lineRule="auto"/>
        <w:rPr>
          <w:color w:val="auto"/>
          <w:szCs w:val="21"/>
        </w:rPr>
      </w:pPr>
      <w:r>
        <w:rPr>
          <w:color w:val="auto"/>
          <w:szCs w:val="21"/>
        </w:rPr>
        <w:t>附件</w:t>
      </w:r>
      <w:r>
        <w:rPr>
          <w:rFonts w:hint="eastAsia"/>
          <w:color w:val="auto"/>
          <w:szCs w:val="21"/>
          <w:lang w:val="en-US" w:eastAsia="zh-CN"/>
        </w:rPr>
        <w:t>12</w:t>
      </w:r>
      <w:r>
        <w:rPr>
          <w:color w:val="auto"/>
          <w:szCs w:val="21"/>
        </w:rPr>
        <w:t xml:space="preserve"> 项目购销合同</w:t>
      </w:r>
    </w:p>
    <w:p w14:paraId="6461AFEE">
      <w:pPr>
        <w:spacing w:line="240" w:lineRule="auto"/>
        <w:rPr>
          <w:color w:val="auto"/>
          <w:szCs w:val="21"/>
        </w:rPr>
      </w:pPr>
      <w:r>
        <w:rPr>
          <w:color w:val="auto"/>
          <w:szCs w:val="21"/>
        </w:rPr>
        <w:t>附件1</w:t>
      </w:r>
      <w:r>
        <w:rPr>
          <w:rFonts w:hint="eastAsia"/>
          <w:color w:val="auto"/>
          <w:szCs w:val="21"/>
          <w:lang w:val="en-US" w:eastAsia="zh-CN"/>
        </w:rPr>
        <w:t>3</w:t>
      </w:r>
      <w:r>
        <w:rPr>
          <w:color w:val="auto"/>
          <w:szCs w:val="21"/>
        </w:rPr>
        <w:t xml:space="preserve"> 项目检测报告</w:t>
      </w:r>
    </w:p>
    <w:p w14:paraId="7870A09D">
      <w:pPr>
        <w:spacing w:line="240" w:lineRule="auto"/>
        <w:rPr>
          <w:color w:val="auto"/>
          <w:szCs w:val="21"/>
        </w:rPr>
      </w:pPr>
      <w:r>
        <w:rPr>
          <w:color w:val="auto"/>
          <w:szCs w:val="21"/>
        </w:rPr>
        <w:t xml:space="preserve">附件14 </w:t>
      </w:r>
      <w:r>
        <w:rPr>
          <w:rFonts w:hint="eastAsia"/>
          <w:color w:val="auto"/>
          <w:szCs w:val="21"/>
        </w:rPr>
        <w:t>用地预申请协议</w:t>
      </w:r>
    </w:p>
    <w:p w14:paraId="13CBF477">
      <w:pPr>
        <w:spacing w:line="240" w:lineRule="auto"/>
        <w:rPr>
          <w:color w:val="auto"/>
          <w:szCs w:val="21"/>
        </w:rPr>
      </w:pPr>
      <w:r>
        <w:rPr>
          <w:color w:val="auto"/>
          <w:szCs w:val="21"/>
        </w:rPr>
        <w:t xml:space="preserve">附件15 </w:t>
      </w:r>
      <w:r>
        <w:rPr>
          <w:rFonts w:hint="eastAsia"/>
          <w:color w:val="auto"/>
          <w:szCs w:val="21"/>
        </w:rPr>
        <w:t>2026年第六批次村庄建设用地土地报批规费缴纳委托书和缴纳申请</w:t>
      </w:r>
    </w:p>
    <w:p w14:paraId="2DF138F6">
      <w:pPr>
        <w:spacing w:line="240" w:lineRule="auto"/>
        <w:rPr>
          <w:color w:val="auto"/>
          <w:szCs w:val="21"/>
        </w:rPr>
      </w:pPr>
      <w:r>
        <w:rPr>
          <w:color w:val="auto"/>
          <w:szCs w:val="21"/>
        </w:rPr>
        <w:t xml:space="preserve">附件16 </w:t>
      </w:r>
      <w:r>
        <w:rPr>
          <w:rFonts w:hint="eastAsia"/>
          <w:color w:val="auto"/>
          <w:szCs w:val="21"/>
        </w:rPr>
        <w:t>项目三区三查询</w:t>
      </w:r>
    </w:p>
    <w:p w14:paraId="2D9DF898">
      <w:pPr>
        <w:spacing w:line="240" w:lineRule="auto"/>
        <w:rPr>
          <w:rFonts w:hint="eastAsia"/>
          <w:color w:val="auto"/>
          <w:szCs w:val="21"/>
          <w:lang w:val="en-US" w:eastAsia="zh-CN"/>
        </w:rPr>
      </w:pPr>
      <w:r>
        <w:rPr>
          <w:rFonts w:hint="eastAsia"/>
          <w:color w:val="auto"/>
          <w:szCs w:val="21"/>
          <w:lang w:val="en-US" w:eastAsia="zh-CN"/>
        </w:rPr>
        <w:t>附件17 项目合作协议（北观社区和优竹公司）</w:t>
      </w:r>
    </w:p>
    <w:p w14:paraId="5D8568EF">
      <w:pPr>
        <w:pStyle w:val="30"/>
        <w:spacing w:line="240" w:lineRule="auto"/>
        <w:ind w:left="0" w:leftChars="0" w:firstLine="0" w:firstLineChars="0"/>
        <w:jc w:val="both"/>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附件18 登记回执</w:t>
      </w:r>
    </w:p>
    <w:p w14:paraId="258E845A">
      <w:pPr>
        <w:spacing w:line="240" w:lineRule="auto"/>
        <w:rPr>
          <w:rFonts w:hint="eastAsia"/>
          <w:color w:val="auto"/>
          <w:szCs w:val="21"/>
        </w:rPr>
      </w:pPr>
      <w:r>
        <w:rPr>
          <w:rFonts w:hint="eastAsia"/>
          <w:color w:val="auto"/>
          <w:szCs w:val="21"/>
        </w:rPr>
        <w:t>附件19原环评批复</w:t>
      </w:r>
    </w:p>
    <w:p w14:paraId="5D3F4371">
      <w:pPr>
        <w:spacing w:line="240" w:lineRule="auto"/>
        <w:rPr>
          <w:rFonts w:hint="eastAsia" w:ascii="Times New Roman" w:hAnsi="Times New Roman" w:cs="Times New Roman"/>
          <w:color w:val="auto"/>
          <w:szCs w:val="21"/>
        </w:rPr>
      </w:pPr>
      <w:r>
        <w:rPr>
          <w:rFonts w:hint="eastAsia" w:ascii="Times New Roman" w:hAnsi="Times New Roman" w:cs="Times New Roman"/>
          <w:color w:val="auto"/>
          <w:szCs w:val="21"/>
        </w:rPr>
        <w:t>附件20应急预案备案表</w:t>
      </w:r>
    </w:p>
    <w:p w14:paraId="51FD7CE2">
      <w:pPr>
        <w:spacing w:line="240" w:lineRule="auto"/>
        <w:rPr>
          <w:rFonts w:hint="eastAsia" w:ascii="Times New Roman" w:hAnsi="Times New Roman" w:cs="Times New Roman"/>
          <w:color w:val="auto"/>
          <w:szCs w:val="21"/>
        </w:rPr>
      </w:pPr>
      <w:r>
        <w:rPr>
          <w:rFonts w:hint="eastAsia" w:ascii="Times New Roman" w:hAnsi="Times New Roman" w:cs="Times New Roman"/>
          <w:color w:val="auto"/>
          <w:szCs w:val="21"/>
        </w:rPr>
        <w:t>附件21原项目验收意见</w:t>
      </w:r>
    </w:p>
    <w:p w14:paraId="6508D822">
      <w:pPr>
        <w:spacing w:line="240" w:lineRule="auto"/>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rPr>
        <w:t>附件2</w:t>
      </w:r>
      <w:r>
        <w:rPr>
          <w:rFonts w:hint="eastAsia" w:cs="Times New Roman"/>
          <w:color w:val="auto"/>
          <w:szCs w:val="21"/>
          <w:lang w:val="en-US" w:eastAsia="zh-CN"/>
        </w:rPr>
        <w:t>2项目环境现状监测报告</w:t>
      </w:r>
    </w:p>
    <w:p w14:paraId="22808817">
      <w:pPr>
        <w:spacing w:line="240" w:lineRule="auto"/>
        <w:rPr>
          <w:rFonts w:hint="eastAsia" w:ascii="Times New Roman" w:hAnsi="Times New Roman" w:cs="Times New Roman"/>
          <w:color w:val="auto"/>
          <w:szCs w:val="21"/>
        </w:rPr>
      </w:pPr>
      <w:r>
        <w:rPr>
          <w:rFonts w:hint="eastAsia" w:ascii="Times New Roman" w:hAnsi="Times New Roman" w:cs="Times New Roman"/>
          <w:color w:val="auto"/>
          <w:szCs w:val="21"/>
        </w:rPr>
        <w:t>附件2</w:t>
      </w:r>
      <w:r>
        <w:rPr>
          <w:rFonts w:hint="eastAsia" w:cs="Times New Roman"/>
          <w:color w:val="auto"/>
          <w:szCs w:val="21"/>
          <w:lang w:val="en-US" w:eastAsia="zh-CN"/>
        </w:rPr>
        <w:t>3</w:t>
      </w:r>
      <w:r>
        <w:rPr>
          <w:rFonts w:hint="eastAsia" w:ascii="Times New Roman" w:hAnsi="Times New Roman" w:cs="Times New Roman"/>
          <w:color w:val="auto"/>
          <w:szCs w:val="21"/>
        </w:rPr>
        <w:t>项目管控单元查询报告</w:t>
      </w:r>
    </w:p>
    <w:p w14:paraId="78853A4A">
      <w:pPr>
        <w:spacing w:line="240" w:lineRule="auto"/>
        <w:rPr>
          <w:rFonts w:hint="eastAsia" w:ascii="Times New Roman" w:hAnsi="Times New Roman" w:cs="Times New Roman"/>
          <w:color w:val="auto"/>
          <w:szCs w:val="21"/>
        </w:rPr>
      </w:pPr>
      <w:r>
        <w:rPr>
          <w:rFonts w:hint="eastAsia" w:ascii="Times New Roman" w:hAnsi="Times New Roman" w:cs="Times New Roman"/>
          <w:color w:val="auto"/>
          <w:szCs w:val="21"/>
        </w:rPr>
        <w:t>附件2</w:t>
      </w:r>
      <w:r>
        <w:rPr>
          <w:rFonts w:hint="eastAsia" w:cs="Times New Roman"/>
          <w:color w:val="auto"/>
          <w:szCs w:val="21"/>
          <w:lang w:val="en-US" w:eastAsia="zh-CN"/>
        </w:rPr>
        <w:t>4项目公示截图</w:t>
      </w:r>
    </w:p>
    <w:p w14:paraId="781FAB17">
      <w:pPr>
        <w:spacing w:line="240" w:lineRule="auto"/>
        <w:rPr>
          <w:rFonts w:hint="default" w:ascii="Times New Roman" w:hAnsi="Times New Roman" w:cs="Times New Roman"/>
          <w:color w:val="auto"/>
          <w:szCs w:val="21"/>
          <w:lang w:val="en-US"/>
        </w:rPr>
      </w:pPr>
      <w:r>
        <w:rPr>
          <w:rFonts w:hint="eastAsia" w:ascii="Times New Roman" w:hAnsi="Times New Roman" w:cs="Times New Roman"/>
          <w:color w:val="auto"/>
          <w:szCs w:val="21"/>
        </w:rPr>
        <w:t>附件2</w:t>
      </w:r>
      <w:r>
        <w:rPr>
          <w:rFonts w:hint="eastAsia" w:cs="Times New Roman"/>
          <w:color w:val="auto"/>
          <w:szCs w:val="21"/>
          <w:lang w:val="en-US" w:eastAsia="zh-CN"/>
        </w:rPr>
        <w:t>5项目进度表、审核表</w:t>
      </w:r>
    </w:p>
    <w:p w14:paraId="7E037BD9">
      <w:pPr>
        <w:spacing w:line="240" w:lineRule="auto"/>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附件26项目合同</w:t>
      </w:r>
    </w:p>
    <w:p w14:paraId="0E445E2D">
      <w:pPr>
        <w:spacing w:line="240" w:lineRule="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附件27承诺书</w:t>
      </w:r>
    </w:p>
    <w:p w14:paraId="6811F7B4">
      <w:pPr>
        <w:pStyle w:val="30"/>
        <w:spacing w:line="240" w:lineRule="auto"/>
        <w:rPr>
          <w:color w:val="auto"/>
        </w:rPr>
      </w:pPr>
    </w:p>
    <w:p w14:paraId="02600581">
      <w:pPr>
        <w:spacing w:line="240" w:lineRule="auto"/>
        <w:rPr>
          <w:b/>
          <w:bCs/>
          <w:color w:val="auto"/>
          <w:sz w:val="28"/>
          <w:szCs w:val="28"/>
        </w:rPr>
      </w:pPr>
      <w:r>
        <w:rPr>
          <w:b/>
          <w:bCs/>
          <w:color w:val="auto"/>
          <w:sz w:val="28"/>
          <w:szCs w:val="28"/>
        </w:rPr>
        <w:t>附图</w:t>
      </w:r>
    </w:p>
    <w:p w14:paraId="39EDD940">
      <w:pPr>
        <w:spacing w:line="240" w:lineRule="auto"/>
        <w:rPr>
          <w:color w:val="auto"/>
          <w:szCs w:val="21"/>
        </w:rPr>
      </w:pPr>
      <w:r>
        <w:rPr>
          <w:color w:val="auto"/>
          <w:szCs w:val="21"/>
        </w:rPr>
        <w:t>附图1 项目区地理</w:t>
      </w:r>
      <w:r>
        <w:rPr>
          <w:rFonts w:hint="eastAsia"/>
          <w:color w:val="auto"/>
          <w:szCs w:val="21"/>
          <w:lang w:eastAsia="zh-CN"/>
        </w:rPr>
        <w:t>位置</w:t>
      </w:r>
      <w:r>
        <w:rPr>
          <w:color w:val="auto"/>
          <w:szCs w:val="21"/>
        </w:rPr>
        <w:t>图</w:t>
      </w:r>
    </w:p>
    <w:p w14:paraId="3A226ECC">
      <w:pPr>
        <w:spacing w:line="240" w:lineRule="auto"/>
        <w:rPr>
          <w:color w:val="auto"/>
          <w:szCs w:val="21"/>
        </w:rPr>
      </w:pPr>
      <w:r>
        <w:rPr>
          <w:color w:val="auto"/>
          <w:szCs w:val="21"/>
        </w:rPr>
        <w:t>附图2 项目区水系图</w:t>
      </w:r>
    </w:p>
    <w:p w14:paraId="3B071A31">
      <w:pPr>
        <w:spacing w:line="240" w:lineRule="auto"/>
        <w:rPr>
          <w:color w:val="auto"/>
          <w:szCs w:val="21"/>
        </w:rPr>
      </w:pPr>
      <w:r>
        <w:rPr>
          <w:color w:val="auto"/>
          <w:szCs w:val="21"/>
        </w:rPr>
        <w:t xml:space="preserve">附图3 </w:t>
      </w:r>
      <w:r>
        <w:rPr>
          <w:rFonts w:hint="eastAsia"/>
          <w:color w:val="auto"/>
          <w:szCs w:val="21"/>
          <w:lang w:val="en-US" w:eastAsia="zh-CN"/>
        </w:rPr>
        <w:t>原</w:t>
      </w:r>
      <w:r>
        <w:rPr>
          <w:color w:val="auto"/>
          <w:szCs w:val="21"/>
        </w:rPr>
        <w:t>项目平面布置图</w:t>
      </w:r>
    </w:p>
    <w:p w14:paraId="1162534F">
      <w:pPr>
        <w:spacing w:line="240" w:lineRule="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附图4</w:t>
      </w:r>
      <w:r>
        <w:rPr>
          <w:rFonts w:hint="eastAsia" w:cs="Times New Roman"/>
          <w:color w:val="auto"/>
          <w:szCs w:val="21"/>
          <w:lang w:val="en-US" w:eastAsia="zh-CN"/>
        </w:rPr>
        <w:t>项目总</w:t>
      </w:r>
      <w:r>
        <w:rPr>
          <w:rFonts w:ascii="Times New Roman" w:hAnsi="Times New Roman" w:cs="Times New Roman"/>
          <w:color w:val="auto"/>
          <w:szCs w:val="21"/>
        </w:rPr>
        <w:t>平面布置图</w:t>
      </w:r>
    </w:p>
    <w:p w14:paraId="35025DF2">
      <w:pPr>
        <w:spacing w:line="240" w:lineRule="auto"/>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附图5地块</w:t>
      </w:r>
      <w:r>
        <w:rPr>
          <w:rFonts w:hint="eastAsia" w:cs="Times New Roman"/>
          <w:color w:val="auto"/>
          <w:szCs w:val="21"/>
          <w:lang w:val="en-US" w:eastAsia="zh-CN"/>
        </w:rPr>
        <w:t>一仓库四邻</w:t>
      </w:r>
      <w:r>
        <w:rPr>
          <w:rFonts w:ascii="Times New Roman" w:hAnsi="Times New Roman" w:cs="Times New Roman"/>
          <w:color w:val="auto"/>
          <w:szCs w:val="21"/>
        </w:rPr>
        <w:t>图</w:t>
      </w:r>
    </w:p>
    <w:p w14:paraId="380AB1DD">
      <w:pPr>
        <w:spacing w:line="240" w:lineRule="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附图6地块</w:t>
      </w:r>
      <w:r>
        <w:rPr>
          <w:rFonts w:hint="eastAsia" w:cs="Times New Roman"/>
          <w:color w:val="auto"/>
          <w:szCs w:val="21"/>
          <w:lang w:val="en-US" w:eastAsia="zh-CN"/>
        </w:rPr>
        <w:t>二仓库四邻</w:t>
      </w:r>
      <w:r>
        <w:rPr>
          <w:rFonts w:ascii="Times New Roman" w:hAnsi="Times New Roman" w:cs="Times New Roman"/>
          <w:color w:val="auto"/>
          <w:szCs w:val="21"/>
        </w:rPr>
        <w:t>图</w:t>
      </w:r>
    </w:p>
    <w:p w14:paraId="650700CF">
      <w:pPr>
        <w:spacing w:line="240" w:lineRule="auto"/>
        <w:rPr>
          <w:rFonts w:ascii="Times New Roman" w:hAnsi="Times New Roman" w:cs="Times New Roman"/>
          <w:color w:val="auto"/>
          <w:szCs w:val="21"/>
        </w:rPr>
      </w:pPr>
      <w:r>
        <w:rPr>
          <w:rFonts w:ascii="Times New Roman" w:hAnsi="Times New Roman" w:cs="Times New Roman"/>
          <w:color w:val="auto"/>
          <w:szCs w:val="21"/>
        </w:rPr>
        <w:t>附图</w:t>
      </w:r>
      <w:r>
        <w:rPr>
          <w:rFonts w:hint="eastAsia" w:ascii="Times New Roman" w:hAnsi="Times New Roman" w:cs="Times New Roman"/>
          <w:color w:val="auto"/>
          <w:szCs w:val="21"/>
          <w:lang w:val="en-US" w:eastAsia="zh-CN"/>
        </w:rPr>
        <w:t>7</w:t>
      </w:r>
      <w:r>
        <w:rPr>
          <w:rFonts w:ascii="Times New Roman" w:hAnsi="Times New Roman" w:cs="Times New Roman"/>
          <w:color w:val="auto"/>
          <w:szCs w:val="21"/>
        </w:rPr>
        <w:t xml:space="preserve"> 项目与牛栏江水系环境规划关系图</w:t>
      </w:r>
    </w:p>
    <w:p w14:paraId="510F43AE">
      <w:pPr>
        <w:spacing w:line="240" w:lineRule="auto"/>
        <w:rPr>
          <w:color w:val="auto"/>
          <w:szCs w:val="21"/>
        </w:rPr>
      </w:pPr>
      <w:r>
        <w:rPr>
          <w:color w:val="auto"/>
          <w:szCs w:val="21"/>
        </w:rPr>
        <w:t>附图</w:t>
      </w:r>
      <w:r>
        <w:rPr>
          <w:rFonts w:hint="eastAsia"/>
          <w:color w:val="auto"/>
          <w:szCs w:val="21"/>
          <w:lang w:val="en-US" w:eastAsia="zh-CN"/>
        </w:rPr>
        <w:t>8</w:t>
      </w:r>
      <w:r>
        <w:rPr>
          <w:color w:val="auto"/>
          <w:szCs w:val="21"/>
        </w:rPr>
        <w:t xml:space="preserve"> 项目</w:t>
      </w:r>
      <w:r>
        <w:rPr>
          <w:rFonts w:hint="eastAsia"/>
          <w:color w:val="auto"/>
          <w:szCs w:val="21"/>
          <w:lang w:val="en-US" w:eastAsia="zh-CN"/>
        </w:rPr>
        <w:t>周边关系</w:t>
      </w:r>
      <w:r>
        <w:rPr>
          <w:color w:val="auto"/>
          <w:szCs w:val="21"/>
        </w:rPr>
        <w:t>图</w:t>
      </w:r>
    </w:p>
    <w:p w14:paraId="4E189854">
      <w:pPr>
        <w:spacing w:line="240" w:lineRule="auto"/>
        <w:rPr>
          <w:color w:val="auto"/>
          <w:szCs w:val="21"/>
        </w:rPr>
      </w:pPr>
      <w:r>
        <w:rPr>
          <w:color w:val="auto"/>
          <w:szCs w:val="21"/>
        </w:rPr>
        <w:t>附图</w:t>
      </w:r>
      <w:r>
        <w:rPr>
          <w:rFonts w:hint="eastAsia"/>
          <w:color w:val="auto"/>
          <w:szCs w:val="21"/>
          <w:lang w:val="en-US" w:eastAsia="zh-CN"/>
        </w:rPr>
        <w:t>9</w:t>
      </w:r>
      <w:r>
        <w:rPr>
          <w:color w:val="auto"/>
          <w:szCs w:val="21"/>
        </w:rPr>
        <w:t xml:space="preserve"> 项目</w:t>
      </w:r>
      <w:r>
        <w:rPr>
          <w:rFonts w:hint="eastAsia"/>
          <w:color w:val="auto"/>
          <w:szCs w:val="21"/>
          <w:lang w:val="en-US" w:eastAsia="zh-CN"/>
        </w:rPr>
        <w:t>风险范围</w:t>
      </w:r>
      <w:r>
        <w:rPr>
          <w:color w:val="auto"/>
          <w:szCs w:val="21"/>
        </w:rPr>
        <w:t>图</w:t>
      </w:r>
    </w:p>
    <w:p w14:paraId="24F4E0C9">
      <w:pPr>
        <w:spacing w:line="360" w:lineRule="auto"/>
        <w:rPr>
          <w:color w:val="auto"/>
          <w:szCs w:val="21"/>
        </w:rPr>
      </w:pPr>
    </w:p>
    <w:p w14:paraId="615D3D33">
      <w:pPr>
        <w:rPr>
          <w:color w:val="auto"/>
        </w:rPr>
      </w:pPr>
    </w:p>
    <w:p w14:paraId="04A68E4C">
      <w:pPr>
        <w:rPr>
          <w:color w:val="auto"/>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2892DC67">
      <w:pPr>
        <w:pStyle w:val="4"/>
        <w:rPr>
          <w:rFonts w:ascii="宋体" w:hAnsi="宋体" w:eastAsia="宋体" w:cs="宋体"/>
          <w:color w:val="auto"/>
        </w:rPr>
      </w:pPr>
      <w:bookmarkStart w:id="0" w:name="_Toc32651"/>
      <w:bookmarkStart w:id="1" w:name="_Toc30294"/>
      <w:bookmarkStart w:id="2" w:name="_Toc26129"/>
      <w:r>
        <w:rPr>
          <w:rFonts w:hint="eastAsia" w:ascii="宋体" w:hAnsi="宋体" w:eastAsia="宋体" w:cs="宋体"/>
          <w:color w:val="auto"/>
        </w:rPr>
        <w:t>一、建设项目基本情况</w:t>
      </w:r>
      <w:bookmarkEnd w:id="0"/>
      <w:bookmarkEnd w:id="1"/>
      <w:bookmarkEnd w:id="2"/>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84"/>
        <w:gridCol w:w="2160"/>
        <w:gridCol w:w="2366"/>
        <w:gridCol w:w="2620"/>
      </w:tblGrid>
      <w:tr w14:paraId="547BE7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7504EEB9">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建设项目名称</w:t>
            </w:r>
          </w:p>
        </w:tc>
        <w:tc>
          <w:tcPr>
            <w:tcW w:w="6914" w:type="dxa"/>
            <w:gridSpan w:val="3"/>
            <w:vAlign w:val="center"/>
          </w:tcPr>
          <w:p w14:paraId="41C7926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lang w:val="en-US" w:eastAsia="zh-CN"/>
              </w:rPr>
              <w:t>昆明优竹商贸有限公司</w:t>
            </w:r>
            <w:r>
              <w:rPr>
                <w:rFonts w:hint="default" w:ascii="Times New Roman" w:hAnsi="Times New Roman" w:eastAsia="宋体" w:cs="Times New Roman"/>
                <w:color w:val="auto"/>
                <w:spacing w:val="6"/>
                <w:sz w:val="21"/>
                <w:szCs w:val="21"/>
                <w:highlight w:val="none"/>
                <w:lang w:val="en-US" w:eastAsia="zh-CN"/>
              </w:rPr>
              <w:t>烟花爆竹存储仓库改扩建项目</w:t>
            </w:r>
          </w:p>
        </w:tc>
      </w:tr>
      <w:tr w14:paraId="4D742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314173C9">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项目代码</w:t>
            </w:r>
          </w:p>
        </w:tc>
        <w:tc>
          <w:tcPr>
            <w:tcW w:w="6914" w:type="dxa"/>
            <w:gridSpan w:val="3"/>
            <w:vAlign w:val="center"/>
          </w:tcPr>
          <w:p w14:paraId="1F2F6B7C">
            <w:pPr>
              <w:jc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color w:val="auto"/>
                <w:spacing w:val="2"/>
                <w:position w:val="1"/>
                <w:sz w:val="21"/>
                <w:szCs w:val="21"/>
                <w:highlight w:val="none"/>
                <w:lang w:val="en-US" w:eastAsia="zh-CN"/>
              </w:rPr>
              <w:t>2</w:t>
            </w:r>
            <w:r>
              <w:rPr>
                <w:rFonts w:hint="default" w:ascii="Times New Roman" w:hAnsi="Times New Roman" w:cs="Times New Roman"/>
                <w:color w:val="auto"/>
                <w:spacing w:val="2"/>
                <w:position w:val="1"/>
                <w:sz w:val="21"/>
                <w:szCs w:val="21"/>
                <w:highlight w:val="none"/>
                <w:lang w:val="en-US" w:eastAsia="zh-CN"/>
              </w:rPr>
              <w:t>605</w:t>
            </w:r>
            <w:r>
              <w:rPr>
                <w:rFonts w:hint="default" w:ascii="Times New Roman" w:hAnsi="Times New Roman" w:eastAsia="宋体" w:cs="Times New Roman"/>
                <w:color w:val="auto"/>
                <w:spacing w:val="2"/>
                <w:position w:val="1"/>
                <w:sz w:val="21"/>
                <w:szCs w:val="21"/>
                <w:highlight w:val="none"/>
                <w:lang w:val="en-US" w:eastAsia="zh-CN"/>
              </w:rPr>
              <w:t>-530129-04-01-</w:t>
            </w:r>
            <w:r>
              <w:rPr>
                <w:rFonts w:hint="default" w:ascii="Times New Roman" w:hAnsi="Times New Roman" w:cs="Times New Roman"/>
                <w:color w:val="auto"/>
                <w:spacing w:val="2"/>
                <w:position w:val="1"/>
                <w:sz w:val="21"/>
                <w:szCs w:val="21"/>
                <w:highlight w:val="none"/>
                <w:lang w:val="en-US" w:eastAsia="zh-CN"/>
              </w:rPr>
              <w:t>419578</w:t>
            </w:r>
          </w:p>
        </w:tc>
      </w:tr>
      <w:tr w14:paraId="5FCDB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2209AEBB">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建设单位联系人</w:t>
            </w:r>
          </w:p>
        </w:tc>
        <w:tc>
          <w:tcPr>
            <w:tcW w:w="2063" w:type="dxa"/>
            <w:vAlign w:val="center"/>
          </w:tcPr>
          <w:p w14:paraId="4347892E">
            <w:pPr>
              <w:jc w:val="center"/>
              <w:rPr>
                <w:rFonts w:hint="default" w:ascii="Times New Roman" w:hAnsi="Times New Roman" w:cs="Times New Roman"/>
                <w:color w:val="auto"/>
                <w:sz w:val="21"/>
                <w:szCs w:val="21"/>
                <w:highlight w:val="none"/>
              </w:rPr>
            </w:pPr>
          </w:p>
        </w:tc>
        <w:tc>
          <w:tcPr>
            <w:tcW w:w="2212" w:type="dxa"/>
            <w:vAlign w:val="center"/>
          </w:tcPr>
          <w:p w14:paraId="7D94AFA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联系方式</w:t>
            </w:r>
          </w:p>
        </w:tc>
        <w:tc>
          <w:tcPr>
            <w:tcW w:w="2639" w:type="dxa"/>
            <w:vAlign w:val="center"/>
          </w:tcPr>
          <w:p w14:paraId="4DA14C9D">
            <w:pPr>
              <w:jc w:val="center"/>
              <w:rPr>
                <w:rFonts w:hint="default" w:ascii="Times New Roman" w:hAnsi="Times New Roman" w:cs="Times New Roman"/>
                <w:color w:val="auto"/>
                <w:sz w:val="21"/>
                <w:szCs w:val="21"/>
                <w:highlight w:val="none"/>
              </w:rPr>
            </w:pPr>
            <w:bookmarkStart w:id="74" w:name="_GoBack"/>
            <w:bookmarkEnd w:id="74"/>
          </w:p>
        </w:tc>
      </w:tr>
      <w:tr w14:paraId="62313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7192244D">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建设地点</w:t>
            </w:r>
          </w:p>
        </w:tc>
        <w:tc>
          <w:tcPr>
            <w:tcW w:w="6914" w:type="dxa"/>
            <w:gridSpan w:val="3"/>
            <w:vAlign w:val="center"/>
          </w:tcPr>
          <w:p w14:paraId="5586D6EB">
            <w:pPr>
              <w:pStyle w:val="1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寻甸回族彝族自治县</w:t>
            </w:r>
            <w:r>
              <w:rPr>
                <w:rFonts w:hint="default" w:ascii="Times New Roman" w:hAnsi="Times New Roman" w:cs="Times New Roman"/>
                <w:color w:val="auto"/>
                <w:sz w:val="21"/>
                <w:szCs w:val="21"/>
                <w:highlight w:val="none"/>
                <w:lang w:val="zh-CN"/>
              </w:rPr>
              <w:t>仁德</w:t>
            </w:r>
            <w:r>
              <w:rPr>
                <w:rFonts w:hint="default" w:ascii="Times New Roman" w:hAnsi="Times New Roman" w:cs="Times New Roman"/>
                <w:color w:val="auto"/>
                <w:sz w:val="21"/>
                <w:szCs w:val="21"/>
                <w:highlight w:val="none"/>
              </w:rPr>
              <w:t>街道北观社区</w:t>
            </w:r>
            <w:r>
              <w:rPr>
                <w:rFonts w:hint="default" w:ascii="Times New Roman" w:hAnsi="Times New Roman" w:cs="Times New Roman"/>
                <w:color w:val="auto"/>
                <w:sz w:val="21"/>
                <w:szCs w:val="21"/>
                <w:highlight w:val="none"/>
                <w:lang w:val="en-US" w:eastAsia="zh-CN"/>
              </w:rPr>
              <w:t>小龙潭</w:t>
            </w:r>
            <w:r>
              <w:rPr>
                <w:rFonts w:hint="default" w:ascii="Times New Roman" w:hAnsi="Times New Roman" w:cs="Times New Roman"/>
                <w:color w:val="auto"/>
                <w:sz w:val="21"/>
                <w:szCs w:val="21"/>
                <w:highlight w:val="none"/>
              </w:rPr>
              <w:t>打鹰坡</w:t>
            </w:r>
          </w:p>
        </w:tc>
      </w:tr>
      <w:tr w14:paraId="48338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956" w:type="dxa"/>
            <w:tcMar>
              <w:top w:w="16" w:type="dxa"/>
              <w:left w:w="16" w:type="dxa"/>
              <w:right w:w="16" w:type="dxa"/>
            </w:tcMar>
            <w:vAlign w:val="center"/>
          </w:tcPr>
          <w:p w14:paraId="16D59404">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地理坐标</w:t>
            </w:r>
          </w:p>
        </w:tc>
        <w:tc>
          <w:tcPr>
            <w:tcW w:w="6914" w:type="dxa"/>
            <w:gridSpan w:val="3"/>
            <w:vAlign w:val="center"/>
          </w:tcPr>
          <w:p w14:paraId="64DA3438">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地块一</w:t>
            </w:r>
            <w:r>
              <w:rPr>
                <w:rFonts w:hint="default" w:ascii="Times New Roman" w:hAnsi="Times New Roman" w:cs="Times New Roman"/>
                <w:color w:val="auto"/>
                <w:sz w:val="21"/>
                <w:szCs w:val="21"/>
                <w:highlight w:val="none"/>
              </w:rPr>
              <w:t>（103度15分26.476秒，25度36分38.230秒）</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地块二</w:t>
            </w:r>
            <w:r>
              <w:rPr>
                <w:rFonts w:hint="default" w:ascii="Times New Roman" w:hAnsi="Times New Roman" w:cs="Times New Roman"/>
                <w:color w:val="auto"/>
                <w:sz w:val="21"/>
                <w:szCs w:val="21"/>
                <w:highlight w:val="none"/>
              </w:rPr>
              <w:t>（103度15分</w:t>
            </w:r>
            <w:r>
              <w:rPr>
                <w:rFonts w:hint="default" w:ascii="Times New Roman" w:hAnsi="Times New Roman" w:cs="Times New Roman"/>
                <w:color w:val="auto"/>
                <w:sz w:val="21"/>
                <w:szCs w:val="21"/>
                <w:highlight w:val="none"/>
                <w:lang w:val="en-US" w:eastAsia="zh-CN"/>
              </w:rPr>
              <w:t>17.438</w:t>
            </w:r>
            <w:r>
              <w:rPr>
                <w:rFonts w:hint="default" w:ascii="Times New Roman" w:hAnsi="Times New Roman" w:cs="Times New Roman"/>
                <w:color w:val="auto"/>
                <w:sz w:val="21"/>
                <w:szCs w:val="21"/>
                <w:highlight w:val="none"/>
              </w:rPr>
              <w:t>秒，25度36分</w:t>
            </w:r>
            <w:r>
              <w:rPr>
                <w:rFonts w:hint="default" w:ascii="Times New Roman" w:hAnsi="Times New Roman" w:cs="Times New Roman"/>
                <w:color w:val="auto"/>
                <w:sz w:val="21"/>
                <w:szCs w:val="21"/>
                <w:highlight w:val="none"/>
                <w:lang w:val="en-US" w:eastAsia="zh-CN"/>
              </w:rPr>
              <w:t>19.662</w:t>
            </w:r>
            <w:r>
              <w:rPr>
                <w:rFonts w:hint="default" w:ascii="Times New Roman" w:hAnsi="Times New Roman" w:cs="Times New Roman"/>
                <w:color w:val="auto"/>
                <w:sz w:val="21"/>
                <w:szCs w:val="21"/>
                <w:highlight w:val="none"/>
              </w:rPr>
              <w:t>秒）</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地块三</w:t>
            </w:r>
            <w:r>
              <w:rPr>
                <w:rFonts w:hint="default" w:ascii="Times New Roman" w:hAnsi="Times New Roman" w:cs="Times New Roman"/>
                <w:color w:val="auto"/>
                <w:sz w:val="21"/>
                <w:szCs w:val="21"/>
                <w:highlight w:val="none"/>
              </w:rPr>
              <w:t>（103度15分</w:t>
            </w:r>
            <w:r>
              <w:rPr>
                <w:rFonts w:hint="default" w:ascii="Times New Roman" w:hAnsi="Times New Roman" w:cs="Times New Roman"/>
                <w:color w:val="auto"/>
                <w:sz w:val="21"/>
                <w:szCs w:val="21"/>
                <w:highlight w:val="none"/>
                <w:lang w:val="en-US" w:eastAsia="zh-CN"/>
              </w:rPr>
              <w:t>21.822</w:t>
            </w:r>
            <w:r>
              <w:rPr>
                <w:rFonts w:hint="default" w:ascii="Times New Roman" w:hAnsi="Times New Roman" w:cs="Times New Roman"/>
                <w:color w:val="auto"/>
                <w:sz w:val="21"/>
                <w:szCs w:val="21"/>
                <w:highlight w:val="none"/>
              </w:rPr>
              <w:t>秒，25度36分</w:t>
            </w:r>
            <w:r>
              <w:rPr>
                <w:rFonts w:hint="default" w:ascii="Times New Roman" w:hAnsi="Times New Roman" w:cs="Times New Roman"/>
                <w:color w:val="auto"/>
                <w:sz w:val="21"/>
                <w:szCs w:val="21"/>
                <w:highlight w:val="none"/>
                <w:lang w:val="en-US" w:eastAsia="zh-CN"/>
              </w:rPr>
              <w:t>32.079</w:t>
            </w:r>
            <w:r>
              <w:rPr>
                <w:rFonts w:hint="default" w:ascii="Times New Roman" w:hAnsi="Times New Roman" w:cs="Times New Roman"/>
                <w:color w:val="auto"/>
                <w:sz w:val="21"/>
                <w:szCs w:val="21"/>
                <w:highlight w:val="none"/>
              </w:rPr>
              <w:t>秒）</w:t>
            </w:r>
          </w:p>
        </w:tc>
      </w:tr>
      <w:tr w14:paraId="347CB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3" w:hRule="atLeast"/>
          <w:jc w:val="center"/>
        </w:trPr>
        <w:tc>
          <w:tcPr>
            <w:tcW w:w="1956" w:type="dxa"/>
            <w:tcMar>
              <w:top w:w="16" w:type="dxa"/>
              <w:left w:w="16" w:type="dxa"/>
              <w:right w:w="16" w:type="dxa"/>
            </w:tcMar>
            <w:vAlign w:val="center"/>
          </w:tcPr>
          <w:p w14:paraId="42CED669">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国民经济行业类别</w:t>
            </w:r>
          </w:p>
        </w:tc>
        <w:tc>
          <w:tcPr>
            <w:tcW w:w="2063" w:type="dxa"/>
            <w:vAlign w:val="center"/>
          </w:tcPr>
          <w:p w14:paraId="7EE214F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G5942危险化学品仓储</w:t>
            </w:r>
          </w:p>
        </w:tc>
        <w:tc>
          <w:tcPr>
            <w:tcW w:w="2212" w:type="dxa"/>
            <w:vAlign w:val="center"/>
          </w:tcPr>
          <w:p w14:paraId="0F25B8FD">
            <w:pPr>
              <w:jc w:val="center"/>
              <w:rPr>
                <w:rFonts w:hint="default" w:ascii="Times New Roman" w:hAnsi="Times New Roman" w:cs="Times New Roman"/>
                <w:color w:val="auto"/>
                <w:sz w:val="21"/>
                <w:szCs w:val="21"/>
                <w:highlight w:val="none"/>
              </w:rPr>
            </w:pPr>
            <w:bookmarkStart w:id="3" w:name="_Hlk49843745"/>
            <w:r>
              <w:rPr>
                <w:rFonts w:hint="default" w:ascii="Times New Roman" w:hAnsi="Times New Roman" w:cs="Times New Roman"/>
                <w:color w:val="auto"/>
                <w:sz w:val="21"/>
                <w:szCs w:val="21"/>
                <w:highlight w:val="none"/>
              </w:rPr>
              <w:t>建设项目</w:t>
            </w:r>
          </w:p>
          <w:p w14:paraId="4F66490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行业类别</w:t>
            </w:r>
            <w:bookmarkEnd w:id="3"/>
          </w:p>
        </w:tc>
        <w:tc>
          <w:tcPr>
            <w:tcW w:w="2639" w:type="dxa"/>
            <w:vAlign w:val="center"/>
          </w:tcPr>
          <w:p w14:paraId="465200DA">
            <w:pPr>
              <w:pStyle w:val="1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五十三、危险品仓储594（不含加油站的油库；不含加气站的气库）中其他（含有毒、有害、危险品的仓储；含液化天然气库）</w:t>
            </w:r>
          </w:p>
        </w:tc>
      </w:tr>
      <w:tr w14:paraId="0A8646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83" w:hRule="atLeast"/>
          <w:jc w:val="center"/>
        </w:trPr>
        <w:tc>
          <w:tcPr>
            <w:tcW w:w="1956" w:type="dxa"/>
            <w:tcMar>
              <w:top w:w="16" w:type="dxa"/>
              <w:left w:w="16" w:type="dxa"/>
              <w:right w:w="16" w:type="dxa"/>
            </w:tcMar>
            <w:vAlign w:val="center"/>
          </w:tcPr>
          <w:p w14:paraId="38090B46">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建设性质</w:t>
            </w:r>
          </w:p>
        </w:tc>
        <w:tc>
          <w:tcPr>
            <w:tcW w:w="2063" w:type="dxa"/>
            <w:vAlign w:val="center"/>
          </w:tcPr>
          <w:p w14:paraId="1AE929A5">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sym w:font="Wingdings 2" w:char="00A3"/>
            </w:r>
            <w:r>
              <w:rPr>
                <w:rFonts w:hint="default" w:ascii="Times New Roman" w:hAnsi="Times New Roman" w:cs="Times New Roman"/>
                <w:color w:val="auto"/>
                <w:sz w:val="21"/>
                <w:szCs w:val="21"/>
                <w:highlight w:val="none"/>
              </w:rPr>
              <w:t>新建（迁建）</w:t>
            </w:r>
          </w:p>
          <w:p w14:paraId="4023E44F">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□改建</w:t>
            </w:r>
          </w:p>
          <w:p w14:paraId="35AFD397">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扩建</w:t>
            </w:r>
          </w:p>
          <w:p w14:paraId="570965CF">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□技术改造</w:t>
            </w:r>
          </w:p>
        </w:tc>
        <w:tc>
          <w:tcPr>
            <w:tcW w:w="2212" w:type="dxa"/>
            <w:vAlign w:val="center"/>
          </w:tcPr>
          <w:p w14:paraId="2DBF35F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w:t>
            </w:r>
          </w:p>
          <w:p w14:paraId="172E88E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申报情形</w:t>
            </w:r>
          </w:p>
        </w:tc>
        <w:tc>
          <w:tcPr>
            <w:tcW w:w="2639" w:type="dxa"/>
            <w:vAlign w:val="center"/>
          </w:tcPr>
          <w:p w14:paraId="397D752F">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sym w:font="Wingdings 2" w:char="0052"/>
            </w:r>
            <w:r>
              <w:rPr>
                <w:rFonts w:hint="default" w:ascii="Times New Roman" w:hAnsi="Times New Roman" w:cs="Times New Roman"/>
                <w:color w:val="auto"/>
                <w:sz w:val="21"/>
                <w:szCs w:val="21"/>
                <w:highlight w:val="none"/>
              </w:rPr>
              <w:t>首次申报项目</w:t>
            </w:r>
          </w:p>
          <w:p w14:paraId="41675C6B">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□不予批准后再次申报项目</w:t>
            </w:r>
          </w:p>
          <w:p w14:paraId="4E02883F">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sym w:font="Wingdings 2" w:char="00A3"/>
            </w:r>
            <w:r>
              <w:rPr>
                <w:rFonts w:hint="default" w:ascii="Times New Roman" w:hAnsi="Times New Roman" w:cs="Times New Roman"/>
                <w:color w:val="auto"/>
                <w:sz w:val="21"/>
                <w:szCs w:val="21"/>
                <w:highlight w:val="none"/>
              </w:rPr>
              <w:t>超五年重新审核项目</w:t>
            </w:r>
          </w:p>
          <w:p w14:paraId="228CF5DA">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□重大变动重新报批项目</w:t>
            </w:r>
          </w:p>
        </w:tc>
      </w:tr>
      <w:tr w14:paraId="1952D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1956" w:type="dxa"/>
            <w:tcMar>
              <w:top w:w="16" w:type="dxa"/>
              <w:left w:w="16" w:type="dxa"/>
              <w:right w:w="16" w:type="dxa"/>
            </w:tcMar>
            <w:vAlign w:val="center"/>
          </w:tcPr>
          <w:p w14:paraId="443872FA">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项目审批（核准/备案）部门（选填）</w:t>
            </w:r>
          </w:p>
        </w:tc>
        <w:tc>
          <w:tcPr>
            <w:tcW w:w="2063" w:type="dxa"/>
            <w:vAlign w:val="center"/>
          </w:tcPr>
          <w:p w14:paraId="2C2BB28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寻甸回族彝族自治县发展和改革局</w:t>
            </w:r>
          </w:p>
        </w:tc>
        <w:tc>
          <w:tcPr>
            <w:tcW w:w="2212" w:type="dxa"/>
            <w:vAlign w:val="center"/>
          </w:tcPr>
          <w:p w14:paraId="75FC5E2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项目审批（核准/</w:t>
            </w:r>
          </w:p>
          <w:p w14:paraId="1CDC60C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备案）文号（选填）</w:t>
            </w:r>
          </w:p>
        </w:tc>
        <w:tc>
          <w:tcPr>
            <w:tcW w:w="2639" w:type="dxa"/>
            <w:vAlign w:val="center"/>
          </w:tcPr>
          <w:p w14:paraId="2B90498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8D8B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70EFF742">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总投资（万元）</w:t>
            </w:r>
          </w:p>
        </w:tc>
        <w:tc>
          <w:tcPr>
            <w:tcW w:w="2063" w:type="dxa"/>
            <w:vAlign w:val="center"/>
          </w:tcPr>
          <w:p w14:paraId="04E521E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2600</w:t>
            </w:r>
          </w:p>
        </w:tc>
        <w:tc>
          <w:tcPr>
            <w:tcW w:w="2212" w:type="dxa"/>
            <w:tcMar>
              <w:top w:w="16" w:type="dxa"/>
              <w:left w:w="16" w:type="dxa"/>
              <w:right w:w="16" w:type="dxa"/>
            </w:tcMar>
            <w:vAlign w:val="center"/>
          </w:tcPr>
          <w:p w14:paraId="4F21696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环保投资（万元）</w:t>
            </w:r>
          </w:p>
        </w:tc>
        <w:tc>
          <w:tcPr>
            <w:tcW w:w="2639" w:type="dxa"/>
            <w:vAlign w:val="center"/>
          </w:tcPr>
          <w:p w14:paraId="3906D95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64.31</w:t>
            </w:r>
          </w:p>
        </w:tc>
      </w:tr>
      <w:tr w14:paraId="08F54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0908D157">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环保投资占比（%）</w:t>
            </w:r>
          </w:p>
        </w:tc>
        <w:tc>
          <w:tcPr>
            <w:tcW w:w="2063" w:type="dxa"/>
            <w:vAlign w:val="center"/>
          </w:tcPr>
          <w:p w14:paraId="32588F6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2.47</w:t>
            </w:r>
          </w:p>
        </w:tc>
        <w:tc>
          <w:tcPr>
            <w:tcW w:w="2212" w:type="dxa"/>
            <w:tcMar>
              <w:top w:w="16" w:type="dxa"/>
              <w:left w:w="16" w:type="dxa"/>
              <w:right w:w="16" w:type="dxa"/>
            </w:tcMar>
            <w:vAlign w:val="center"/>
          </w:tcPr>
          <w:p w14:paraId="3C37118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施工工期</w:t>
            </w:r>
          </w:p>
        </w:tc>
        <w:tc>
          <w:tcPr>
            <w:tcW w:w="2639" w:type="dxa"/>
            <w:vAlign w:val="center"/>
          </w:tcPr>
          <w:p w14:paraId="46E849C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12月</w:t>
            </w:r>
          </w:p>
        </w:tc>
      </w:tr>
      <w:tr w14:paraId="6BADD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56" w:type="dxa"/>
            <w:tcMar>
              <w:top w:w="16" w:type="dxa"/>
              <w:left w:w="16" w:type="dxa"/>
              <w:right w:w="16" w:type="dxa"/>
            </w:tcMar>
            <w:vAlign w:val="center"/>
          </w:tcPr>
          <w:p w14:paraId="0FA54F65">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是否开工建设</w:t>
            </w:r>
          </w:p>
        </w:tc>
        <w:tc>
          <w:tcPr>
            <w:tcW w:w="2063" w:type="dxa"/>
            <w:vAlign w:val="center"/>
          </w:tcPr>
          <w:p w14:paraId="4C7369F1">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sym w:font="Wingdings 2" w:char="0052"/>
            </w:r>
            <w:r>
              <w:rPr>
                <w:rFonts w:hint="default" w:ascii="Times New Roman" w:hAnsi="Times New Roman" w:cs="Times New Roman"/>
                <w:color w:val="auto"/>
                <w:sz w:val="21"/>
                <w:szCs w:val="21"/>
                <w:highlight w:val="none"/>
              </w:rPr>
              <w:t>否</w:t>
            </w:r>
          </w:p>
          <w:p w14:paraId="2704816F">
            <w:pPr>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sym w:font="Wingdings 2" w:char="00A3"/>
            </w:r>
            <w:r>
              <w:rPr>
                <w:rFonts w:hint="default" w:ascii="Times New Roman" w:hAnsi="Times New Roman" w:cs="Times New Roman"/>
                <w:color w:val="auto"/>
                <w:sz w:val="21"/>
                <w:szCs w:val="21"/>
                <w:highlight w:val="none"/>
              </w:rPr>
              <w:t>是</w:t>
            </w:r>
          </w:p>
        </w:tc>
        <w:tc>
          <w:tcPr>
            <w:tcW w:w="2212" w:type="dxa"/>
            <w:tcMar>
              <w:top w:w="16" w:type="dxa"/>
              <w:left w:w="16" w:type="dxa"/>
              <w:right w:w="16" w:type="dxa"/>
            </w:tcMar>
            <w:vAlign w:val="center"/>
          </w:tcPr>
          <w:p w14:paraId="78D12F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用地面积（m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p>
        </w:tc>
        <w:tc>
          <w:tcPr>
            <w:tcW w:w="2639" w:type="dxa"/>
            <w:vAlign w:val="center"/>
          </w:tcPr>
          <w:p w14:paraId="223487F8">
            <w:pPr>
              <w:jc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24</w:t>
            </w:r>
            <w:r>
              <w:rPr>
                <w:rFonts w:hint="default" w:ascii="Times New Roman" w:hAnsi="Times New Roman" w:cs="Times New Roman"/>
                <w:color w:val="auto"/>
                <w:sz w:val="21"/>
                <w:szCs w:val="21"/>
                <w:highlight w:val="none"/>
                <w:lang w:val="en-US" w:eastAsia="zh-CN"/>
              </w:rPr>
              <w:t>465</w:t>
            </w:r>
          </w:p>
        </w:tc>
      </w:tr>
      <w:tr w14:paraId="6C55A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6" w:type="dxa"/>
            <w:vAlign w:val="center"/>
          </w:tcPr>
          <w:p w14:paraId="35F8FBCE">
            <w:pPr>
              <w:spacing w:line="360" w:lineRule="auto"/>
              <w:jc w:val="center"/>
              <w:rPr>
                <w:color w:val="auto"/>
                <w:szCs w:val="21"/>
                <w:highlight w:val="none"/>
              </w:rPr>
            </w:pPr>
            <w:r>
              <w:rPr>
                <w:color w:val="auto"/>
                <w:szCs w:val="21"/>
                <w:highlight w:val="none"/>
              </w:rPr>
              <w:t>专项评价设置情况</w:t>
            </w:r>
          </w:p>
        </w:tc>
        <w:tc>
          <w:tcPr>
            <w:tcW w:w="6914" w:type="dxa"/>
            <w:gridSpan w:val="3"/>
            <w:vAlign w:val="center"/>
          </w:tcPr>
          <w:p w14:paraId="0ED2C1C9">
            <w:pPr>
              <w:spacing w:line="360" w:lineRule="auto"/>
              <w:ind w:firstLine="464" w:firstLineChars="200"/>
              <w:rPr>
                <w:color w:val="auto"/>
                <w:spacing w:val="-2"/>
                <w:sz w:val="24"/>
                <w:szCs w:val="24"/>
                <w:highlight w:val="none"/>
              </w:rPr>
            </w:pPr>
            <w:r>
              <w:rPr>
                <w:color w:val="auto"/>
                <w:spacing w:val="-4"/>
                <w:sz w:val="24"/>
                <w:szCs w:val="24"/>
                <w:highlight w:val="none"/>
              </w:rPr>
              <w:t>根据《建设项目环境影响报告表编制技术指南》（污染影响类</w:t>
            </w:r>
            <w:r>
              <w:rPr>
                <w:color w:val="auto"/>
                <w:spacing w:val="-63"/>
                <w:sz w:val="24"/>
                <w:szCs w:val="24"/>
                <w:highlight w:val="none"/>
              </w:rPr>
              <w:t>）（</w:t>
            </w:r>
            <w:r>
              <w:rPr>
                <w:color w:val="auto"/>
                <w:spacing w:val="-4"/>
                <w:sz w:val="24"/>
                <w:szCs w:val="24"/>
                <w:highlight w:val="none"/>
              </w:rPr>
              <w:t>试行</w:t>
            </w:r>
            <w:r>
              <w:rPr>
                <w:color w:val="auto"/>
                <w:spacing w:val="-63"/>
                <w:sz w:val="24"/>
                <w:szCs w:val="24"/>
                <w:highlight w:val="none"/>
              </w:rPr>
              <w:t>），</w:t>
            </w:r>
            <w:r>
              <w:rPr>
                <w:color w:val="auto"/>
                <w:spacing w:val="-4"/>
                <w:sz w:val="24"/>
                <w:szCs w:val="24"/>
                <w:highlight w:val="none"/>
              </w:rPr>
              <w:t>本</w:t>
            </w:r>
            <w:r>
              <w:rPr>
                <w:color w:val="auto"/>
                <w:spacing w:val="-2"/>
                <w:sz w:val="24"/>
                <w:szCs w:val="24"/>
                <w:highlight w:val="none"/>
              </w:rPr>
              <w:t>项目具体情况如下：</w:t>
            </w:r>
          </w:p>
          <w:p w14:paraId="48466B61">
            <w:pPr>
              <w:pStyle w:val="30"/>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8"/>
                <w:sz w:val="21"/>
                <w:szCs w:val="21"/>
                <w:highlight w:val="none"/>
              </w:rPr>
              <w:t>表</w:t>
            </w:r>
            <w:r>
              <w:rPr>
                <w:rFonts w:hint="default" w:ascii="Times New Roman" w:hAnsi="Times New Roman" w:eastAsia="宋体" w:cs="Times New Roman"/>
                <w:color w:val="auto"/>
                <w:spacing w:val="-57"/>
                <w:sz w:val="21"/>
                <w:szCs w:val="21"/>
                <w:highlight w:val="none"/>
              </w:rPr>
              <w:t xml:space="preserve"> </w:t>
            </w:r>
            <w:r>
              <w:rPr>
                <w:rFonts w:hint="default" w:ascii="Times New Roman" w:hAnsi="Times New Roman" w:eastAsia="宋体" w:cs="Times New Roman"/>
                <w:b/>
                <w:bCs/>
                <w:color w:val="auto"/>
                <w:spacing w:val="-8"/>
                <w:sz w:val="21"/>
                <w:szCs w:val="21"/>
                <w:highlight w:val="none"/>
              </w:rPr>
              <w:t>1-1</w:t>
            </w:r>
            <w:r>
              <w:rPr>
                <w:rFonts w:hint="default" w:ascii="Times New Roman" w:hAnsi="Times New Roman" w:eastAsia="宋体" w:cs="Times New Roman"/>
                <w:b/>
                <w:bCs/>
                <w:color w:val="auto"/>
                <w:spacing w:val="5"/>
                <w:sz w:val="21"/>
                <w:szCs w:val="21"/>
                <w:highlight w:val="none"/>
              </w:rPr>
              <w:t xml:space="preserve">  </w:t>
            </w:r>
            <w:r>
              <w:rPr>
                <w:rFonts w:hint="default" w:ascii="Times New Roman" w:hAnsi="Times New Roman" w:eastAsia="宋体" w:cs="Times New Roman"/>
                <w:b/>
                <w:bCs/>
                <w:color w:val="auto"/>
                <w:spacing w:val="-8"/>
                <w:sz w:val="21"/>
                <w:szCs w:val="21"/>
                <w:highlight w:val="none"/>
              </w:rPr>
              <w:t>专项评价设置原则表</w:t>
            </w:r>
          </w:p>
          <w:tbl>
            <w:tblPr>
              <w:tblStyle w:val="60"/>
              <w:tblW w:w="499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57"/>
              <w:gridCol w:w="2020"/>
              <w:gridCol w:w="3442"/>
            </w:tblGrid>
            <w:tr w14:paraId="08CE0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53" w:type="pct"/>
                  <w:vAlign w:val="center"/>
                </w:tcPr>
                <w:p w14:paraId="4B5035C8">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6"/>
                      <w:sz w:val="21"/>
                      <w:szCs w:val="21"/>
                      <w:highlight w:val="none"/>
                    </w:rPr>
                    <w:t>专项评价类别</w:t>
                  </w:r>
                </w:p>
              </w:tc>
              <w:tc>
                <w:tcPr>
                  <w:tcW w:w="1460" w:type="pct"/>
                  <w:vAlign w:val="center"/>
                </w:tcPr>
                <w:p w14:paraId="3A44D5D0">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2"/>
                      <w:sz w:val="21"/>
                      <w:szCs w:val="21"/>
                      <w:highlight w:val="none"/>
                    </w:rPr>
                    <w:t>设置原则</w:t>
                  </w:r>
                </w:p>
              </w:tc>
              <w:tc>
                <w:tcPr>
                  <w:tcW w:w="2485" w:type="pct"/>
                  <w:vAlign w:val="center"/>
                </w:tcPr>
                <w:p w14:paraId="4F57DBBA">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5"/>
                      <w:sz w:val="21"/>
                      <w:szCs w:val="21"/>
                      <w:highlight w:val="none"/>
                    </w:rPr>
                    <w:t>本项目情况</w:t>
                  </w:r>
                </w:p>
              </w:tc>
            </w:tr>
            <w:tr w14:paraId="589D6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053" w:type="pct"/>
                  <w:vAlign w:val="center"/>
                </w:tcPr>
                <w:p w14:paraId="72C592E8">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大气</w:t>
                  </w:r>
                </w:p>
              </w:tc>
              <w:tc>
                <w:tcPr>
                  <w:tcW w:w="1460" w:type="pct"/>
                  <w:vAlign w:val="top"/>
                </w:tcPr>
                <w:p w14:paraId="5106B75F">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position w:val="2"/>
                      <w:sz w:val="21"/>
                      <w:szCs w:val="21"/>
                      <w:highlight w:val="none"/>
                    </w:rPr>
                    <w:t>排放废气含有毒有害污染物</w:t>
                  </w:r>
                  <w:r>
                    <w:rPr>
                      <w:rFonts w:hint="default" w:ascii="Times New Roman" w:hAnsi="Times New Roman" w:eastAsia="宋体" w:cs="Times New Roman"/>
                      <w:color w:val="auto"/>
                      <w:spacing w:val="8"/>
                      <w:position w:val="8"/>
                      <w:sz w:val="21"/>
                      <w:szCs w:val="21"/>
                      <w:highlight w:val="none"/>
                    </w:rPr>
                    <w:t>1</w:t>
                  </w:r>
                  <w:r>
                    <w:rPr>
                      <w:rFonts w:hint="default" w:ascii="Times New Roman" w:hAnsi="Times New Roman" w:eastAsia="宋体" w:cs="Times New Roman"/>
                      <w:color w:val="auto"/>
                      <w:spacing w:val="8"/>
                      <w:position w:val="2"/>
                      <w:sz w:val="21"/>
                      <w:szCs w:val="21"/>
                      <w:highlight w:val="none"/>
                    </w:rPr>
                    <w:t>、二噁英、苯并[a]芘、</w:t>
                  </w:r>
                  <w:r>
                    <w:rPr>
                      <w:rFonts w:hint="default" w:ascii="Times New Roman" w:hAnsi="Times New Roman" w:eastAsia="宋体" w:cs="Times New Roman"/>
                      <w:color w:val="auto"/>
                      <w:spacing w:val="16"/>
                      <w:position w:val="1"/>
                      <w:sz w:val="21"/>
                      <w:szCs w:val="21"/>
                      <w:highlight w:val="none"/>
                    </w:rPr>
                    <w:t>氰化物、氯气且厂界外500米范围内有环境</w:t>
                  </w:r>
                  <w:r>
                    <w:rPr>
                      <w:rFonts w:hint="default" w:ascii="Times New Roman" w:hAnsi="Times New Roman" w:eastAsia="宋体" w:cs="Times New Roman"/>
                      <w:color w:val="auto"/>
                      <w:spacing w:val="15"/>
                      <w:position w:val="1"/>
                      <w:sz w:val="21"/>
                      <w:szCs w:val="21"/>
                      <w:highlight w:val="none"/>
                    </w:rPr>
                    <w:t>空气</w:t>
                  </w:r>
                  <w:r>
                    <w:rPr>
                      <w:rFonts w:hint="default" w:ascii="Times New Roman" w:hAnsi="Times New Roman" w:eastAsia="宋体" w:cs="Times New Roman"/>
                      <w:color w:val="auto"/>
                      <w:spacing w:val="12"/>
                      <w:position w:val="1"/>
                      <w:sz w:val="21"/>
                      <w:szCs w:val="21"/>
                      <w:highlight w:val="none"/>
                    </w:rPr>
                    <w:t>保护目标</w:t>
                  </w:r>
                  <w:r>
                    <w:rPr>
                      <w:rFonts w:hint="default" w:ascii="Times New Roman" w:hAnsi="Times New Roman" w:eastAsia="宋体" w:cs="Times New Roman"/>
                      <w:color w:val="auto"/>
                      <w:spacing w:val="12"/>
                      <w:position w:val="7"/>
                      <w:sz w:val="21"/>
                      <w:szCs w:val="21"/>
                      <w:highlight w:val="none"/>
                    </w:rPr>
                    <w:t>2</w:t>
                  </w:r>
                  <w:r>
                    <w:rPr>
                      <w:rFonts w:hint="default" w:ascii="Times New Roman" w:hAnsi="Times New Roman" w:eastAsia="宋体" w:cs="Times New Roman"/>
                      <w:color w:val="auto"/>
                      <w:spacing w:val="12"/>
                      <w:position w:val="1"/>
                      <w:sz w:val="21"/>
                      <w:szCs w:val="21"/>
                      <w:highlight w:val="none"/>
                    </w:rPr>
                    <w:t>的建设项目</w:t>
                  </w:r>
                </w:p>
              </w:tc>
              <w:tc>
                <w:tcPr>
                  <w:tcW w:w="2485" w:type="pct"/>
                  <w:vAlign w:val="top"/>
                </w:tcPr>
                <w:p w14:paraId="0661B3AF">
                  <w:pPr>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属于危险品仓储建设项目，不涉及生产，项目大气污染物主要来自机动车辆尾气、运输车辆道路扬尘，产生量少，项目周边500m范围内有以其末村、其末村零散住户，但项目不涉及《有毒有害大气污染物名录》中的污染物及二噁英、苯并芘、氰化物、氯气，因此，项目大气环境影响评价不设专项评价。</w:t>
                  </w:r>
                </w:p>
              </w:tc>
            </w:tr>
            <w:tr w14:paraId="09BDC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53" w:type="pct"/>
                  <w:tcBorders>
                    <w:bottom w:val="single" w:color="000000" w:sz="6" w:space="0"/>
                  </w:tcBorders>
                  <w:vAlign w:val="center"/>
                </w:tcPr>
                <w:p w14:paraId="6F47E93D">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4"/>
                      <w:sz w:val="21"/>
                      <w:szCs w:val="21"/>
                      <w:highlight w:val="none"/>
                    </w:rPr>
                    <w:t>地表水</w:t>
                  </w:r>
                </w:p>
              </w:tc>
              <w:tc>
                <w:tcPr>
                  <w:tcW w:w="1460" w:type="pct"/>
                  <w:tcBorders>
                    <w:bottom w:val="single" w:color="000000" w:sz="6" w:space="0"/>
                  </w:tcBorders>
                  <w:vAlign w:val="top"/>
                </w:tcPr>
                <w:p w14:paraId="36F5CB24">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hanging="255"/>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6"/>
                      <w:sz w:val="21"/>
                      <w:szCs w:val="21"/>
                      <w:highlight w:val="none"/>
                    </w:rPr>
                    <w:t>新增工业废水直排建设项目（槽罐车外送污水处理</w:t>
                  </w:r>
                  <w:r>
                    <w:rPr>
                      <w:rFonts w:hint="default" w:ascii="Times New Roman" w:hAnsi="Times New Roman" w:eastAsia="宋体" w:cs="Times New Roman"/>
                      <w:color w:val="auto"/>
                      <w:spacing w:val="17"/>
                      <w:sz w:val="21"/>
                      <w:szCs w:val="21"/>
                      <w:highlight w:val="none"/>
                    </w:rPr>
                    <w:t>厂的除外</w:t>
                  </w:r>
                  <w:r>
                    <w:rPr>
                      <w:rFonts w:hint="default" w:ascii="Times New Roman" w:hAnsi="Times New Roman" w:eastAsia="宋体" w:cs="Times New Roman"/>
                      <w:color w:val="auto"/>
                      <w:spacing w:val="-49"/>
                      <w:sz w:val="21"/>
                      <w:szCs w:val="21"/>
                      <w:highlight w:val="none"/>
                    </w:rPr>
                    <w:t>）；</w:t>
                  </w:r>
                  <w:r>
                    <w:rPr>
                      <w:rFonts w:hint="default" w:ascii="Times New Roman" w:hAnsi="Times New Roman" w:eastAsia="宋体" w:cs="Times New Roman"/>
                      <w:color w:val="auto"/>
                      <w:spacing w:val="-53"/>
                      <w:sz w:val="21"/>
                      <w:szCs w:val="21"/>
                      <w:highlight w:val="none"/>
                    </w:rPr>
                    <w:t xml:space="preserve"> </w:t>
                  </w:r>
                  <w:r>
                    <w:rPr>
                      <w:rFonts w:hint="default" w:ascii="Times New Roman" w:hAnsi="Times New Roman" w:eastAsia="宋体" w:cs="Times New Roman"/>
                      <w:color w:val="auto"/>
                      <w:spacing w:val="17"/>
                      <w:sz w:val="21"/>
                      <w:szCs w:val="21"/>
                      <w:highlight w:val="none"/>
                    </w:rPr>
                    <w:t>新增废水直排的污水集中处理厂</w:t>
                  </w:r>
                </w:p>
              </w:tc>
              <w:tc>
                <w:tcPr>
                  <w:tcW w:w="2485" w:type="pct"/>
                  <w:tcBorders>
                    <w:bottom w:val="single" w:color="000000" w:sz="6" w:space="0"/>
                  </w:tcBorders>
                  <w:vAlign w:val="top"/>
                </w:tcPr>
                <w:p w14:paraId="68B4C1F8">
                  <w:pPr>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项目废水来源主要为工作人员的生活污水，员工生活污水排入化粪池后委托寻甸县环卫部门</w:t>
                  </w:r>
                  <w:r>
                    <w:rPr>
                      <w:rFonts w:hint="default" w:ascii="Times New Roman" w:hAnsi="Times New Roman" w:cs="Times New Roman"/>
                      <w:color w:val="auto"/>
                      <w:sz w:val="21"/>
                      <w:szCs w:val="21"/>
                      <w:highlight w:val="none"/>
                      <w:lang w:val="en-US" w:eastAsia="zh-CN"/>
                    </w:rPr>
                    <w:t>15天</w:t>
                  </w:r>
                  <w:r>
                    <w:rPr>
                      <w:rFonts w:hint="default" w:ascii="Times New Roman" w:hAnsi="Times New Roman" w:eastAsia="宋体" w:cs="Times New Roman"/>
                      <w:color w:val="auto"/>
                      <w:sz w:val="21"/>
                      <w:szCs w:val="21"/>
                      <w:highlight w:val="none"/>
                    </w:rPr>
                    <w:t>抽运一次，运至寻甸县污水处理厂处理，不外排，因此，项目地表水环境影响评价不设专项评价。</w:t>
                  </w:r>
                </w:p>
              </w:tc>
            </w:tr>
            <w:tr w14:paraId="2E89D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1053" w:type="pct"/>
                  <w:tcBorders>
                    <w:top w:val="single" w:color="000000" w:sz="6" w:space="0"/>
                  </w:tcBorders>
                  <w:vAlign w:val="center"/>
                </w:tcPr>
                <w:p w14:paraId="7961F4B7">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8"/>
                      <w:sz w:val="21"/>
                      <w:szCs w:val="21"/>
                      <w:highlight w:val="none"/>
                    </w:rPr>
                    <w:t>环境风险</w:t>
                  </w:r>
                </w:p>
              </w:tc>
              <w:tc>
                <w:tcPr>
                  <w:tcW w:w="1460" w:type="pct"/>
                  <w:tcBorders>
                    <w:top w:val="single" w:color="000000" w:sz="6" w:space="0"/>
                  </w:tcBorders>
                  <w:vAlign w:val="top"/>
                </w:tcPr>
                <w:p w14:paraId="5FAB7AAC">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8"/>
                      <w:position w:val="1"/>
                      <w:sz w:val="21"/>
                      <w:szCs w:val="21"/>
                      <w:highlight w:val="none"/>
                    </w:rPr>
                    <w:t>有毒有害和易燃易爆危险物质存储量超过临界量</w:t>
                  </w:r>
                  <w:r>
                    <w:rPr>
                      <w:rFonts w:hint="default" w:ascii="Times New Roman" w:hAnsi="Times New Roman" w:eastAsia="宋体" w:cs="Times New Roman"/>
                      <w:color w:val="auto"/>
                      <w:spacing w:val="18"/>
                      <w:position w:val="7"/>
                      <w:sz w:val="21"/>
                      <w:szCs w:val="21"/>
                      <w:highlight w:val="none"/>
                    </w:rPr>
                    <w:t>3</w:t>
                  </w:r>
                  <w:r>
                    <w:rPr>
                      <w:rFonts w:hint="default" w:ascii="Times New Roman" w:hAnsi="Times New Roman" w:eastAsia="宋体" w:cs="Times New Roman"/>
                      <w:color w:val="auto"/>
                      <w:spacing w:val="12"/>
                      <w:sz w:val="21"/>
                      <w:szCs w:val="21"/>
                      <w:highlight w:val="none"/>
                    </w:rPr>
                    <w:t>的建设项目</w:t>
                  </w:r>
                  <w:r>
                    <w:rPr>
                      <w:rFonts w:hint="default" w:ascii="Times New Roman" w:hAnsi="Times New Roman" w:eastAsia="宋体" w:cs="Times New Roman"/>
                      <w:color w:val="auto"/>
                      <w:spacing w:val="12"/>
                      <w:sz w:val="21"/>
                      <w:szCs w:val="21"/>
                      <w:highlight w:val="none"/>
                      <w:lang w:eastAsia="zh-CN"/>
                    </w:rPr>
                    <w:t>。</w:t>
                  </w:r>
                </w:p>
              </w:tc>
              <w:tc>
                <w:tcPr>
                  <w:tcW w:w="2485" w:type="pct"/>
                  <w:tcBorders>
                    <w:top w:val="single" w:color="000000" w:sz="6" w:space="0"/>
                  </w:tcBorders>
                  <w:vAlign w:val="top"/>
                </w:tcPr>
                <w:p w14:paraId="44698B69">
                  <w:pPr>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建设项目环境风险评价技术导则》（HJ169-2018），项目涉及的主要危险物质为易爆物质烟花和爆竹。烟花产品主要成分是烟火剂或黑火药，它们都是由氧化剂、可燃剂、粘合剂等组成，都具有燃烧、爆炸等性质，属于易燃易爆的危险品。爆竹使用的原材料主要有高氯酸钾、铝粉，烟花使用的原材料主要有镁铝合金、硫磺、硝酸钾、高氯酸钾等，由上述材料经过一定的工艺加工而制成黑火药、烟火剂。项目有毒有害和易燃易爆危险物质存储量超过临界量</w:t>
                  </w:r>
                  <w:r>
                    <w:rPr>
                      <w:rFonts w:hint="default" w:ascii="Times New Roman" w:hAnsi="Times New Roman" w:cs="Times New Roman"/>
                      <w:color w:val="auto"/>
                      <w:sz w:val="21"/>
                      <w:szCs w:val="21"/>
                      <w:highlight w:val="none"/>
                      <w:lang w:val="en-US" w:eastAsia="zh-CN"/>
                    </w:rPr>
                    <w:t>Q=</w:t>
                  </w:r>
                  <w:r>
                    <w:rPr>
                      <w:rFonts w:hint="eastAsia" w:cs="Times New Roman"/>
                      <w:color w:val="auto"/>
                      <w:sz w:val="21"/>
                      <w:szCs w:val="21"/>
                      <w:highlight w:val="none"/>
                      <w:lang w:val="en-US" w:eastAsia="zh-CN"/>
                    </w:rPr>
                    <w:t>20</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根据污染类编制技术指南需设置环境风险专项评价。</w:t>
                  </w:r>
                </w:p>
              </w:tc>
            </w:tr>
            <w:tr w14:paraId="7DEF8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053" w:type="pct"/>
                  <w:vAlign w:val="center"/>
                </w:tcPr>
                <w:p w14:paraId="5D02E3F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p>
                <w:p w14:paraId="2111ABBE">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生态</w:t>
                  </w:r>
                </w:p>
              </w:tc>
              <w:tc>
                <w:tcPr>
                  <w:tcW w:w="1460" w:type="pct"/>
                  <w:vAlign w:val="top"/>
                </w:tcPr>
                <w:p w14:paraId="1C3549F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6"/>
                      <w:position w:val="1"/>
                      <w:sz w:val="21"/>
                      <w:szCs w:val="21"/>
                      <w:highlight w:val="none"/>
                    </w:rPr>
                    <w:t>取水口下游50米范围内有重要水生物的自然产卵</w:t>
                  </w:r>
                  <w:r>
                    <w:rPr>
                      <w:rFonts w:hint="default" w:ascii="Times New Roman" w:hAnsi="Times New Roman" w:eastAsia="宋体" w:cs="Times New Roman"/>
                      <w:color w:val="auto"/>
                      <w:spacing w:val="17"/>
                      <w:sz w:val="21"/>
                      <w:szCs w:val="21"/>
                      <w:highlight w:val="none"/>
                    </w:rPr>
                    <w:t>场、索饵场、越冬场和洄游通道的新增河道取水的污染类建设项目</w:t>
                  </w:r>
                </w:p>
              </w:tc>
              <w:tc>
                <w:tcPr>
                  <w:tcW w:w="2485" w:type="pct"/>
                  <w:vAlign w:val="top"/>
                </w:tcPr>
                <w:p w14:paraId="5735BA8F">
                  <w:pPr>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用水来源于市政供水管网</w:t>
                  </w:r>
                  <w:r>
                    <w:rPr>
                      <w:rFonts w:hint="default" w:ascii="Times New Roman" w:hAnsi="Times New Roman" w:eastAsia="宋体" w:cs="Times New Roman"/>
                      <w:color w:val="auto"/>
                      <w:sz w:val="21"/>
                      <w:szCs w:val="21"/>
                      <w:highlight w:val="none"/>
                    </w:rPr>
                    <w:t>，因此项目不设生态环境影响专项评价。</w:t>
                  </w:r>
                </w:p>
              </w:tc>
            </w:tr>
            <w:tr w14:paraId="6EB65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053" w:type="pct"/>
                  <w:vAlign w:val="center"/>
                </w:tcPr>
                <w:p w14:paraId="5850FC6D">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1"/>
                      <w:sz w:val="21"/>
                      <w:szCs w:val="21"/>
                      <w:highlight w:val="none"/>
                    </w:rPr>
                    <w:t>海洋</w:t>
                  </w:r>
                </w:p>
              </w:tc>
              <w:tc>
                <w:tcPr>
                  <w:tcW w:w="1460" w:type="pct"/>
                  <w:vAlign w:val="top"/>
                </w:tcPr>
                <w:p w14:paraId="7A97B147">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8"/>
                      <w:sz w:val="21"/>
                      <w:szCs w:val="21"/>
                      <w:highlight w:val="none"/>
                    </w:rPr>
                    <w:t>直接向海排放污染物的海洋工程建设项目</w:t>
                  </w:r>
                  <w:r>
                    <w:rPr>
                      <w:rFonts w:hint="default" w:ascii="Times New Roman" w:hAnsi="Times New Roman" w:eastAsia="宋体" w:cs="Times New Roman"/>
                      <w:color w:val="auto"/>
                      <w:spacing w:val="18"/>
                      <w:sz w:val="21"/>
                      <w:szCs w:val="21"/>
                      <w:highlight w:val="none"/>
                      <w:lang w:eastAsia="zh-CN"/>
                    </w:rPr>
                    <w:t>。</w:t>
                  </w:r>
                </w:p>
              </w:tc>
              <w:tc>
                <w:tcPr>
                  <w:tcW w:w="2485" w:type="pct"/>
                  <w:vAlign w:val="top"/>
                </w:tcPr>
                <w:p w14:paraId="24269A4A">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2"/>
                      <w:sz w:val="21"/>
                      <w:szCs w:val="21"/>
                      <w:highlight w:val="none"/>
                    </w:rPr>
                    <w:t>不涉及</w:t>
                  </w:r>
                </w:p>
              </w:tc>
            </w:tr>
            <w:tr w14:paraId="15A7D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000" w:type="pct"/>
                  <w:gridSpan w:val="3"/>
                  <w:vAlign w:val="center"/>
                </w:tcPr>
                <w:p w14:paraId="78262A7F">
                  <w:pPr>
                    <w:pStyle w:val="59"/>
                    <w:keepNext w:val="0"/>
                    <w:keepLines w:val="0"/>
                    <w:pageBreakBefore w:val="0"/>
                    <w:wordWrap/>
                    <w:overflowPunct/>
                    <w:topLinePunct w:val="0"/>
                    <w:bidi w:val="0"/>
                    <w:spacing w:line="240" w:lineRule="auto"/>
                    <w:ind w:left="0" w:right="0" w:firstLine="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w:t>
                  </w:r>
                </w:p>
                <w:p w14:paraId="4011EFB2">
                  <w:pPr>
                    <w:pStyle w:val="59"/>
                    <w:keepNext w:val="0"/>
                    <w:keepLines w:val="0"/>
                    <w:pageBreakBefore w:val="0"/>
                    <w:wordWrap/>
                    <w:overflowPunct/>
                    <w:topLinePunct w:val="0"/>
                    <w:bidi w:val="0"/>
                    <w:spacing w:line="240" w:lineRule="auto"/>
                    <w:ind w:left="0" w:right="0" w:firstLine="0"/>
                    <w:rPr>
                      <w:rFonts w:hint="default" w:ascii="Times New Roman" w:hAnsi="Times New Roman" w:cs="Times New Roman"/>
                      <w:color w:val="auto"/>
                      <w:spacing w:val="0"/>
                      <w:w w:val="100"/>
                      <w:sz w:val="21"/>
                      <w:szCs w:val="21"/>
                      <w:highlight w:val="none"/>
                    </w:rPr>
                  </w:pPr>
                  <w:r>
                    <w:rPr>
                      <w:rFonts w:hint="default" w:ascii="Times New Roman" w:hAnsi="Times New Roman" w:eastAsia="Times New Roman" w:cs="Times New Roman"/>
                      <w:color w:val="auto"/>
                      <w:spacing w:val="0"/>
                      <w:w w:val="100"/>
                      <w:sz w:val="21"/>
                      <w:szCs w:val="21"/>
                      <w:highlight w:val="none"/>
                    </w:rPr>
                    <w:t>1.</w:t>
                  </w:r>
                  <w:r>
                    <w:rPr>
                      <w:rFonts w:hint="default" w:ascii="Times New Roman" w:hAnsi="Times New Roman" w:cs="Times New Roman"/>
                      <w:color w:val="auto"/>
                      <w:spacing w:val="0"/>
                      <w:w w:val="100"/>
                      <w:sz w:val="21"/>
                      <w:szCs w:val="21"/>
                      <w:highlight w:val="none"/>
                    </w:rPr>
                    <w:t>废气中有毒有害污染物指纳入《有毒有害大气污染物名录》的污染物（不包括无排放标准的污染物）。</w:t>
                  </w:r>
                </w:p>
                <w:p w14:paraId="728A5E55">
                  <w:pPr>
                    <w:pStyle w:val="59"/>
                    <w:keepNext w:val="0"/>
                    <w:keepLines w:val="0"/>
                    <w:pageBreakBefore w:val="0"/>
                    <w:wordWrap/>
                    <w:overflowPunct/>
                    <w:topLinePunct w:val="0"/>
                    <w:bidi w:val="0"/>
                    <w:spacing w:line="240" w:lineRule="auto"/>
                    <w:ind w:left="0" w:right="0" w:firstLine="0"/>
                    <w:rPr>
                      <w:rFonts w:hint="default" w:ascii="Times New Roman" w:hAnsi="Times New Roman" w:cs="Times New Roman"/>
                      <w:color w:val="auto"/>
                      <w:spacing w:val="0"/>
                      <w:w w:val="100"/>
                      <w:sz w:val="21"/>
                      <w:szCs w:val="21"/>
                      <w:highlight w:val="none"/>
                    </w:rPr>
                  </w:pPr>
                  <w:r>
                    <w:rPr>
                      <w:rFonts w:hint="default" w:ascii="Times New Roman" w:hAnsi="Times New Roman" w:eastAsia="Times New Roman" w:cs="Times New Roman"/>
                      <w:color w:val="auto"/>
                      <w:spacing w:val="0"/>
                      <w:w w:val="100"/>
                      <w:sz w:val="21"/>
                      <w:szCs w:val="21"/>
                      <w:highlight w:val="none"/>
                    </w:rPr>
                    <w:t>2.</w:t>
                  </w:r>
                  <w:r>
                    <w:rPr>
                      <w:rFonts w:hint="default" w:ascii="Times New Roman" w:hAnsi="Times New Roman" w:cs="Times New Roman"/>
                      <w:color w:val="auto"/>
                      <w:spacing w:val="0"/>
                      <w:w w:val="100"/>
                      <w:sz w:val="21"/>
                      <w:szCs w:val="21"/>
                      <w:highlight w:val="none"/>
                    </w:rPr>
                    <w:t>环境空气保护目标指自然保护区、风景名胜区、居住区、文化区和农村地区中人群较集中的区域。</w:t>
                  </w:r>
                </w:p>
                <w:p w14:paraId="1710FF62">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2"/>
                      <w:sz w:val="21"/>
                      <w:szCs w:val="21"/>
                      <w:highlight w:val="none"/>
                    </w:rPr>
                  </w:pPr>
                  <w:r>
                    <w:rPr>
                      <w:rFonts w:hint="default" w:ascii="Times New Roman" w:hAnsi="Times New Roman" w:eastAsia="Times New Roman" w:cs="Times New Roman"/>
                      <w:color w:val="auto"/>
                      <w:spacing w:val="0"/>
                      <w:w w:val="100"/>
                      <w:sz w:val="21"/>
                      <w:szCs w:val="21"/>
                      <w:highlight w:val="none"/>
                    </w:rPr>
                    <w:t>3.</w:t>
                  </w:r>
                  <w:r>
                    <w:rPr>
                      <w:rFonts w:hint="default" w:ascii="Times New Roman" w:hAnsi="Times New Roman" w:cs="Times New Roman"/>
                      <w:color w:val="auto"/>
                      <w:spacing w:val="0"/>
                      <w:w w:val="100"/>
                      <w:sz w:val="21"/>
                      <w:szCs w:val="21"/>
                      <w:highlight w:val="none"/>
                    </w:rPr>
                    <w:t>临界量及其计算方法可参考《建设项目环境风险评价技术导则》（</w:t>
                  </w:r>
                  <w:r>
                    <w:rPr>
                      <w:rFonts w:hint="default" w:ascii="Times New Roman" w:hAnsi="Times New Roman" w:eastAsia="Times New Roman" w:cs="Times New Roman"/>
                      <w:color w:val="auto"/>
                      <w:spacing w:val="0"/>
                      <w:w w:val="100"/>
                      <w:sz w:val="21"/>
                      <w:szCs w:val="21"/>
                      <w:highlight w:val="none"/>
                    </w:rPr>
                    <w:t>HJ 169</w:t>
                  </w:r>
                  <w:r>
                    <w:rPr>
                      <w:rFonts w:hint="default" w:ascii="Times New Roman" w:hAnsi="Times New Roman" w:cs="Times New Roman"/>
                      <w:color w:val="auto"/>
                      <w:spacing w:val="0"/>
                      <w:w w:val="100"/>
                      <w:sz w:val="21"/>
                      <w:szCs w:val="21"/>
                      <w:highlight w:val="none"/>
                    </w:rPr>
                    <w:t>）附录</w:t>
                  </w:r>
                  <w:r>
                    <w:rPr>
                      <w:rFonts w:hint="default" w:ascii="Times New Roman" w:hAnsi="Times New Roman" w:eastAsia="Times New Roman" w:cs="Times New Roman"/>
                      <w:color w:val="auto"/>
                      <w:spacing w:val="0"/>
                      <w:w w:val="100"/>
                      <w:sz w:val="21"/>
                      <w:szCs w:val="21"/>
                      <w:highlight w:val="none"/>
                    </w:rPr>
                    <w:t>B</w:t>
                  </w:r>
                  <w:r>
                    <w:rPr>
                      <w:rFonts w:hint="default" w:ascii="Times New Roman" w:hAnsi="Times New Roman" w:cs="Times New Roman"/>
                      <w:color w:val="auto"/>
                      <w:spacing w:val="0"/>
                      <w:w w:val="100"/>
                      <w:sz w:val="21"/>
                      <w:szCs w:val="21"/>
                      <w:highlight w:val="none"/>
                    </w:rPr>
                    <w:t>、附录</w:t>
                  </w:r>
                  <w:r>
                    <w:rPr>
                      <w:rFonts w:hint="default" w:ascii="Times New Roman" w:hAnsi="Times New Roman" w:eastAsia="Times New Roman" w:cs="Times New Roman"/>
                      <w:color w:val="auto"/>
                      <w:spacing w:val="0"/>
                      <w:w w:val="100"/>
                      <w:sz w:val="21"/>
                      <w:szCs w:val="21"/>
                      <w:highlight w:val="none"/>
                    </w:rPr>
                    <w:t>C</w:t>
                  </w:r>
                  <w:r>
                    <w:rPr>
                      <w:rFonts w:hint="default" w:ascii="Times New Roman" w:hAnsi="Times New Roman" w:cs="Times New Roman"/>
                      <w:color w:val="auto"/>
                      <w:spacing w:val="0"/>
                      <w:w w:val="100"/>
                      <w:sz w:val="21"/>
                      <w:szCs w:val="21"/>
                      <w:highlight w:val="none"/>
                    </w:rPr>
                    <w:t>。</w:t>
                  </w:r>
                </w:p>
              </w:tc>
            </w:tr>
          </w:tbl>
          <w:p w14:paraId="268DA9B0">
            <w:pPr>
              <w:spacing w:line="360" w:lineRule="auto"/>
              <w:ind w:firstLine="420" w:firstLineChars="200"/>
              <w:rPr>
                <w:color w:val="auto"/>
                <w:szCs w:val="21"/>
                <w:highlight w:val="none"/>
              </w:rPr>
            </w:pPr>
          </w:p>
        </w:tc>
      </w:tr>
      <w:tr w14:paraId="2BC81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6" w:type="dxa"/>
            <w:vAlign w:val="center"/>
          </w:tcPr>
          <w:p w14:paraId="580941EF">
            <w:pPr>
              <w:spacing w:line="360" w:lineRule="auto"/>
              <w:jc w:val="center"/>
              <w:rPr>
                <w:color w:val="auto"/>
                <w:szCs w:val="21"/>
                <w:highlight w:val="none"/>
              </w:rPr>
            </w:pPr>
            <w:r>
              <w:rPr>
                <w:color w:val="auto"/>
                <w:szCs w:val="21"/>
                <w:highlight w:val="none"/>
              </w:rPr>
              <w:t>规划情况</w:t>
            </w:r>
          </w:p>
        </w:tc>
        <w:tc>
          <w:tcPr>
            <w:tcW w:w="6914" w:type="dxa"/>
            <w:gridSpan w:val="3"/>
            <w:vAlign w:val="center"/>
          </w:tcPr>
          <w:p w14:paraId="558944DD">
            <w:pPr>
              <w:spacing w:line="360" w:lineRule="auto"/>
              <w:ind w:firstLine="420" w:firstLineChars="200"/>
              <w:rPr>
                <w:color w:val="auto"/>
                <w:szCs w:val="21"/>
                <w:highlight w:val="none"/>
              </w:rPr>
            </w:pPr>
            <w:r>
              <w:rPr>
                <w:color w:val="auto"/>
                <w:szCs w:val="21"/>
                <w:highlight w:val="none"/>
              </w:rPr>
              <w:t>项目位于寻甸县</w:t>
            </w:r>
            <w:r>
              <w:rPr>
                <w:color w:val="auto"/>
                <w:szCs w:val="21"/>
                <w:highlight w:val="none"/>
                <w:lang w:val="zh-CN"/>
              </w:rPr>
              <w:t>仁德</w:t>
            </w:r>
            <w:r>
              <w:rPr>
                <w:color w:val="auto"/>
                <w:szCs w:val="21"/>
                <w:highlight w:val="none"/>
              </w:rPr>
              <w:t>镇北观社区打鹰坡，项目不在城市规划范围内。</w:t>
            </w:r>
          </w:p>
        </w:tc>
      </w:tr>
      <w:tr w14:paraId="77C90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6" w:type="dxa"/>
            <w:vAlign w:val="center"/>
          </w:tcPr>
          <w:p w14:paraId="0687BD92">
            <w:pPr>
              <w:spacing w:line="360" w:lineRule="auto"/>
              <w:jc w:val="center"/>
              <w:rPr>
                <w:color w:val="auto"/>
                <w:szCs w:val="21"/>
                <w:highlight w:val="none"/>
              </w:rPr>
            </w:pPr>
            <w:r>
              <w:rPr>
                <w:color w:val="auto"/>
                <w:szCs w:val="21"/>
                <w:highlight w:val="none"/>
              </w:rPr>
              <w:t>规划环境影响</w:t>
            </w:r>
          </w:p>
          <w:p w14:paraId="31C3EBE7">
            <w:pPr>
              <w:spacing w:line="360" w:lineRule="auto"/>
              <w:jc w:val="center"/>
              <w:rPr>
                <w:color w:val="auto"/>
                <w:szCs w:val="21"/>
                <w:highlight w:val="none"/>
              </w:rPr>
            </w:pPr>
            <w:r>
              <w:rPr>
                <w:color w:val="auto"/>
                <w:szCs w:val="21"/>
                <w:highlight w:val="none"/>
              </w:rPr>
              <w:t>评价情况</w:t>
            </w:r>
          </w:p>
        </w:tc>
        <w:tc>
          <w:tcPr>
            <w:tcW w:w="6914" w:type="dxa"/>
            <w:gridSpan w:val="3"/>
            <w:vAlign w:val="center"/>
          </w:tcPr>
          <w:p w14:paraId="383F802C">
            <w:pPr>
              <w:spacing w:line="360" w:lineRule="auto"/>
              <w:jc w:val="center"/>
              <w:rPr>
                <w:color w:val="auto"/>
                <w:szCs w:val="21"/>
                <w:highlight w:val="none"/>
              </w:rPr>
            </w:pPr>
            <w:r>
              <w:rPr>
                <w:color w:val="auto"/>
                <w:szCs w:val="21"/>
                <w:highlight w:val="none"/>
              </w:rPr>
              <w:t>无</w:t>
            </w:r>
          </w:p>
        </w:tc>
      </w:tr>
      <w:tr w14:paraId="1EB173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6" w:type="dxa"/>
            <w:vAlign w:val="center"/>
          </w:tcPr>
          <w:p w14:paraId="77AE5634">
            <w:pPr>
              <w:spacing w:line="360" w:lineRule="auto"/>
              <w:jc w:val="center"/>
              <w:rPr>
                <w:color w:val="auto"/>
                <w:szCs w:val="21"/>
                <w:highlight w:val="none"/>
              </w:rPr>
            </w:pPr>
            <w:r>
              <w:rPr>
                <w:color w:val="auto"/>
                <w:szCs w:val="21"/>
                <w:highlight w:val="none"/>
              </w:rPr>
              <w:t>规划及规划环境</w:t>
            </w:r>
          </w:p>
          <w:p w14:paraId="318A108D">
            <w:pPr>
              <w:spacing w:line="360" w:lineRule="auto"/>
              <w:jc w:val="center"/>
              <w:rPr>
                <w:color w:val="auto"/>
                <w:szCs w:val="21"/>
                <w:highlight w:val="none"/>
              </w:rPr>
            </w:pPr>
            <w:r>
              <w:rPr>
                <w:color w:val="auto"/>
                <w:szCs w:val="21"/>
                <w:highlight w:val="none"/>
              </w:rPr>
              <w:t>影响评价符合性分析</w:t>
            </w:r>
          </w:p>
        </w:tc>
        <w:tc>
          <w:tcPr>
            <w:tcW w:w="6914" w:type="dxa"/>
            <w:gridSpan w:val="3"/>
            <w:vAlign w:val="center"/>
          </w:tcPr>
          <w:p w14:paraId="6430E10D">
            <w:pPr>
              <w:spacing w:line="360" w:lineRule="auto"/>
              <w:jc w:val="center"/>
              <w:rPr>
                <w:color w:val="auto"/>
                <w:szCs w:val="21"/>
                <w:highlight w:val="none"/>
              </w:rPr>
            </w:pPr>
            <w:r>
              <w:rPr>
                <w:color w:val="auto"/>
                <w:szCs w:val="21"/>
                <w:highlight w:val="none"/>
              </w:rPr>
              <w:t>无</w:t>
            </w:r>
          </w:p>
        </w:tc>
      </w:tr>
      <w:tr w14:paraId="03EEF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6" w:type="dxa"/>
            <w:vAlign w:val="center"/>
          </w:tcPr>
          <w:p w14:paraId="74E285EA">
            <w:pPr>
              <w:spacing w:line="360" w:lineRule="auto"/>
              <w:jc w:val="center"/>
              <w:rPr>
                <w:color w:val="auto"/>
                <w:szCs w:val="21"/>
                <w:highlight w:val="none"/>
              </w:rPr>
            </w:pPr>
            <w:r>
              <w:rPr>
                <w:color w:val="auto"/>
                <w:szCs w:val="21"/>
                <w:highlight w:val="none"/>
              </w:rPr>
              <w:t>其他符合性分析</w:t>
            </w:r>
          </w:p>
        </w:tc>
        <w:tc>
          <w:tcPr>
            <w:tcW w:w="6914" w:type="dxa"/>
            <w:gridSpan w:val="3"/>
            <w:vAlign w:val="center"/>
          </w:tcPr>
          <w:p w14:paraId="267D7218">
            <w:pPr>
              <w:spacing w:line="360" w:lineRule="auto"/>
              <w:ind w:firstLine="482" w:firstLineChars="200"/>
              <w:rPr>
                <w:b/>
                <w:bCs/>
                <w:color w:val="auto"/>
                <w:sz w:val="24"/>
                <w:szCs w:val="24"/>
                <w:highlight w:val="none"/>
              </w:rPr>
            </w:pPr>
            <w:r>
              <w:rPr>
                <w:b/>
                <w:bCs/>
                <w:color w:val="auto"/>
                <w:sz w:val="24"/>
                <w:szCs w:val="24"/>
                <w:highlight w:val="none"/>
              </w:rPr>
              <w:t>1、产业政策符合性分析</w:t>
            </w:r>
          </w:p>
          <w:p w14:paraId="1F8B6DB6">
            <w:pPr>
              <w:spacing w:line="360" w:lineRule="auto"/>
              <w:ind w:firstLine="464" w:firstLineChars="200"/>
              <w:rPr>
                <w:color w:val="auto"/>
                <w:sz w:val="24"/>
                <w:szCs w:val="24"/>
                <w:highlight w:val="none"/>
              </w:rPr>
            </w:pPr>
            <w:r>
              <w:rPr>
                <w:color w:val="auto"/>
                <w:spacing w:val="-4"/>
                <w:sz w:val="24"/>
                <w:szCs w:val="24"/>
                <w:highlight w:val="none"/>
              </w:rPr>
              <w:t>根据《国民经济行业分类》（</w:t>
            </w:r>
            <w:r>
              <w:rPr>
                <w:rFonts w:ascii="Times New Roman" w:hAnsi="Times New Roman" w:eastAsia="Times New Roman" w:cs="Times New Roman"/>
                <w:color w:val="auto"/>
                <w:spacing w:val="-4"/>
                <w:sz w:val="24"/>
                <w:szCs w:val="24"/>
                <w:highlight w:val="none"/>
              </w:rPr>
              <w:t>GB/T4754-2017</w:t>
            </w:r>
            <w:r>
              <w:rPr>
                <w:color w:val="auto"/>
                <w:spacing w:val="-34"/>
                <w:sz w:val="24"/>
                <w:szCs w:val="24"/>
                <w:highlight w:val="none"/>
              </w:rPr>
              <w:t>），</w:t>
            </w:r>
            <w:r>
              <w:rPr>
                <w:color w:val="auto"/>
                <w:spacing w:val="-4"/>
                <w:sz w:val="24"/>
                <w:szCs w:val="24"/>
                <w:highlight w:val="none"/>
              </w:rPr>
              <w:t>本项目行业类别为仓库建设</w:t>
            </w:r>
            <w:r>
              <w:rPr>
                <w:color w:val="auto"/>
                <w:spacing w:val="-3"/>
                <w:sz w:val="24"/>
                <w:szCs w:val="24"/>
                <w:highlight w:val="none"/>
              </w:rPr>
              <w:t>项目，不属于《产业结构调整指导目录</w:t>
            </w:r>
            <w:r>
              <w:rPr>
                <w:color w:val="auto"/>
                <w:spacing w:val="-2"/>
                <w:sz w:val="24"/>
                <w:szCs w:val="24"/>
                <w:highlight w:val="none"/>
              </w:rPr>
              <w:t>（</w:t>
            </w:r>
            <w:r>
              <w:rPr>
                <w:rFonts w:ascii="Times New Roman" w:hAnsi="Times New Roman" w:eastAsia="Times New Roman" w:cs="Times New Roman"/>
                <w:color w:val="auto"/>
                <w:spacing w:val="-2"/>
                <w:sz w:val="24"/>
                <w:szCs w:val="24"/>
                <w:highlight w:val="none"/>
              </w:rPr>
              <w:t>2024</w:t>
            </w:r>
            <w:r>
              <w:rPr>
                <w:color w:val="auto"/>
                <w:spacing w:val="-2"/>
                <w:sz w:val="24"/>
                <w:szCs w:val="24"/>
                <w:highlight w:val="none"/>
              </w:rPr>
              <w:t>年本）》文件中规定的限制类和淘汰类项目。根据《市场准入负面清单》（</w:t>
            </w:r>
            <w:r>
              <w:rPr>
                <w:rFonts w:ascii="Times New Roman" w:hAnsi="Times New Roman" w:eastAsia="Times New Roman" w:cs="Times New Roman"/>
                <w:color w:val="auto"/>
                <w:spacing w:val="-2"/>
                <w:sz w:val="24"/>
                <w:szCs w:val="24"/>
                <w:highlight w:val="none"/>
              </w:rPr>
              <w:t>2022</w:t>
            </w:r>
            <w:r>
              <w:rPr>
                <w:color w:val="auto"/>
                <w:spacing w:val="-2"/>
                <w:sz w:val="24"/>
                <w:szCs w:val="24"/>
                <w:highlight w:val="none"/>
              </w:rPr>
              <w:t>年版</w:t>
            </w:r>
            <w:r>
              <w:rPr>
                <w:color w:val="auto"/>
                <w:spacing w:val="-23"/>
                <w:sz w:val="24"/>
                <w:szCs w:val="24"/>
                <w:highlight w:val="none"/>
              </w:rPr>
              <w:t>），</w:t>
            </w:r>
            <w:r>
              <w:rPr>
                <w:color w:val="auto"/>
                <w:spacing w:val="-2"/>
                <w:sz w:val="24"/>
                <w:szCs w:val="24"/>
                <w:highlight w:val="none"/>
              </w:rPr>
              <w:t>本项目不在该负面清单里。因此本项目符合国家产业政策。</w:t>
            </w:r>
            <w:r>
              <w:rPr>
                <w:color w:val="auto"/>
                <w:sz w:val="24"/>
                <w:szCs w:val="24"/>
                <w:highlight w:val="none"/>
              </w:rPr>
              <w:t>属于允许类，因此，项目是符合国家现行产业政策的。同时项目于202</w:t>
            </w:r>
            <w:r>
              <w:rPr>
                <w:rFonts w:hint="eastAsia"/>
                <w:color w:val="auto"/>
                <w:sz w:val="24"/>
                <w:szCs w:val="24"/>
                <w:highlight w:val="none"/>
                <w:lang w:val="en-US" w:eastAsia="zh-CN"/>
              </w:rPr>
              <w:t>6</w:t>
            </w:r>
            <w:r>
              <w:rPr>
                <w:color w:val="auto"/>
                <w:sz w:val="24"/>
                <w:szCs w:val="24"/>
                <w:highlight w:val="none"/>
              </w:rPr>
              <w:t>年</w:t>
            </w:r>
            <w:r>
              <w:rPr>
                <w:rFonts w:hint="eastAsia"/>
                <w:color w:val="auto"/>
                <w:sz w:val="24"/>
                <w:szCs w:val="24"/>
                <w:highlight w:val="none"/>
                <w:lang w:val="en-US" w:eastAsia="zh-CN"/>
              </w:rPr>
              <w:t>6</w:t>
            </w:r>
            <w:r>
              <w:rPr>
                <w:color w:val="auto"/>
                <w:sz w:val="24"/>
                <w:szCs w:val="24"/>
                <w:highlight w:val="none"/>
              </w:rPr>
              <w:t>月</w:t>
            </w:r>
            <w:r>
              <w:rPr>
                <w:rFonts w:hint="eastAsia"/>
                <w:color w:val="auto"/>
                <w:sz w:val="24"/>
                <w:szCs w:val="24"/>
                <w:highlight w:val="none"/>
                <w:lang w:val="en-US" w:eastAsia="zh-CN"/>
              </w:rPr>
              <w:t>21</w:t>
            </w:r>
            <w:r>
              <w:rPr>
                <w:color w:val="auto"/>
                <w:sz w:val="24"/>
                <w:szCs w:val="24"/>
                <w:highlight w:val="none"/>
              </w:rPr>
              <w:t>日取得了寻甸县发展和改革局出具的投资备案证（附件4），项目代码：</w:t>
            </w:r>
            <w:r>
              <w:rPr>
                <w:rFonts w:hint="eastAsia" w:ascii="Times New Roman" w:hAnsi="Times New Roman" w:eastAsia="宋体" w:cs="Times New Roman"/>
                <w:color w:val="auto"/>
                <w:spacing w:val="2"/>
                <w:position w:val="1"/>
                <w:sz w:val="24"/>
                <w:szCs w:val="24"/>
                <w:highlight w:val="none"/>
                <w:lang w:val="en-US" w:eastAsia="zh-CN"/>
              </w:rPr>
              <w:t>2</w:t>
            </w:r>
            <w:r>
              <w:rPr>
                <w:rFonts w:hint="eastAsia" w:cs="Times New Roman"/>
                <w:color w:val="auto"/>
                <w:spacing w:val="2"/>
                <w:position w:val="1"/>
                <w:sz w:val="24"/>
                <w:szCs w:val="24"/>
                <w:highlight w:val="none"/>
                <w:lang w:val="en-US" w:eastAsia="zh-CN"/>
              </w:rPr>
              <w:t>605</w:t>
            </w:r>
            <w:r>
              <w:rPr>
                <w:rFonts w:hint="eastAsia" w:ascii="Times New Roman" w:hAnsi="Times New Roman" w:eastAsia="宋体" w:cs="Times New Roman"/>
                <w:color w:val="auto"/>
                <w:spacing w:val="2"/>
                <w:position w:val="1"/>
                <w:sz w:val="24"/>
                <w:szCs w:val="24"/>
                <w:highlight w:val="none"/>
                <w:lang w:val="en-US" w:eastAsia="zh-CN"/>
              </w:rPr>
              <w:t>-530129-04-01-</w:t>
            </w:r>
            <w:r>
              <w:rPr>
                <w:rFonts w:hint="eastAsia" w:cs="Times New Roman"/>
                <w:color w:val="auto"/>
                <w:spacing w:val="2"/>
                <w:position w:val="1"/>
                <w:sz w:val="24"/>
                <w:szCs w:val="24"/>
                <w:highlight w:val="none"/>
                <w:lang w:val="en-US" w:eastAsia="zh-CN"/>
              </w:rPr>
              <w:t>419578</w:t>
            </w:r>
            <w:r>
              <w:rPr>
                <w:color w:val="auto"/>
                <w:sz w:val="24"/>
                <w:szCs w:val="24"/>
                <w:highlight w:val="none"/>
              </w:rPr>
              <w:t>。</w:t>
            </w:r>
          </w:p>
          <w:p w14:paraId="5583DECA">
            <w:pPr>
              <w:spacing w:line="360" w:lineRule="auto"/>
              <w:ind w:firstLine="480" w:firstLineChars="200"/>
              <w:rPr>
                <w:color w:val="auto"/>
                <w:sz w:val="24"/>
                <w:szCs w:val="24"/>
                <w:highlight w:val="none"/>
              </w:rPr>
            </w:pPr>
            <w:r>
              <w:rPr>
                <w:color w:val="auto"/>
                <w:sz w:val="24"/>
                <w:szCs w:val="24"/>
                <w:highlight w:val="none"/>
              </w:rPr>
              <w:t>综上所述，项目的建设符合国家和地方产业政策。</w:t>
            </w:r>
          </w:p>
          <w:p w14:paraId="399DDC4E">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2</w:t>
            </w:r>
            <w:r>
              <w:rPr>
                <w:b/>
                <w:bCs/>
                <w:color w:val="auto"/>
                <w:sz w:val="24"/>
                <w:szCs w:val="24"/>
                <w:highlight w:val="none"/>
              </w:rPr>
              <w:t>、与《云南省主体功能区规划》符合性分析</w:t>
            </w:r>
          </w:p>
          <w:p w14:paraId="5BC812F3">
            <w:pPr>
              <w:spacing w:line="360" w:lineRule="auto"/>
              <w:ind w:firstLine="480" w:firstLineChars="200"/>
              <w:rPr>
                <w:color w:val="auto"/>
                <w:sz w:val="24"/>
                <w:szCs w:val="24"/>
                <w:highlight w:val="none"/>
              </w:rPr>
            </w:pPr>
            <w:r>
              <w:rPr>
                <w:color w:val="auto"/>
                <w:sz w:val="24"/>
                <w:szCs w:val="24"/>
                <w:highlight w:val="none"/>
              </w:rPr>
              <w:t>根据云政发[2014]1号文“云南省人民政府关于印发云南省主体功能区划的通知”（2014年1月6日），规划将整个云南省划分为重点开发区、限制开发区和禁止开发区三大类主体功能区，根据《云南省主体功能区划》，本项目所在的寻甸县属于重点开发区（生态农业重点开发区）的功能定位。</w:t>
            </w:r>
          </w:p>
          <w:p w14:paraId="7B7F18B6">
            <w:pPr>
              <w:spacing w:line="360" w:lineRule="auto"/>
              <w:ind w:firstLine="480" w:firstLineChars="200"/>
              <w:rPr>
                <w:color w:val="auto"/>
                <w:sz w:val="24"/>
                <w:szCs w:val="24"/>
                <w:highlight w:val="none"/>
              </w:rPr>
            </w:pPr>
            <w:r>
              <w:rPr>
                <w:color w:val="auto"/>
                <w:sz w:val="24"/>
                <w:szCs w:val="24"/>
                <w:highlight w:val="none"/>
              </w:rPr>
              <w:t>本项目位于寻甸县临仁德街道，根据</w:t>
            </w:r>
            <w:r>
              <w:rPr>
                <w:b w:val="0"/>
                <w:bCs w:val="0"/>
                <w:color w:val="auto"/>
                <w:sz w:val="24"/>
                <w:szCs w:val="24"/>
                <w:highlight w:val="none"/>
              </w:rPr>
              <w:t>根据202</w:t>
            </w:r>
            <w:r>
              <w:rPr>
                <w:rFonts w:hint="eastAsia"/>
                <w:b w:val="0"/>
                <w:bCs w:val="0"/>
                <w:color w:val="auto"/>
                <w:sz w:val="24"/>
                <w:szCs w:val="24"/>
                <w:highlight w:val="none"/>
                <w:lang w:val="en-US" w:eastAsia="zh-CN"/>
              </w:rPr>
              <w:t>6</w:t>
            </w:r>
            <w:r>
              <w:rPr>
                <w:b w:val="0"/>
                <w:bCs w:val="0"/>
                <w:color w:val="auto"/>
                <w:sz w:val="24"/>
                <w:szCs w:val="24"/>
                <w:highlight w:val="none"/>
              </w:rPr>
              <w:t>年</w:t>
            </w:r>
            <w:r>
              <w:rPr>
                <w:rFonts w:hint="eastAsia"/>
                <w:b w:val="0"/>
                <w:bCs w:val="0"/>
                <w:color w:val="auto"/>
                <w:sz w:val="24"/>
                <w:szCs w:val="24"/>
                <w:highlight w:val="none"/>
                <w:lang w:val="en-US" w:eastAsia="zh-CN"/>
              </w:rPr>
              <w:t>3</w:t>
            </w:r>
            <w:r>
              <w:rPr>
                <w:b w:val="0"/>
                <w:bCs w:val="0"/>
                <w:color w:val="auto"/>
                <w:sz w:val="24"/>
                <w:szCs w:val="24"/>
                <w:highlight w:val="none"/>
              </w:rPr>
              <w:t>月</w:t>
            </w:r>
            <w:r>
              <w:rPr>
                <w:rFonts w:hint="eastAsia"/>
                <w:b w:val="0"/>
                <w:bCs w:val="0"/>
                <w:color w:val="auto"/>
                <w:sz w:val="24"/>
                <w:szCs w:val="24"/>
                <w:highlight w:val="none"/>
                <w:lang w:val="en-US" w:eastAsia="zh-CN"/>
              </w:rPr>
              <w:t>23</w:t>
            </w:r>
            <w:r>
              <w:rPr>
                <w:b w:val="0"/>
                <w:bCs w:val="0"/>
                <w:color w:val="auto"/>
                <w:sz w:val="24"/>
                <w:szCs w:val="24"/>
                <w:highlight w:val="none"/>
              </w:rPr>
              <w:t>日《寻甸回族彝族自治县</w:t>
            </w:r>
            <w:r>
              <w:rPr>
                <w:rFonts w:hint="eastAsia"/>
                <w:b w:val="0"/>
                <w:bCs w:val="0"/>
                <w:color w:val="auto"/>
                <w:sz w:val="24"/>
                <w:szCs w:val="24"/>
                <w:highlight w:val="none"/>
                <w:lang w:val="en-US" w:eastAsia="zh-CN"/>
              </w:rPr>
              <w:t>自然资源局</w:t>
            </w:r>
            <w:r>
              <w:rPr>
                <w:rFonts w:hint="default" w:ascii="Times New Roman" w:hAnsi="Times New Roman" w:cs="Times New Roman"/>
                <w:b w:val="0"/>
                <w:bCs w:val="0"/>
                <w:color w:val="auto"/>
                <w:sz w:val="24"/>
                <w:szCs w:val="24"/>
                <w:highlight w:val="none"/>
                <w:lang w:val="en-US" w:eastAsia="zh-CN"/>
              </w:rPr>
              <w:t>关于昆明优竹商贸有限公司烟花爆竹储存仓库改扩建项目是否涉及永久基本农田的说明》（附件</w:t>
            </w:r>
            <w:r>
              <w:rPr>
                <w:rFonts w:hint="eastAsia" w:ascii="Times New Roman" w:hAnsi="Times New Roman" w:cs="Times New Roman"/>
                <w:b w:val="0"/>
                <w:bCs w:val="0"/>
                <w:color w:val="auto"/>
                <w:sz w:val="24"/>
                <w:szCs w:val="24"/>
                <w:highlight w:val="none"/>
                <w:lang w:val="en-US" w:eastAsia="zh-CN"/>
              </w:rPr>
              <w:t>1</w:t>
            </w:r>
            <w:r>
              <w:rPr>
                <w:rFonts w:hint="default" w:ascii="Times New Roman" w:hAnsi="Times New Roman" w:cs="Times New Roman"/>
                <w:b w:val="0"/>
                <w:bCs w:val="0"/>
                <w:color w:val="auto"/>
                <w:sz w:val="24"/>
                <w:szCs w:val="24"/>
                <w:highlight w:val="none"/>
                <w:lang w:val="en-US" w:eastAsia="zh-CN"/>
              </w:rPr>
              <w:t>6）及《关于昆明</w:t>
            </w:r>
            <w:r>
              <w:rPr>
                <w:rFonts w:ascii="Times New Roman" w:hAnsi="Times New Roman" w:cs="Times New Roman"/>
                <w:b w:val="0"/>
                <w:bCs w:val="0"/>
                <w:color w:val="auto"/>
                <w:sz w:val="24"/>
                <w:szCs w:val="24"/>
                <w:highlight w:val="none"/>
                <w:lang w:val="en-US" w:eastAsia="zh-CN"/>
              </w:rPr>
              <w:t>优竹商贸有限公司烟花爆竹储存仓库</w:t>
            </w:r>
            <w:r>
              <w:rPr>
                <w:rFonts w:hint="default" w:ascii="Times New Roman" w:hAnsi="Times New Roman" w:cs="Times New Roman"/>
                <w:b w:val="0"/>
                <w:bCs w:val="0"/>
                <w:color w:val="auto"/>
                <w:sz w:val="24"/>
                <w:szCs w:val="24"/>
                <w:highlight w:val="none"/>
                <w:lang w:val="en-US" w:eastAsia="zh-CN"/>
              </w:rPr>
              <w:t>改扩建项目用地范围是否涉及生态保护红线及城镇开发边界的情况说明</w:t>
            </w:r>
            <w:r>
              <w:rPr>
                <w:rFonts w:ascii="Times New Roman" w:hAnsi="Times New Roman" w:cs="Times New Roman"/>
                <w:b w:val="0"/>
                <w:bCs w:val="0"/>
                <w:color w:val="auto"/>
                <w:sz w:val="24"/>
                <w:szCs w:val="24"/>
                <w:highlight w:val="none"/>
              </w:rPr>
              <w:t>》（附件</w:t>
            </w:r>
            <w:r>
              <w:rPr>
                <w:rFonts w:hint="eastAsia" w:ascii="Times New Roman" w:hAnsi="Times New Roman" w:cs="Times New Roman"/>
                <w:b w:val="0"/>
                <w:bCs w:val="0"/>
                <w:color w:val="auto"/>
                <w:sz w:val="24"/>
                <w:szCs w:val="24"/>
                <w:highlight w:val="none"/>
                <w:lang w:val="en-US" w:eastAsia="zh-CN"/>
              </w:rPr>
              <w:t>16</w:t>
            </w:r>
            <w:r>
              <w:rPr>
                <w:rFonts w:ascii="Times New Roman" w:hAnsi="Times New Roman" w:cs="Times New Roman"/>
                <w:b w:val="0"/>
                <w:bCs w:val="0"/>
                <w:color w:val="auto"/>
                <w:sz w:val="24"/>
                <w:szCs w:val="24"/>
                <w:highlight w:val="none"/>
              </w:rPr>
              <w:t>）</w:t>
            </w:r>
            <w:r>
              <w:rPr>
                <w:color w:val="auto"/>
                <w:sz w:val="24"/>
                <w:szCs w:val="24"/>
                <w:highlight w:val="none"/>
              </w:rPr>
              <w:t>，项目不占用规划永久基本农田及寻甸县生态红线，</w:t>
            </w:r>
            <w:r>
              <w:rPr>
                <w:rFonts w:ascii="Times New Roman" w:hAnsi="Times New Roman" w:cs="Times New Roman"/>
                <w:b w:val="0"/>
                <w:bCs w:val="0"/>
                <w:color w:val="auto"/>
                <w:sz w:val="24"/>
                <w:szCs w:val="24"/>
                <w:highlight w:val="none"/>
                <w:lang w:val="en-US" w:eastAsia="zh-CN"/>
              </w:rPr>
              <w:t>不在城镇开发边界内</w:t>
            </w:r>
            <w:r>
              <w:rPr>
                <w:rFonts w:hint="eastAsia" w:ascii="Times New Roman" w:hAnsi="Times New Roman" w:cs="Times New Roman"/>
                <w:b w:val="0"/>
                <w:bCs w:val="0"/>
                <w:color w:val="auto"/>
                <w:sz w:val="24"/>
                <w:szCs w:val="24"/>
                <w:highlight w:val="none"/>
                <w:lang w:eastAsia="zh-CN"/>
              </w:rPr>
              <w:t>，</w:t>
            </w:r>
            <w:r>
              <w:rPr>
                <w:color w:val="auto"/>
                <w:sz w:val="24"/>
                <w:szCs w:val="24"/>
                <w:highlight w:val="none"/>
              </w:rPr>
              <w:t>符合寻甸县土地利用总体规划。项目占地现状利用性质主要是</w:t>
            </w:r>
            <w:r>
              <w:rPr>
                <w:rFonts w:hint="eastAsia"/>
                <w:color w:val="auto"/>
                <w:sz w:val="24"/>
                <w:szCs w:val="24"/>
                <w:highlight w:val="none"/>
                <w:lang w:val="en-US" w:eastAsia="zh-CN"/>
              </w:rPr>
              <w:t>林</w:t>
            </w:r>
            <w:r>
              <w:rPr>
                <w:color w:val="auto"/>
                <w:sz w:val="24"/>
                <w:szCs w:val="24"/>
                <w:highlight w:val="none"/>
              </w:rPr>
              <w:t>地</w:t>
            </w:r>
            <w:r>
              <w:rPr>
                <w:rFonts w:hint="eastAsia"/>
                <w:color w:val="auto"/>
                <w:sz w:val="24"/>
                <w:szCs w:val="24"/>
                <w:lang w:eastAsia="zh-CN"/>
              </w:rPr>
              <w:t>、</w:t>
            </w:r>
            <w:r>
              <w:rPr>
                <w:rFonts w:hint="eastAsia"/>
                <w:color w:val="auto"/>
                <w:sz w:val="24"/>
                <w:szCs w:val="24"/>
                <w:lang w:val="en-US" w:eastAsia="zh-CN"/>
              </w:rPr>
              <w:t>草地</w:t>
            </w:r>
            <w:r>
              <w:rPr>
                <w:color w:val="auto"/>
                <w:sz w:val="24"/>
                <w:szCs w:val="24"/>
                <w:highlight w:val="none"/>
              </w:rPr>
              <w:t>，项目不占用耕地，不影响区域农业发展</w:t>
            </w:r>
            <w:r>
              <w:rPr>
                <w:rFonts w:hint="eastAsia"/>
                <w:color w:val="auto"/>
                <w:sz w:val="24"/>
                <w:szCs w:val="24"/>
                <w:highlight w:val="none"/>
                <w:lang w:val="en-US" w:eastAsia="zh-CN"/>
              </w:rPr>
              <w:t>且项目不占用公益林地</w:t>
            </w:r>
            <w:r>
              <w:rPr>
                <w:color w:val="auto"/>
                <w:sz w:val="24"/>
                <w:szCs w:val="24"/>
                <w:highlight w:val="none"/>
              </w:rPr>
              <w:t>。因此，项目的建设符合《云南省主体功能区规划》要求。</w:t>
            </w:r>
          </w:p>
          <w:p w14:paraId="298C8D09">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3</w:t>
            </w:r>
            <w:r>
              <w:rPr>
                <w:b/>
                <w:bCs/>
                <w:color w:val="auto"/>
                <w:sz w:val="24"/>
                <w:szCs w:val="24"/>
                <w:highlight w:val="none"/>
              </w:rPr>
              <w:t>、与《云南省牛栏江保护条例》符合性分析</w:t>
            </w:r>
          </w:p>
          <w:p w14:paraId="6DA2000D">
            <w:pPr>
              <w:spacing w:line="360" w:lineRule="auto"/>
              <w:ind w:firstLine="480" w:firstLineChars="200"/>
              <w:rPr>
                <w:color w:val="auto"/>
                <w:sz w:val="24"/>
                <w:szCs w:val="24"/>
                <w:highlight w:val="none"/>
              </w:rPr>
            </w:pPr>
            <w:r>
              <w:rPr>
                <w:color w:val="auto"/>
                <w:sz w:val="24"/>
                <w:szCs w:val="24"/>
                <w:highlight w:val="none"/>
              </w:rPr>
              <w:t>据2012年9月28日云南省第十一届人民代表大会常务委员会第三十四次会议通过《云南省牛栏江保护条例》第一章总则中第五条中对牛栏江流域上游保护区进行了划分，划分为水源保护核心区、重点污染控制区和重点水源涵养区，具体划分情况如下：</w:t>
            </w:r>
          </w:p>
          <w:p w14:paraId="72382E3B">
            <w:pPr>
              <w:spacing w:line="360" w:lineRule="auto"/>
              <w:ind w:firstLine="480" w:firstLineChars="200"/>
              <w:rPr>
                <w:color w:val="auto"/>
                <w:sz w:val="24"/>
                <w:szCs w:val="24"/>
                <w:highlight w:val="none"/>
              </w:rPr>
            </w:pPr>
            <w:r>
              <w:rPr>
                <w:color w:val="auto"/>
                <w:sz w:val="24"/>
                <w:szCs w:val="24"/>
                <w:highlight w:val="none"/>
              </w:rPr>
              <w:t>（一）水源保护核心区包括德泽水库库区和德泽水库以上牛栏江干流区。德泽水库库区为德泽水库正常蓄水位1790m水面及沿岸外延2000m的范围，区域范围超过一级山脊线的，按照一级山脊线划定；德泽水库以上牛栏江干流区指德泽水库以上干流（包括干流源头矣纳岔口至嘉丽泽对龙河河段）水域及两岸外延1000m的范围，区域范围超过一级山脊线的，按照一级山脊线划定。</w:t>
            </w:r>
          </w:p>
          <w:p w14:paraId="4424BB8A">
            <w:pPr>
              <w:spacing w:line="360" w:lineRule="auto"/>
              <w:ind w:firstLine="480" w:firstLineChars="200"/>
              <w:rPr>
                <w:color w:val="auto"/>
                <w:sz w:val="24"/>
                <w:szCs w:val="24"/>
                <w:highlight w:val="none"/>
              </w:rPr>
            </w:pPr>
            <w:r>
              <w:rPr>
                <w:color w:val="auto"/>
                <w:sz w:val="24"/>
                <w:szCs w:val="24"/>
                <w:highlight w:val="none"/>
              </w:rPr>
              <w:t>（二）重点污染控制区为水源保护核心区以外，流域范围内的坝区以及花庄河、果马河、普沙河、弥良河、对龙河、杨林河、匡郎河、前进河、马龙河水域及两岸外延3000m的区域，区域范围超过一级山脊线的，按照一级山脊线划定。</w:t>
            </w:r>
          </w:p>
          <w:p w14:paraId="14D101F5">
            <w:pPr>
              <w:spacing w:line="360" w:lineRule="auto"/>
              <w:ind w:firstLine="480" w:firstLineChars="200"/>
              <w:rPr>
                <w:color w:val="auto"/>
                <w:sz w:val="24"/>
                <w:szCs w:val="24"/>
                <w:highlight w:val="none"/>
              </w:rPr>
            </w:pPr>
            <w:r>
              <w:rPr>
                <w:color w:val="auto"/>
                <w:sz w:val="24"/>
                <w:szCs w:val="24"/>
                <w:highlight w:val="none"/>
              </w:rPr>
              <w:t>（三）重点水源涵养区为流域范围内除水源保护核心区、重点污染控制区以外的集水区域。</w:t>
            </w:r>
          </w:p>
          <w:p w14:paraId="36DBE0E1">
            <w:pPr>
              <w:spacing w:line="360" w:lineRule="auto"/>
              <w:ind w:firstLine="480" w:firstLineChars="200"/>
              <w:rPr>
                <w:color w:val="auto"/>
                <w:sz w:val="24"/>
                <w:szCs w:val="24"/>
                <w:highlight w:val="none"/>
              </w:rPr>
            </w:pPr>
            <w:r>
              <w:rPr>
                <w:color w:val="auto"/>
                <w:sz w:val="24"/>
                <w:szCs w:val="24"/>
                <w:highlight w:val="none"/>
              </w:rPr>
              <w:t>本项目属于《云南省牛栏江保护条例》中的重点水源涵养区（附图4），需满足重点水源涵养区禁止的行为。根据《云南省牛栏江保护条例》中第三十二条中规定的禁止行为分析项目选址符合性。</w:t>
            </w:r>
          </w:p>
          <w:p w14:paraId="25F52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color w:val="auto"/>
                <w:szCs w:val="21"/>
                <w:highlight w:val="none"/>
              </w:rPr>
            </w:pPr>
            <w:r>
              <w:rPr>
                <w:b/>
                <w:bCs/>
                <w:color w:val="auto"/>
                <w:szCs w:val="21"/>
                <w:highlight w:val="none"/>
              </w:rPr>
              <w:t>表1-1  项目选址与《云南省牛栏江保护条例》对照分析</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2386"/>
              <w:gridCol w:w="3536"/>
              <w:gridCol w:w="531"/>
            </w:tblGrid>
            <w:tr w14:paraId="7FF9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vAlign w:val="center"/>
                </w:tcPr>
                <w:p w14:paraId="7850F805">
                  <w:pPr>
                    <w:jc w:val="center"/>
                    <w:rPr>
                      <w:b/>
                      <w:bCs/>
                      <w:color w:val="auto"/>
                      <w:sz w:val="21"/>
                      <w:szCs w:val="21"/>
                      <w:highlight w:val="none"/>
                    </w:rPr>
                  </w:pPr>
                  <w:r>
                    <w:rPr>
                      <w:b/>
                      <w:bCs/>
                      <w:color w:val="auto"/>
                      <w:sz w:val="21"/>
                      <w:szCs w:val="21"/>
                      <w:highlight w:val="none"/>
                    </w:rPr>
                    <w:t>序号</w:t>
                  </w:r>
                </w:p>
              </w:tc>
              <w:tc>
                <w:tcPr>
                  <w:tcW w:w="1724" w:type="pct"/>
                  <w:vAlign w:val="center"/>
                </w:tcPr>
                <w:p w14:paraId="3C647F87">
                  <w:pPr>
                    <w:jc w:val="center"/>
                    <w:rPr>
                      <w:b/>
                      <w:bCs/>
                      <w:color w:val="auto"/>
                      <w:sz w:val="21"/>
                      <w:szCs w:val="21"/>
                      <w:highlight w:val="none"/>
                    </w:rPr>
                  </w:pPr>
                  <w:r>
                    <w:rPr>
                      <w:b/>
                      <w:bCs/>
                      <w:color w:val="auto"/>
                      <w:sz w:val="21"/>
                      <w:szCs w:val="21"/>
                      <w:highlight w:val="none"/>
                    </w:rPr>
                    <w:t>《云南省牛栏江保护条例》选址条件</w:t>
                  </w:r>
                </w:p>
              </w:tc>
              <w:tc>
                <w:tcPr>
                  <w:tcW w:w="2555" w:type="pct"/>
                  <w:vAlign w:val="center"/>
                </w:tcPr>
                <w:p w14:paraId="47AD5E06">
                  <w:pPr>
                    <w:jc w:val="center"/>
                    <w:rPr>
                      <w:b/>
                      <w:bCs/>
                      <w:color w:val="auto"/>
                      <w:sz w:val="21"/>
                      <w:szCs w:val="21"/>
                      <w:highlight w:val="none"/>
                    </w:rPr>
                  </w:pPr>
                  <w:r>
                    <w:rPr>
                      <w:b/>
                      <w:bCs/>
                      <w:color w:val="auto"/>
                      <w:sz w:val="21"/>
                      <w:szCs w:val="21"/>
                      <w:highlight w:val="none"/>
                    </w:rPr>
                    <w:t>本项目实际情况</w:t>
                  </w:r>
                </w:p>
              </w:tc>
              <w:tc>
                <w:tcPr>
                  <w:tcW w:w="382" w:type="pct"/>
                  <w:vAlign w:val="center"/>
                </w:tcPr>
                <w:p w14:paraId="7631BE27">
                  <w:pPr>
                    <w:jc w:val="center"/>
                    <w:rPr>
                      <w:b/>
                      <w:bCs/>
                      <w:color w:val="auto"/>
                      <w:sz w:val="21"/>
                      <w:szCs w:val="21"/>
                      <w:highlight w:val="none"/>
                    </w:rPr>
                  </w:pPr>
                  <w:r>
                    <w:rPr>
                      <w:b/>
                      <w:bCs/>
                      <w:color w:val="auto"/>
                      <w:sz w:val="21"/>
                      <w:szCs w:val="21"/>
                      <w:highlight w:val="none"/>
                    </w:rPr>
                    <w:t>相符性</w:t>
                  </w:r>
                </w:p>
              </w:tc>
            </w:tr>
            <w:tr w14:paraId="3660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vAlign w:val="center"/>
                </w:tcPr>
                <w:p w14:paraId="35BEB7DD">
                  <w:pPr>
                    <w:jc w:val="center"/>
                    <w:rPr>
                      <w:color w:val="auto"/>
                      <w:sz w:val="21"/>
                      <w:szCs w:val="21"/>
                      <w:highlight w:val="none"/>
                    </w:rPr>
                  </w:pPr>
                  <w:r>
                    <w:rPr>
                      <w:color w:val="auto"/>
                      <w:sz w:val="21"/>
                      <w:szCs w:val="21"/>
                      <w:highlight w:val="none"/>
                    </w:rPr>
                    <w:t>三十二条重点水源涵养区禁止下列行为</w:t>
                  </w:r>
                </w:p>
              </w:tc>
            </w:tr>
            <w:tr w14:paraId="6F06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vAlign w:val="center"/>
                </w:tcPr>
                <w:p w14:paraId="52BC23EF">
                  <w:pPr>
                    <w:jc w:val="center"/>
                    <w:rPr>
                      <w:color w:val="auto"/>
                      <w:sz w:val="21"/>
                      <w:szCs w:val="21"/>
                      <w:highlight w:val="none"/>
                    </w:rPr>
                  </w:pPr>
                  <w:r>
                    <w:rPr>
                      <w:color w:val="auto"/>
                      <w:sz w:val="21"/>
                      <w:szCs w:val="21"/>
                      <w:highlight w:val="none"/>
                    </w:rPr>
                    <w:t>1</w:t>
                  </w:r>
                </w:p>
              </w:tc>
              <w:tc>
                <w:tcPr>
                  <w:tcW w:w="1724" w:type="pct"/>
                  <w:vAlign w:val="center"/>
                </w:tcPr>
                <w:p w14:paraId="70BEEA15">
                  <w:pPr>
                    <w:jc w:val="center"/>
                    <w:rPr>
                      <w:color w:val="auto"/>
                      <w:sz w:val="21"/>
                      <w:szCs w:val="21"/>
                      <w:highlight w:val="none"/>
                    </w:rPr>
                  </w:pPr>
                  <w:r>
                    <w:rPr>
                      <w:color w:val="auto"/>
                      <w:sz w:val="21"/>
                      <w:szCs w:val="21"/>
                      <w:highlight w:val="none"/>
                    </w:rPr>
                    <w:t>（一）盗伐、滥伐林木和破坏草地；</w:t>
                  </w:r>
                </w:p>
              </w:tc>
              <w:tc>
                <w:tcPr>
                  <w:tcW w:w="2555" w:type="pct"/>
                  <w:vAlign w:val="center"/>
                </w:tcPr>
                <w:p w14:paraId="70FE1E95">
                  <w:pPr>
                    <w:jc w:val="center"/>
                    <w:rPr>
                      <w:color w:val="auto"/>
                      <w:sz w:val="21"/>
                      <w:szCs w:val="21"/>
                      <w:highlight w:val="none"/>
                    </w:rPr>
                  </w:pPr>
                  <w:r>
                    <w:rPr>
                      <w:color w:val="auto"/>
                      <w:sz w:val="21"/>
                      <w:szCs w:val="21"/>
                      <w:highlight w:val="none"/>
                    </w:rPr>
                    <w:t>项目无盗伐、滥伐林木和破坏草地的行为。</w:t>
                  </w:r>
                </w:p>
              </w:tc>
              <w:tc>
                <w:tcPr>
                  <w:tcW w:w="382" w:type="pct"/>
                  <w:vAlign w:val="center"/>
                </w:tcPr>
                <w:p w14:paraId="5220D145">
                  <w:pPr>
                    <w:jc w:val="center"/>
                    <w:rPr>
                      <w:color w:val="auto"/>
                      <w:sz w:val="21"/>
                      <w:szCs w:val="21"/>
                      <w:highlight w:val="none"/>
                    </w:rPr>
                  </w:pPr>
                  <w:r>
                    <w:rPr>
                      <w:color w:val="auto"/>
                      <w:sz w:val="21"/>
                      <w:szCs w:val="21"/>
                      <w:highlight w:val="none"/>
                    </w:rPr>
                    <w:t>符合</w:t>
                  </w:r>
                </w:p>
              </w:tc>
            </w:tr>
            <w:tr w14:paraId="6C00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vAlign w:val="center"/>
                </w:tcPr>
                <w:p w14:paraId="288B6EC3">
                  <w:pPr>
                    <w:jc w:val="center"/>
                    <w:rPr>
                      <w:color w:val="auto"/>
                      <w:sz w:val="21"/>
                      <w:szCs w:val="21"/>
                      <w:highlight w:val="none"/>
                    </w:rPr>
                  </w:pPr>
                  <w:r>
                    <w:rPr>
                      <w:color w:val="auto"/>
                      <w:sz w:val="21"/>
                      <w:szCs w:val="21"/>
                      <w:highlight w:val="none"/>
                    </w:rPr>
                    <w:t>2</w:t>
                  </w:r>
                </w:p>
              </w:tc>
              <w:tc>
                <w:tcPr>
                  <w:tcW w:w="1724" w:type="pct"/>
                  <w:vAlign w:val="center"/>
                </w:tcPr>
                <w:p w14:paraId="3CA73389">
                  <w:pPr>
                    <w:jc w:val="center"/>
                    <w:rPr>
                      <w:color w:val="auto"/>
                      <w:sz w:val="21"/>
                      <w:szCs w:val="21"/>
                      <w:highlight w:val="none"/>
                    </w:rPr>
                  </w:pPr>
                  <w:r>
                    <w:rPr>
                      <w:color w:val="auto"/>
                      <w:sz w:val="21"/>
                      <w:szCs w:val="21"/>
                      <w:highlight w:val="none"/>
                    </w:rPr>
                    <w:t>（二）使用高毒、高残留农药；</w:t>
                  </w:r>
                </w:p>
              </w:tc>
              <w:tc>
                <w:tcPr>
                  <w:tcW w:w="2555" w:type="pct"/>
                  <w:vAlign w:val="center"/>
                </w:tcPr>
                <w:p w14:paraId="3EB0E7A6">
                  <w:pPr>
                    <w:jc w:val="center"/>
                    <w:rPr>
                      <w:rFonts w:hint="eastAsia" w:eastAsia="宋体"/>
                      <w:color w:val="auto"/>
                      <w:sz w:val="21"/>
                      <w:szCs w:val="21"/>
                      <w:highlight w:val="none"/>
                      <w:lang w:eastAsia="zh-CN"/>
                    </w:rPr>
                  </w:pPr>
                  <w:r>
                    <w:rPr>
                      <w:color w:val="auto"/>
                      <w:sz w:val="21"/>
                      <w:szCs w:val="21"/>
                      <w:highlight w:val="none"/>
                    </w:rPr>
                    <w:t>项目不使用高毒、高残农药</w:t>
                  </w:r>
                  <w:r>
                    <w:rPr>
                      <w:rFonts w:hint="eastAsia"/>
                      <w:color w:val="auto"/>
                      <w:sz w:val="21"/>
                      <w:szCs w:val="21"/>
                      <w:highlight w:val="none"/>
                      <w:lang w:eastAsia="zh-CN"/>
                    </w:rPr>
                    <w:t>。</w:t>
                  </w:r>
                </w:p>
              </w:tc>
              <w:tc>
                <w:tcPr>
                  <w:tcW w:w="382" w:type="pct"/>
                  <w:vAlign w:val="center"/>
                </w:tcPr>
                <w:p w14:paraId="337A60B6">
                  <w:pPr>
                    <w:jc w:val="center"/>
                    <w:rPr>
                      <w:color w:val="auto"/>
                      <w:sz w:val="21"/>
                      <w:szCs w:val="21"/>
                      <w:highlight w:val="none"/>
                    </w:rPr>
                  </w:pPr>
                  <w:r>
                    <w:rPr>
                      <w:color w:val="auto"/>
                      <w:sz w:val="21"/>
                      <w:szCs w:val="21"/>
                      <w:highlight w:val="none"/>
                    </w:rPr>
                    <w:t>符合</w:t>
                  </w:r>
                </w:p>
              </w:tc>
            </w:tr>
            <w:tr w14:paraId="0FFC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337" w:type="pct"/>
                  <w:vAlign w:val="center"/>
                </w:tcPr>
                <w:p w14:paraId="42D8F3AB">
                  <w:pPr>
                    <w:jc w:val="center"/>
                    <w:rPr>
                      <w:color w:val="auto"/>
                      <w:sz w:val="21"/>
                      <w:szCs w:val="21"/>
                      <w:highlight w:val="none"/>
                    </w:rPr>
                  </w:pPr>
                  <w:r>
                    <w:rPr>
                      <w:color w:val="auto"/>
                      <w:sz w:val="21"/>
                      <w:szCs w:val="21"/>
                      <w:highlight w:val="none"/>
                    </w:rPr>
                    <w:t>3</w:t>
                  </w:r>
                </w:p>
              </w:tc>
              <w:tc>
                <w:tcPr>
                  <w:tcW w:w="1724" w:type="pct"/>
                  <w:vAlign w:val="center"/>
                </w:tcPr>
                <w:p w14:paraId="6E74BB9B">
                  <w:pPr>
                    <w:jc w:val="center"/>
                    <w:rPr>
                      <w:color w:val="auto"/>
                      <w:sz w:val="21"/>
                      <w:szCs w:val="21"/>
                      <w:highlight w:val="none"/>
                    </w:rPr>
                  </w:pPr>
                  <w:r>
                    <w:rPr>
                      <w:color w:val="auto"/>
                      <w:sz w:val="21"/>
                      <w:szCs w:val="21"/>
                      <w:highlight w:val="none"/>
                    </w:rPr>
                    <w:t>（三）利用溶洞、渗井、渗坑、裂隙排放、倾倒含有毒有害物质的废水、废渣；</w:t>
                  </w:r>
                </w:p>
              </w:tc>
              <w:tc>
                <w:tcPr>
                  <w:tcW w:w="2555" w:type="pct"/>
                  <w:vAlign w:val="center"/>
                </w:tcPr>
                <w:p w14:paraId="7901228A">
                  <w:pPr>
                    <w:jc w:val="center"/>
                    <w:rPr>
                      <w:rFonts w:hint="eastAsia" w:eastAsia="宋体"/>
                      <w:color w:val="auto"/>
                      <w:sz w:val="21"/>
                      <w:szCs w:val="21"/>
                      <w:highlight w:val="none"/>
                      <w:lang w:eastAsia="zh-CN"/>
                    </w:rPr>
                  </w:pPr>
                  <w:r>
                    <w:rPr>
                      <w:color w:val="auto"/>
                      <w:sz w:val="21"/>
                      <w:szCs w:val="21"/>
                      <w:highlight w:val="none"/>
                    </w:rPr>
                    <w:t>项目不涉及生产，不会产生有毒有害的废水、废渣</w:t>
                  </w:r>
                  <w:r>
                    <w:rPr>
                      <w:rFonts w:hint="eastAsia"/>
                      <w:color w:val="auto"/>
                      <w:sz w:val="21"/>
                      <w:szCs w:val="21"/>
                      <w:highlight w:val="none"/>
                      <w:lang w:eastAsia="zh-CN"/>
                    </w:rPr>
                    <w:t>。</w:t>
                  </w:r>
                </w:p>
              </w:tc>
              <w:tc>
                <w:tcPr>
                  <w:tcW w:w="382" w:type="pct"/>
                  <w:vAlign w:val="center"/>
                </w:tcPr>
                <w:p w14:paraId="776E9D3A">
                  <w:pPr>
                    <w:jc w:val="center"/>
                    <w:rPr>
                      <w:color w:val="auto"/>
                      <w:sz w:val="21"/>
                      <w:szCs w:val="21"/>
                      <w:highlight w:val="none"/>
                    </w:rPr>
                  </w:pPr>
                  <w:r>
                    <w:rPr>
                      <w:color w:val="auto"/>
                      <w:sz w:val="21"/>
                      <w:szCs w:val="21"/>
                      <w:highlight w:val="none"/>
                    </w:rPr>
                    <w:t>符合</w:t>
                  </w:r>
                </w:p>
              </w:tc>
            </w:tr>
            <w:tr w14:paraId="0AF6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337" w:type="pct"/>
                  <w:vAlign w:val="center"/>
                </w:tcPr>
                <w:p w14:paraId="0E5B83F0">
                  <w:pPr>
                    <w:jc w:val="center"/>
                    <w:rPr>
                      <w:color w:val="auto"/>
                      <w:sz w:val="21"/>
                      <w:szCs w:val="21"/>
                      <w:highlight w:val="none"/>
                    </w:rPr>
                  </w:pPr>
                  <w:r>
                    <w:rPr>
                      <w:color w:val="auto"/>
                      <w:sz w:val="21"/>
                      <w:szCs w:val="21"/>
                      <w:highlight w:val="none"/>
                    </w:rPr>
                    <w:t>4</w:t>
                  </w:r>
                </w:p>
              </w:tc>
              <w:tc>
                <w:tcPr>
                  <w:tcW w:w="1724" w:type="pct"/>
                  <w:vAlign w:val="center"/>
                </w:tcPr>
                <w:p w14:paraId="0F8D7160">
                  <w:pPr>
                    <w:jc w:val="center"/>
                    <w:rPr>
                      <w:color w:val="auto"/>
                      <w:sz w:val="21"/>
                      <w:szCs w:val="21"/>
                      <w:highlight w:val="none"/>
                    </w:rPr>
                  </w:pPr>
                  <w:r>
                    <w:rPr>
                      <w:color w:val="auto"/>
                      <w:sz w:val="21"/>
                      <w:szCs w:val="21"/>
                      <w:highlight w:val="none"/>
                    </w:rPr>
                    <w:t>（四）向水体排放废水、倾倒工业废渣、城镇垃圾或者其他废弃物；</w:t>
                  </w:r>
                </w:p>
              </w:tc>
              <w:tc>
                <w:tcPr>
                  <w:tcW w:w="2555" w:type="pct"/>
                  <w:vAlign w:val="center"/>
                </w:tcPr>
                <w:p w14:paraId="1FA1D4BB">
                  <w:pPr>
                    <w:jc w:val="center"/>
                    <w:rPr>
                      <w:color w:val="auto"/>
                      <w:sz w:val="21"/>
                      <w:szCs w:val="21"/>
                      <w:highlight w:val="none"/>
                    </w:rPr>
                  </w:pPr>
                  <w:r>
                    <w:rPr>
                      <w:color w:val="auto"/>
                      <w:sz w:val="21"/>
                      <w:szCs w:val="21"/>
                      <w:highlight w:val="none"/>
                    </w:rPr>
                    <w:t>项目产生的生活污水排入化粪池</w:t>
                  </w:r>
                </w:p>
                <w:p w14:paraId="0C2062D8">
                  <w:pPr>
                    <w:jc w:val="center"/>
                    <w:rPr>
                      <w:rFonts w:hint="eastAsia" w:eastAsia="宋体"/>
                      <w:color w:val="auto"/>
                      <w:sz w:val="21"/>
                      <w:szCs w:val="21"/>
                      <w:highlight w:val="none"/>
                      <w:lang w:eastAsia="zh-CN"/>
                    </w:rPr>
                  </w:pPr>
                  <w:r>
                    <w:rPr>
                      <w:color w:val="auto"/>
                      <w:sz w:val="21"/>
                      <w:szCs w:val="21"/>
                      <w:highlight w:val="none"/>
                    </w:rPr>
                    <w:t>后，委托环卫部门</w:t>
                  </w:r>
                  <w:r>
                    <w:rPr>
                      <w:rFonts w:hint="eastAsia"/>
                      <w:color w:val="auto"/>
                      <w:sz w:val="21"/>
                      <w:szCs w:val="21"/>
                      <w:highlight w:val="none"/>
                      <w:lang w:val="en-US" w:eastAsia="zh-CN"/>
                    </w:rPr>
                    <w:t>15天</w:t>
                  </w:r>
                  <w:r>
                    <w:rPr>
                      <w:color w:val="auto"/>
                      <w:sz w:val="21"/>
                      <w:szCs w:val="21"/>
                      <w:highlight w:val="none"/>
                    </w:rPr>
                    <w:t>抽运一次，不外排；项目产生的生活垃圾经统一收集后定期运至寻甸县垃圾转载点处置、过期或残损的烟花爆竹交由公安部门组织统一销毁处置</w:t>
                  </w:r>
                  <w:r>
                    <w:rPr>
                      <w:rFonts w:hint="eastAsia"/>
                      <w:color w:val="auto"/>
                      <w:sz w:val="21"/>
                      <w:szCs w:val="21"/>
                      <w:highlight w:val="none"/>
                      <w:lang w:eastAsia="zh-CN"/>
                    </w:rPr>
                    <w:t>。</w:t>
                  </w:r>
                </w:p>
              </w:tc>
              <w:tc>
                <w:tcPr>
                  <w:tcW w:w="382" w:type="pct"/>
                  <w:vAlign w:val="center"/>
                </w:tcPr>
                <w:p w14:paraId="66DF7931">
                  <w:pPr>
                    <w:jc w:val="center"/>
                    <w:rPr>
                      <w:color w:val="auto"/>
                      <w:sz w:val="21"/>
                      <w:szCs w:val="21"/>
                      <w:highlight w:val="none"/>
                    </w:rPr>
                  </w:pPr>
                  <w:r>
                    <w:rPr>
                      <w:color w:val="auto"/>
                      <w:sz w:val="21"/>
                      <w:szCs w:val="21"/>
                      <w:highlight w:val="none"/>
                    </w:rPr>
                    <w:t>符合</w:t>
                  </w:r>
                </w:p>
              </w:tc>
            </w:tr>
            <w:tr w14:paraId="711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37" w:type="pct"/>
                  <w:vAlign w:val="center"/>
                </w:tcPr>
                <w:p w14:paraId="5EDBE9D7">
                  <w:pPr>
                    <w:jc w:val="center"/>
                    <w:rPr>
                      <w:color w:val="auto"/>
                      <w:sz w:val="21"/>
                      <w:szCs w:val="21"/>
                      <w:highlight w:val="none"/>
                    </w:rPr>
                  </w:pPr>
                  <w:r>
                    <w:rPr>
                      <w:color w:val="auto"/>
                      <w:sz w:val="21"/>
                      <w:szCs w:val="21"/>
                      <w:highlight w:val="none"/>
                    </w:rPr>
                    <w:t>5</w:t>
                  </w:r>
                </w:p>
              </w:tc>
              <w:tc>
                <w:tcPr>
                  <w:tcW w:w="1724" w:type="pct"/>
                  <w:vAlign w:val="center"/>
                </w:tcPr>
                <w:p w14:paraId="4BD797CA">
                  <w:pPr>
                    <w:jc w:val="center"/>
                    <w:rPr>
                      <w:color w:val="auto"/>
                      <w:sz w:val="21"/>
                      <w:szCs w:val="21"/>
                      <w:highlight w:val="none"/>
                    </w:rPr>
                  </w:pPr>
                  <w:r>
                    <w:rPr>
                      <w:color w:val="auto"/>
                      <w:sz w:val="21"/>
                      <w:szCs w:val="21"/>
                      <w:highlight w:val="none"/>
                    </w:rPr>
                    <w:t>（五）在江河、渠道、水库最高水位线以下的滩地、岸坡堆放、存贮固体废弃物或者其他污染物；</w:t>
                  </w:r>
                </w:p>
              </w:tc>
              <w:tc>
                <w:tcPr>
                  <w:tcW w:w="2555" w:type="pct"/>
                  <w:vAlign w:val="center"/>
                </w:tcPr>
                <w:p w14:paraId="5AE65966">
                  <w:pPr>
                    <w:jc w:val="center"/>
                    <w:rPr>
                      <w:color w:val="auto"/>
                      <w:sz w:val="21"/>
                      <w:szCs w:val="21"/>
                      <w:highlight w:val="none"/>
                    </w:rPr>
                  </w:pPr>
                  <w:r>
                    <w:rPr>
                      <w:rFonts w:hint="eastAsia"/>
                      <w:color w:val="auto"/>
                      <w:sz w:val="21"/>
                      <w:szCs w:val="21"/>
                      <w:highlight w:val="none"/>
                      <w:lang w:val="en-US" w:eastAsia="zh-CN"/>
                    </w:rPr>
                    <w:t>项目不在</w:t>
                  </w:r>
                  <w:r>
                    <w:rPr>
                      <w:color w:val="auto"/>
                      <w:sz w:val="21"/>
                      <w:szCs w:val="21"/>
                      <w:highlight w:val="none"/>
                    </w:rPr>
                    <w:t>江河、渠道、水库最高水位线以下</w:t>
                  </w:r>
                  <w:r>
                    <w:rPr>
                      <w:rFonts w:hint="eastAsia"/>
                      <w:color w:val="auto"/>
                      <w:sz w:val="21"/>
                      <w:szCs w:val="21"/>
                      <w:highlight w:val="none"/>
                      <w:lang w:eastAsia="zh-CN"/>
                    </w:rPr>
                    <w:t>，</w:t>
                  </w:r>
                  <w:r>
                    <w:rPr>
                      <w:color w:val="auto"/>
                      <w:sz w:val="21"/>
                      <w:szCs w:val="21"/>
                      <w:highlight w:val="none"/>
                    </w:rPr>
                    <w:t>项目产生的生活垃圾经垃圾桶统一收集后定期运至寻甸县垃圾转载点处置、过期或残损的烟花爆竹交由公安部门组织统一销毁处置，在采取以上措施后，可保证固废合理收集处置。</w:t>
                  </w:r>
                </w:p>
              </w:tc>
              <w:tc>
                <w:tcPr>
                  <w:tcW w:w="382" w:type="pct"/>
                  <w:vAlign w:val="center"/>
                </w:tcPr>
                <w:p w14:paraId="1F00A2EE">
                  <w:pPr>
                    <w:jc w:val="center"/>
                    <w:rPr>
                      <w:color w:val="auto"/>
                      <w:sz w:val="21"/>
                      <w:szCs w:val="21"/>
                      <w:highlight w:val="none"/>
                    </w:rPr>
                  </w:pPr>
                  <w:r>
                    <w:rPr>
                      <w:color w:val="auto"/>
                      <w:sz w:val="21"/>
                      <w:szCs w:val="21"/>
                      <w:highlight w:val="none"/>
                    </w:rPr>
                    <w:t>符合</w:t>
                  </w:r>
                </w:p>
              </w:tc>
            </w:tr>
            <w:tr w14:paraId="1653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37" w:type="pct"/>
                  <w:vAlign w:val="center"/>
                </w:tcPr>
                <w:p w14:paraId="70C6D793">
                  <w:pPr>
                    <w:jc w:val="center"/>
                    <w:rPr>
                      <w:color w:val="auto"/>
                      <w:sz w:val="21"/>
                      <w:szCs w:val="21"/>
                      <w:highlight w:val="none"/>
                    </w:rPr>
                  </w:pPr>
                  <w:r>
                    <w:rPr>
                      <w:color w:val="auto"/>
                      <w:sz w:val="21"/>
                      <w:szCs w:val="21"/>
                      <w:highlight w:val="none"/>
                    </w:rPr>
                    <w:t>6</w:t>
                  </w:r>
                </w:p>
              </w:tc>
              <w:tc>
                <w:tcPr>
                  <w:tcW w:w="1724" w:type="pct"/>
                  <w:vAlign w:val="center"/>
                </w:tcPr>
                <w:p w14:paraId="16732B47">
                  <w:pPr>
                    <w:jc w:val="center"/>
                    <w:rPr>
                      <w:color w:val="auto"/>
                      <w:sz w:val="21"/>
                      <w:szCs w:val="21"/>
                      <w:highlight w:val="none"/>
                    </w:rPr>
                  </w:pPr>
                  <w:r>
                    <w:rPr>
                      <w:color w:val="auto"/>
                      <w:sz w:val="21"/>
                      <w:szCs w:val="21"/>
                      <w:highlight w:val="none"/>
                    </w:rPr>
                    <w:t>（六）利用无防渗漏措施的沟渠、坑塘等输送或者存贮含有毒污染物的废水、含病原体的污水或者其他废弃物。</w:t>
                  </w:r>
                </w:p>
              </w:tc>
              <w:tc>
                <w:tcPr>
                  <w:tcW w:w="2555" w:type="pct"/>
                  <w:vAlign w:val="center"/>
                </w:tcPr>
                <w:p w14:paraId="61B08E30">
                  <w:pPr>
                    <w:jc w:val="center"/>
                    <w:rPr>
                      <w:color w:val="auto"/>
                      <w:sz w:val="21"/>
                      <w:szCs w:val="21"/>
                      <w:highlight w:val="none"/>
                    </w:rPr>
                  </w:pPr>
                  <w:r>
                    <w:rPr>
                      <w:color w:val="auto"/>
                      <w:sz w:val="21"/>
                      <w:szCs w:val="21"/>
                      <w:highlight w:val="none"/>
                    </w:rPr>
                    <w:t>项目产生的废水和固废均采取有效的措施进行处理，不外排。</w:t>
                  </w:r>
                </w:p>
              </w:tc>
              <w:tc>
                <w:tcPr>
                  <w:tcW w:w="382" w:type="pct"/>
                  <w:vAlign w:val="center"/>
                </w:tcPr>
                <w:p w14:paraId="22808B36">
                  <w:pPr>
                    <w:jc w:val="center"/>
                    <w:rPr>
                      <w:color w:val="auto"/>
                      <w:sz w:val="21"/>
                      <w:szCs w:val="21"/>
                      <w:highlight w:val="none"/>
                    </w:rPr>
                  </w:pPr>
                  <w:r>
                    <w:rPr>
                      <w:color w:val="auto"/>
                      <w:sz w:val="21"/>
                      <w:szCs w:val="21"/>
                      <w:highlight w:val="none"/>
                    </w:rPr>
                    <w:t>符合</w:t>
                  </w:r>
                </w:p>
              </w:tc>
            </w:tr>
          </w:tbl>
          <w:p w14:paraId="5F653993">
            <w:pPr>
              <w:spacing w:line="360" w:lineRule="auto"/>
              <w:ind w:firstLine="480" w:firstLineChars="200"/>
              <w:rPr>
                <w:color w:val="auto"/>
                <w:sz w:val="24"/>
                <w:szCs w:val="24"/>
                <w:highlight w:val="none"/>
              </w:rPr>
            </w:pPr>
            <w:r>
              <w:rPr>
                <w:color w:val="auto"/>
                <w:sz w:val="24"/>
                <w:szCs w:val="24"/>
                <w:highlight w:val="none"/>
              </w:rPr>
              <w:t>综上所述，项目选址及运营符合《云南省牛栏江保护条例》中的相关要求。</w:t>
            </w:r>
          </w:p>
          <w:p w14:paraId="531AC5C9">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4</w:t>
            </w:r>
            <w:r>
              <w:rPr>
                <w:b/>
                <w:bCs/>
                <w:color w:val="auto"/>
                <w:sz w:val="24"/>
                <w:szCs w:val="24"/>
                <w:highlight w:val="none"/>
              </w:rPr>
              <w:t>、与《牛栏江流域（云南部分）水环境保护规划（2009~2030）》的相符性分析</w:t>
            </w:r>
          </w:p>
          <w:p w14:paraId="798EC46B">
            <w:pPr>
              <w:spacing w:line="360" w:lineRule="auto"/>
              <w:ind w:firstLine="480" w:firstLineChars="200"/>
              <w:rPr>
                <w:color w:val="auto"/>
                <w:sz w:val="24"/>
                <w:szCs w:val="24"/>
                <w:highlight w:val="none"/>
              </w:rPr>
            </w:pPr>
            <w:r>
              <w:rPr>
                <w:color w:val="auto"/>
                <w:sz w:val="24"/>
                <w:szCs w:val="24"/>
                <w:highlight w:val="none"/>
              </w:rPr>
              <w:t>根据《牛栏江流域（云南部分）水环境保护规划（2009~2030）》，牛栏江流域（云南段）水环境保护划分为两大控制区，即牛栏江上游（德泽水库坝址以上）重点保护区、牛栏江下游生态与环境保护区。其中牛栏江上游（德泽水库坝址以上）重点保护区包括水源保护核心区、重点污染控制区、水源涵养区。水源保护核心区包括牛栏江干流水面，河岸外围陆域1000米范围；德泽水库水面，库岸外围陆域2000m范围。涉及乡镇主要有牛栏江镇、塘子镇、河口乡、七星乡、德泽乡，面积为625.3km</w:t>
            </w:r>
            <w:r>
              <w:rPr>
                <w:color w:val="auto"/>
                <w:sz w:val="24"/>
                <w:szCs w:val="24"/>
                <w:highlight w:val="none"/>
                <w:vertAlign w:val="superscript"/>
              </w:rPr>
              <w:t>2</w:t>
            </w:r>
            <w:r>
              <w:rPr>
                <w:color w:val="auto"/>
                <w:sz w:val="24"/>
                <w:szCs w:val="24"/>
                <w:highlight w:val="none"/>
              </w:rPr>
              <w:t>，属于重点保护区。重点污染控制区主要是水源保护核心区边界外的坝区。涉及小哨乡、嵩阳镇、小街镇、杨桥乡、羊街镇、金所乡、月望乡、大坡乡、菱角乡、田坝乡十个乡镇，面积1892.56km</w:t>
            </w:r>
            <w:r>
              <w:rPr>
                <w:color w:val="auto"/>
                <w:sz w:val="24"/>
                <w:szCs w:val="24"/>
                <w:highlight w:val="none"/>
                <w:vertAlign w:val="superscript"/>
              </w:rPr>
              <w:t>2</w:t>
            </w:r>
            <w:r>
              <w:rPr>
                <w:color w:val="auto"/>
                <w:sz w:val="24"/>
                <w:szCs w:val="24"/>
                <w:highlight w:val="none"/>
              </w:rPr>
              <w:t>，属于污染重点治理区。水源涵养区包括除水源保护核心区、重点污染控制区以外的山地。涉及杨林镇、仁德镇、通泉镇、王家庄镇、马过河镇、旧县镇六个乡镇，面积1764.16km</w:t>
            </w:r>
            <w:r>
              <w:rPr>
                <w:color w:val="auto"/>
                <w:sz w:val="24"/>
                <w:szCs w:val="24"/>
                <w:highlight w:val="none"/>
                <w:vertAlign w:val="superscript"/>
              </w:rPr>
              <w:t>2</w:t>
            </w:r>
            <w:r>
              <w:rPr>
                <w:color w:val="auto"/>
                <w:sz w:val="24"/>
                <w:szCs w:val="24"/>
                <w:highlight w:val="none"/>
              </w:rPr>
              <w:t>。</w:t>
            </w:r>
          </w:p>
          <w:p w14:paraId="59EDEA7A">
            <w:pPr>
              <w:spacing w:line="360" w:lineRule="auto"/>
              <w:ind w:firstLine="480" w:firstLineChars="200"/>
              <w:rPr>
                <w:rFonts w:hint="eastAsia" w:eastAsia="宋体"/>
                <w:color w:val="auto"/>
                <w:sz w:val="24"/>
                <w:szCs w:val="24"/>
                <w:highlight w:val="none"/>
                <w:lang w:eastAsia="zh-CN"/>
              </w:rPr>
            </w:pPr>
            <w:r>
              <w:rPr>
                <w:color w:val="auto"/>
                <w:sz w:val="24"/>
                <w:szCs w:val="24"/>
                <w:highlight w:val="none"/>
              </w:rPr>
              <w:t>项目位于云南省昆明市寻甸县</w:t>
            </w:r>
            <w:r>
              <w:rPr>
                <w:color w:val="auto"/>
                <w:sz w:val="24"/>
                <w:szCs w:val="24"/>
                <w:highlight w:val="none"/>
                <w:lang w:val="zh-CN"/>
              </w:rPr>
              <w:t>仁德</w:t>
            </w:r>
            <w:r>
              <w:rPr>
                <w:color w:val="auto"/>
                <w:sz w:val="24"/>
                <w:szCs w:val="24"/>
                <w:highlight w:val="none"/>
              </w:rPr>
              <w:t>街道北观社区打鹰坡，根据牛栏江水系功能规划图（附图4）可知，项目区属于水源涵养区，项目在不涉及烟花爆竹的工艺生产，只进行烟花爆竹的存储，产生的废水主要为生活污水，固废为生活垃圾、过期或残损的烟花爆竹，均进行了完善的防治措施，不</w:t>
            </w:r>
            <w:r>
              <w:rPr>
                <w:rFonts w:hint="eastAsia"/>
                <w:color w:val="auto"/>
                <w:sz w:val="24"/>
                <w:szCs w:val="24"/>
                <w:highlight w:val="none"/>
              </w:rPr>
              <w:t>外排</w:t>
            </w:r>
            <w:r>
              <w:rPr>
                <w:color w:val="auto"/>
                <w:sz w:val="24"/>
                <w:szCs w:val="24"/>
                <w:highlight w:val="none"/>
              </w:rPr>
              <w:t>，</w:t>
            </w:r>
            <w:r>
              <w:rPr>
                <w:rFonts w:hint="eastAsia"/>
                <w:color w:val="auto"/>
                <w:sz w:val="24"/>
                <w:szCs w:val="24"/>
                <w:highlight w:val="none"/>
              </w:rPr>
              <w:t>满足零排放要求，</w:t>
            </w:r>
            <w:r>
              <w:rPr>
                <w:color w:val="auto"/>
                <w:sz w:val="24"/>
                <w:szCs w:val="24"/>
                <w:highlight w:val="none"/>
              </w:rPr>
              <w:t>综上所述项目建设符合《牛栏江流域（云南部分）水环境保护规划（2009~2030）》的相关要求</w:t>
            </w:r>
            <w:r>
              <w:rPr>
                <w:rFonts w:hint="eastAsia"/>
                <w:color w:val="auto"/>
                <w:sz w:val="24"/>
                <w:szCs w:val="24"/>
                <w:highlight w:val="none"/>
                <w:lang w:eastAsia="zh-CN"/>
              </w:rPr>
              <w:t>。</w:t>
            </w:r>
          </w:p>
          <w:p w14:paraId="6ABA8864">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5</w:t>
            </w:r>
            <w:r>
              <w:rPr>
                <w:b/>
                <w:bCs/>
                <w:color w:val="auto"/>
                <w:sz w:val="24"/>
                <w:szCs w:val="24"/>
                <w:highlight w:val="none"/>
              </w:rPr>
              <w:t>、与《牛栏江流域（寻甸段）水环境保护规划（2011~2030）》符合性分析</w:t>
            </w:r>
          </w:p>
          <w:p w14:paraId="46EADB23">
            <w:pPr>
              <w:spacing w:line="360" w:lineRule="auto"/>
              <w:ind w:firstLine="480" w:firstLineChars="200"/>
              <w:rPr>
                <w:color w:val="auto"/>
                <w:sz w:val="24"/>
                <w:szCs w:val="24"/>
                <w:highlight w:val="none"/>
              </w:rPr>
            </w:pPr>
            <w:r>
              <w:rPr>
                <w:color w:val="auto"/>
                <w:sz w:val="24"/>
                <w:szCs w:val="24"/>
                <w:highlight w:val="none"/>
              </w:rPr>
              <w:t>根据《牛栏江流域（寻甸段）水环境保护规划（2011~2030）》可知，牛栏江流域（寻甸段）水环境分区范围涉及规划区干流及主要支流（前进河、羊街河、马龙河、尹武河等）河流径流区。规划区分为3个保护区：水源保护核心区、重点污染控制区、重点水源涵养区，各分区范围节点如下：</w:t>
            </w:r>
          </w:p>
          <w:p w14:paraId="46D8DF99">
            <w:pPr>
              <w:spacing w:line="360" w:lineRule="auto"/>
              <w:ind w:firstLine="480" w:firstLineChars="200"/>
              <w:rPr>
                <w:color w:val="auto"/>
                <w:sz w:val="24"/>
                <w:szCs w:val="24"/>
                <w:highlight w:val="none"/>
              </w:rPr>
            </w:pPr>
            <w:r>
              <w:rPr>
                <w:color w:val="auto"/>
                <w:sz w:val="24"/>
                <w:szCs w:val="24"/>
                <w:highlight w:val="none"/>
              </w:rPr>
              <w:t>（1）水源保护核心区范围为牛栏江流域（寻甸段）干流1000m范围。</w:t>
            </w:r>
          </w:p>
          <w:p w14:paraId="51DF786E">
            <w:pPr>
              <w:spacing w:line="360" w:lineRule="auto"/>
              <w:ind w:firstLine="480" w:firstLineChars="200"/>
              <w:rPr>
                <w:color w:val="auto"/>
                <w:sz w:val="24"/>
                <w:szCs w:val="24"/>
                <w:highlight w:val="none"/>
              </w:rPr>
            </w:pPr>
            <w:r>
              <w:rPr>
                <w:color w:val="auto"/>
                <w:sz w:val="24"/>
                <w:szCs w:val="24"/>
                <w:highlight w:val="none"/>
              </w:rPr>
              <w:t>水源保护核心区分为禁止建设区、限制建设区两个区，禁止建设区范围指干流河面水域及沿岸外延200m的区域，限制建设区范围指干流沿岸外200m—1000m之间的区域。</w:t>
            </w:r>
          </w:p>
          <w:p w14:paraId="6052CB66">
            <w:pPr>
              <w:spacing w:line="360" w:lineRule="auto"/>
              <w:ind w:firstLine="480" w:firstLineChars="200"/>
              <w:rPr>
                <w:color w:val="auto"/>
                <w:sz w:val="24"/>
                <w:szCs w:val="24"/>
                <w:highlight w:val="none"/>
              </w:rPr>
            </w:pPr>
            <w:r>
              <w:rPr>
                <w:color w:val="auto"/>
                <w:sz w:val="24"/>
                <w:szCs w:val="24"/>
                <w:highlight w:val="none"/>
              </w:rPr>
              <w:t>（2）重点污染控制区</w:t>
            </w:r>
          </w:p>
          <w:p w14:paraId="41F10EA8">
            <w:pPr>
              <w:spacing w:line="360" w:lineRule="auto"/>
              <w:ind w:firstLine="480" w:firstLineChars="200"/>
              <w:rPr>
                <w:color w:val="auto"/>
                <w:sz w:val="24"/>
                <w:szCs w:val="24"/>
                <w:highlight w:val="none"/>
              </w:rPr>
            </w:pPr>
            <w:r>
              <w:rPr>
                <w:color w:val="auto"/>
                <w:sz w:val="24"/>
                <w:szCs w:val="24"/>
                <w:highlight w:val="none"/>
              </w:rPr>
              <w:t>重点污染控制区范围指水体保护核心区外，主要入江支流水域外延3000m的区域和流域范围内的坝区，若区域范围超过一级山脊，按一级山脊线划定。</w:t>
            </w:r>
          </w:p>
          <w:p w14:paraId="3464B456">
            <w:pPr>
              <w:spacing w:line="360" w:lineRule="auto"/>
              <w:ind w:firstLine="480" w:firstLineChars="200"/>
              <w:rPr>
                <w:color w:val="auto"/>
                <w:sz w:val="24"/>
                <w:szCs w:val="24"/>
                <w:highlight w:val="none"/>
              </w:rPr>
            </w:pPr>
            <w:r>
              <w:rPr>
                <w:color w:val="auto"/>
                <w:sz w:val="24"/>
                <w:szCs w:val="24"/>
                <w:highlight w:val="none"/>
              </w:rPr>
              <w:t>（3）重点水源涵养区</w:t>
            </w:r>
          </w:p>
          <w:p w14:paraId="3725FC52">
            <w:pPr>
              <w:spacing w:line="360" w:lineRule="auto"/>
              <w:ind w:firstLine="480" w:firstLineChars="200"/>
              <w:rPr>
                <w:color w:val="auto"/>
                <w:sz w:val="24"/>
                <w:szCs w:val="24"/>
                <w:highlight w:val="none"/>
              </w:rPr>
            </w:pPr>
            <w:r>
              <w:rPr>
                <w:color w:val="auto"/>
                <w:sz w:val="24"/>
                <w:szCs w:val="24"/>
                <w:highlight w:val="none"/>
              </w:rPr>
              <w:t>重点水源涵养区范围指流域范围内除水源保护核心区、重点污染控制区以外的区域。</w:t>
            </w:r>
          </w:p>
          <w:p w14:paraId="4C0795EF">
            <w:pPr>
              <w:spacing w:line="360" w:lineRule="auto"/>
              <w:ind w:firstLine="480" w:firstLineChars="200"/>
              <w:rPr>
                <w:color w:val="auto"/>
                <w:sz w:val="24"/>
                <w:szCs w:val="24"/>
                <w:highlight w:val="none"/>
              </w:rPr>
            </w:pPr>
            <w:r>
              <w:rPr>
                <w:color w:val="auto"/>
                <w:sz w:val="24"/>
                <w:szCs w:val="24"/>
                <w:highlight w:val="none"/>
              </w:rPr>
              <w:t>项目位于寻甸县仁德街道北观社区打鹰坡，厂区距南面牛栏江9.480km（最近距离），根据以上保护区的划分及项目位置图（附图1）与牛栏江（寻甸段）水环境保护规划分区图的叠图可知，位于重点水源涵养区内，本次评价将按照项目建设与牛栏江（寻甸段）水环境保护划分中重点水源涵养区的符合性进行分析。</w:t>
            </w:r>
          </w:p>
          <w:p w14:paraId="65C3A2E8">
            <w:pPr>
              <w:spacing w:line="360" w:lineRule="auto"/>
              <w:ind w:firstLine="480" w:firstLineChars="200"/>
              <w:rPr>
                <w:color w:val="auto"/>
                <w:szCs w:val="21"/>
                <w:highlight w:val="none"/>
              </w:rPr>
            </w:pPr>
            <w:r>
              <w:rPr>
                <w:color w:val="auto"/>
                <w:sz w:val="24"/>
                <w:szCs w:val="24"/>
                <w:highlight w:val="none"/>
              </w:rPr>
              <w:t>项目与《牛栏江流域（寻甸段）水环境保护规划》相符性分析见下表</w:t>
            </w:r>
            <w:r>
              <w:rPr>
                <w:color w:val="auto"/>
                <w:sz w:val="24"/>
                <w:szCs w:val="24"/>
                <w:highlight w:val="none"/>
                <w:lang w:val="zh-CN"/>
              </w:rPr>
              <w:t>。</w:t>
            </w:r>
          </w:p>
          <w:p w14:paraId="44CA46A1">
            <w:pPr>
              <w:spacing w:line="240" w:lineRule="auto"/>
              <w:jc w:val="center"/>
              <w:rPr>
                <w:b/>
                <w:bCs/>
                <w:color w:val="auto"/>
                <w:szCs w:val="21"/>
                <w:highlight w:val="none"/>
              </w:rPr>
            </w:pPr>
            <w:r>
              <w:rPr>
                <w:b/>
                <w:bCs/>
                <w:color w:val="auto"/>
                <w:szCs w:val="21"/>
                <w:highlight w:val="none"/>
              </w:rPr>
              <w:t>表1-2  项目选址与《牛栏江流域（寻甸段）水环境保护规划》对照分析</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3426"/>
              <w:gridCol w:w="2218"/>
              <w:gridCol w:w="806"/>
            </w:tblGrid>
            <w:tr w14:paraId="74F9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0" w:type="pct"/>
                  <w:vAlign w:val="center"/>
                </w:tcPr>
                <w:p w14:paraId="489A77B2">
                  <w:pPr>
                    <w:jc w:val="center"/>
                    <w:rPr>
                      <w:b/>
                      <w:bCs/>
                      <w:color w:val="auto"/>
                      <w:szCs w:val="21"/>
                      <w:highlight w:val="none"/>
                    </w:rPr>
                  </w:pPr>
                  <w:r>
                    <w:rPr>
                      <w:b/>
                      <w:bCs/>
                      <w:color w:val="auto"/>
                      <w:szCs w:val="21"/>
                      <w:highlight w:val="none"/>
                    </w:rPr>
                    <w:t>序号</w:t>
                  </w:r>
                </w:p>
              </w:tc>
              <w:tc>
                <w:tcPr>
                  <w:tcW w:w="2474" w:type="pct"/>
                  <w:vAlign w:val="center"/>
                </w:tcPr>
                <w:p w14:paraId="50F72647">
                  <w:pPr>
                    <w:jc w:val="center"/>
                    <w:rPr>
                      <w:b/>
                      <w:bCs/>
                      <w:color w:val="auto"/>
                      <w:szCs w:val="21"/>
                      <w:highlight w:val="none"/>
                    </w:rPr>
                  </w:pPr>
                  <w:r>
                    <w:rPr>
                      <w:b/>
                      <w:bCs/>
                      <w:color w:val="auto"/>
                      <w:szCs w:val="21"/>
                      <w:highlight w:val="none"/>
                    </w:rPr>
                    <w:t>《牛栏江流域（寻甸段）水环境保护规划》</w:t>
                  </w:r>
                </w:p>
              </w:tc>
              <w:tc>
                <w:tcPr>
                  <w:tcW w:w="1602" w:type="pct"/>
                  <w:vAlign w:val="center"/>
                </w:tcPr>
                <w:p w14:paraId="4144C758">
                  <w:pPr>
                    <w:jc w:val="center"/>
                    <w:rPr>
                      <w:b/>
                      <w:bCs/>
                      <w:color w:val="auto"/>
                      <w:szCs w:val="21"/>
                      <w:highlight w:val="none"/>
                    </w:rPr>
                  </w:pPr>
                  <w:r>
                    <w:rPr>
                      <w:b/>
                      <w:bCs/>
                      <w:color w:val="auto"/>
                      <w:szCs w:val="21"/>
                      <w:highlight w:val="none"/>
                    </w:rPr>
                    <w:t>本项目实际情况</w:t>
                  </w:r>
                </w:p>
              </w:tc>
              <w:tc>
                <w:tcPr>
                  <w:tcW w:w="582" w:type="pct"/>
                  <w:vAlign w:val="center"/>
                </w:tcPr>
                <w:p w14:paraId="0709CE55">
                  <w:pPr>
                    <w:jc w:val="center"/>
                    <w:rPr>
                      <w:b/>
                      <w:bCs/>
                      <w:color w:val="auto"/>
                      <w:szCs w:val="21"/>
                      <w:highlight w:val="none"/>
                    </w:rPr>
                  </w:pPr>
                  <w:r>
                    <w:rPr>
                      <w:b/>
                      <w:bCs/>
                      <w:color w:val="auto"/>
                      <w:szCs w:val="21"/>
                      <w:highlight w:val="none"/>
                    </w:rPr>
                    <w:t>符合性</w:t>
                  </w:r>
                </w:p>
              </w:tc>
            </w:tr>
            <w:tr w14:paraId="6BA2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340" w:type="pct"/>
                  <w:tcBorders>
                    <w:bottom w:val="single" w:color="auto" w:sz="4" w:space="0"/>
                  </w:tcBorders>
                  <w:vAlign w:val="center"/>
                </w:tcPr>
                <w:p w14:paraId="416CE776">
                  <w:pPr>
                    <w:jc w:val="center"/>
                    <w:rPr>
                      <w:color w:val="auto"/>
                      <w:szCs w:val="21"/>
                      <w:highlight w:val="none"/>
                    </w:rPr>
                  </w:pPr>
                  <w:r>
                    <w:rPr>
                      <w:color w:val="auto"/>
                      <w:szCs w:val="21"/>
                      <w:highlight w:val="none"/>
                    </w:rPr>
                    <w:t>1</w:t>
                  </w:r>
                </w:p>
              </w:tc>
              <w:tc>
                <w:tcPr>
                  <w:tcW w:w="2474" w:type="pct"/>
                  <w:tcBorders>
                    <w:bottom w:val="single" w:color="auto" w:sz="4" w:space="0"/>
                  </w:tcBorders>
                  <w:vAlign w:val="center"/>
                </w:tcPr>
                <w:p w14:paraId="1993949A">
                  <w:pPr>
                    <w:jc w:val="center"/>
                    <w:rPr>
                      <w:color w:val="auto"/>
                      <w:szCs w:val="21"/>
                      <w:highlight w:val="none"/>
                    </w:rPr>
                  </w:pPr>
                  <w:r>
                    <w:rPr>
                      <w:color w:val="auto"/>
                      <w:szCs w:val="21"/>
                      <w:highlight w:val="none"/>
                    </w:rPr>
                    <w:t>在流域源头区宜林荒山，实施工程技术、退耕还林工程，石漠化地块区域造林，在调水水源涵养源林中开展幼林抚育、低产低造林分改造。水源涵养区内针对坡度在25°以上农耕地要逐步退耕还林，提高森林覆盖率。</w:t>
                  </w:r>
                </w:p>
              </w:tc>
              <w:tc>
                <w:tcPr>
                  <w:tcW w:w="1602" w:type="pct"/>
                  <w:vMerge w:val="restart"/>
                  <w:tcBorders>
                    <w:bottom w:val="single" w:color="auto" w:sz="4" w:space="0"/>
                  </w:tcBorders>
                  <w:vAlign w:val="center"/>
                </w:tcPr>
                <w:p w14:paraId="0FD51721">
                  <w:pPr>
                    <w:jc w:val="center"/>
                    <w:rPr>
                      <w:color w:val="auto"/>
                      <w:szCs w:val="21"/>
                      <w:highlight w:val="none"/>
                    </w:rPr>
                  </w:pPr>
                  <w:r>
                    <w:rPr>
                      <w:color w:val="auto"/>
                      <w:szCs w:val="21"/>
                      <w:highlight w:val="none"/>
                    </w:rPr>
                    <w:t>根据项目施工场地周围有截</w:t>
                  </w:r>
                  <w:r>
                    <w:rPr>
                      <w:rFonts w:hint="eastAsia"/>
                      <w:color w:val="auto"/>
                      <w:szCs w:val="21"/>
                      <w:highlight w:val="none"/>
                    </w:rPr>
                    <w:t>排</w:t>
                  </w:r>
                  <w:r>
                    <w:rPr>
                      <w:color w:val="auto"/>
                      <w:szCs w:val="21"/>
                      <w:highlight w:val="none"/>
                    </w:rPr>
                    <w:t>水沟，</w:t>
                  </w:r>
                  <w:r>
                    <w:rPr>
                      <w:rFonts w:hint="eastAsia"/>
                      <w:color w:val="auto"/>
                      <w:szCs w:val="21"/>
                      <w:highlight w:val="none"/>
                    </w:rPr>
                    <w:t>在地块一</w:t>
                  </w:r>
                  <w:r>
                    <w:rPr>
                      <w:color w:val="auto"/>
                      <w:szCs w:val="21"/>
                      <w:highlight w:val="none"/>
                    </w:rPr>
                    <w:t>建设容积为</w:t>
                  </w:r>
                  <w:r>
                    <w:rPr>
                      <w:rFonts w:hint="eastAsia"/>
                      <w:color w:val="auto"/>
                      <w:szCs w:val="21"/>
                      <w:highlight w:val="none"/>
                    </w:rPr>
                    <w:t>60</w:t>
                  </w:r>
                  <w:r>
                    <w:rPr>
                      <w:color w:val="auto"/>
                      <w:szCs w:val="21"/>
                      <w:highlight w:val="none"/>
                    </w:rPr>
                    <w:t>m</w:t>
                  </w:r>
                  <w:r>
                    <w:rPr>
                      <w:color w:val="auto"/>
                      <w:szCs w:val="21"/>
                      <w:highlight w:val="none"/>
                      <w:vertAlign w:val="superscript"/>
                    </w:rPr>
                    <w:t>3</w:t>
                  </w:r>
                  <w:r>
                    <w:rPr>
                      <w:color w:val="auto"/>
                      <w:szCs w:val="21"/>
                      <w:highlight w:val="none"/>
                    </w:rPr>
                    <w:t>的</w:t>
                  </w:r>
                  <w:r>
                    <w:rPr>
                      <w:rFonts w:hint="eastAsia"/>
                      <w:color w:val="auto"/>
                      <w:szCs w:val="21"/>
                      <w:highlight w:val="none"/>
                    </w:rPr>
                    <w:t>初期雨水池，地块二</w:t>
                  </w:r>
                  <w:r>
                    <w:rPr>
                      <w:color w:val="auto"/>
                      <w:szCs w:val="21"/>
                      <w:highlight w:val="none"/>
                    </w:rPr>
                    <w:t>建设容积为</w:t>
                  </w:r>
                  <w:r>
                    <w:rPr>
                      <w:rFonts w:hint="eastAsia"/>
                      <w:color w:val="auto"/>
                      <w:szCs w:val="21"/>
                      <w:highlight w:val="none"/>
                      <w:lang w:val="en-US" w:eastAsia="zh-CN"/>
                    </w:rPr>
                    <w:t>5</w:t>
                  </w:r>
                  <w:r>
                    <w:rPr>
                      <w:rFonts w:hint="eastAsia"/>
                      <w:color w:val="auto"/>
                      <w:szCs w:val="21"/>
                      <w:highlight w:val="none"/>
                    </w:rPr>
                    <w:t>0</w:t>
                  </w:r>
                  <w:r>
                    <w:rPr>
                      <w:color w:val="auto"/>
                      <w:szCs w:val="21"/>
                      <w:highlight w:val="none"/>
                    </w:rPr>
                    <w:t>m</w:t>
                  </w:r>
                  <w:r>
                    <w:rPr>
                      <w:color w:val="auto"/>
                      <w:szCs w:val="21"/>
                      <w:highlight w:val="none"/>
                      <w:vertAlign w:val="superscript"/>
                    </w:rPr>
                    <w:t>3</w:t>
                  </w:r>
                  <w:r>
                    <w:rPr>
                      <w:color w:val="auto"/>
                      <w:szCs w:val="21"/>
                      <w:highlight w:val="none"/>
                    </w:rPr>
                    <w:t>的</w:t>
                  </w:r>
                  <w:r>
                    <w:rPr>
                      <w:rFonts w:hint="eastAsia"/>
                      <w:color w:val="auto"/>
                      <w:szCs w:val="21"/>
                      <w:highlight w:val="none"/>
                    </w:rPr>
                    <w:t>初期雨水池</w:t>
                  </w:r>
                  <w:r>
                    <w:rPr>
                      <w:rFonts w:hint="eastAsia"/>
                      <w:color w:val="auto"/>
                      <w:szCs w:val="21"/>
                      <w:highlight w:val="none"/>
                      <w:lang w:eastAsia="zh-CN"/>
                    </w:rPr>
                    <w:t>，</w:t>
                  </w:r>
                  <w:r>
                    <w:rPr>
                      <w:rFonts w:hint="eastAsia"/>
                      <w:color w:val="auto"/>
                      <w:szCs w:val="21"/>
                      <w:highlight w:val="none"/>
                    </w:rPr>
                    <w:t>地块</w:t>
                  </w:r>
                  <w:r>
                    <w:rPr>
                      <w:rFonts w:hint="eastAsia"/>
                      <w:color w:val="auto"/>
                      <w:szCs w:val="21"/>
                      <w:highlight w:val="none"/>
                      <w:lang w:val="en-US" w:eastAsia="zh-CN"/>
                    </w:rPr>
                    <w:t>三</w:t>
                  </w:r>
                  <w:r>
                    <w:rPr>
                      <w:color w:val="auto"/>
                      <w:szCs w:val="21"/>
                      <w:highlight w:val="none"/>
                    </w:rPr>
                    <w:t>建设容积为</w:t>
                  </w:r>
                  <w:r>
                    <w:rPr>
                      <w:rFonts w:hint="eastAsia"/>
                      <w:color w:val="auto"/>
                      <w:szCs w:val="21"/>
                      <w:highlight w:val="none"/>
                      <w:lang w:val="en-US" w:eastAsia="zh-CN"/>
                    </w:rPr>
                    <w:t>5</w:t>
                  </w:r>
                  <w:r>
                    <w:rPr>
                      <w:rFonts w:hint="eastAsia"/>
                      <w:color w:val="auto"/>
                      <w:szCs w:val="21"/>
                      <w:highlight w:val="none"/>
                    </w:rPr>
                    <w:t>0</w:t>
                  </w:r>
                  <w:r>
                    <w:rPr>
                      <w:color w:val="auto"/>
                      <w:szCs w:val="21"/>
                      <w:highlight w:val="none"/>
                    </w:rPr>
                    <w:t>m</w:t>
                  </w:r>
                  <w:r>
                    <w:rPr>
                      <w:color w:val="auto"/>
                      <w:szCs w:val="21"/>
                      <w:highlight w:val="none"/>
                      <w:vertAlign w:val="superscript"/>
                    </w:rPr>
                    <w:t>3</w:t>
                  </w:r>
                  <w:r>
                    <w:rPr>
                      <w:color w:val="auto"/>
                      <w:szCs w:val="21"/>
                      <w:highlight w:val="none"/>
                    </w:rPr>
                    <w:t>的</w:t>
                  </w:r>
                  <w:r>
                    <w:rPr>
                      <w:rFonts w:hint="eastAsia"/>
                      <w:color w:val="auto"/>
                      <w:szCs w:val="21"/>
                      <w:highlight w:val="none"/>
                    </w:rPr>
                    <w:t>初期雨水池</w:t>
                  </w:r>
                  <w:r>
                    <w:rPr>
                      <w:rFonts w:hint="eastAsia"/>
                      <w:color w:val="auto"/>
                      <w:szCs w:val="21"/>
                      <w:highlight w:val="none"/>
                      <w:lang w:eastAsia="zh-CN"/>
                    </w:rPr>
                    <w:t>，</w:t>
                  </w:r>
                  <w:r>
                    <w:rPr>
                      <w:color w:val="auto"/>
                      <w:szCs w:val="21"/>
                      <w:highlight w:val="none"/>
                    </w:rPr>
                    <w:t>对初期雨水进行收集，沉淀处理后回用于项目内洒水降尘，在库区设置了面积为</w:t>
                  </w:r>
                  <w:r>
                    <w:rPr>
                      <w:rFonts w:hint="eastAsia"/>
                      <w:color w:val="auto"/>
                      <w:szCs w:val="21"/>
                      <w:highlight w:val="none"/>
                      <w:lang w:val="en-US" w:eastAsia="zh-CN"/>
                    </w:rPr>
                    <w:t>1262</w:t>
                  </w:r>
                  <w:r>
                    <w:rPr>
                      <w:color w:val="auto"/>
                      <w:szCs w:val="21"/>
                      <w:highlight w:val="none"/>
                    </w:rPr>
                    <w:t>m</w:t>
                  </w:r>
                  <w:r>
                    <w:rPr>
                      <w:color w:val="auto"/>
                      <w:szCs w:val="21"/>
                      <w:highlight w:val="none"/>
                      <w:vertAlign w:val="superscript"/>
                    </w:rPr>
                    <w:t>2</w:t>
                  </w:r>
                  <w:r>
                    <w:rPr>
                      <w:color w:val="auto"/>
                      <w:szCs w:val="21"/>
                      <w:highlight w:val="none"/>
                    </w:rPr>
                    <w:t>的绿化。</w:t>
                  </w:r>
                </w:p>
              </w:tc>
              <w:tc>
                <w:tcPr>
                  <w:tcW w:w="582" w:type="pct"/>
                  <w:vMerge w:val="restart"/>
                  <w:tcBorders>
                    <w:bottom w:val="single" w:color="auto" w:sz="4" w:space="0"/>
                  </w:tcBorders>
                  <w:vAlign w:val="center"/>
                </w:tcPr>
                <w:p w14:paraId="3DBC351A">
                  <w:pPr>
                    <w:jc w:val="center"/>
                    <w:rPr>
                      <w:color w:val="auto"/>
                      <w:szCs w:val="21"/>
                      <w:highlight w:val="none"/>
                    </w:rPr>
                  </w:pPr>
                  <w:r>
                    <w:rPr>
                      <w:color w:val="auto"/>
                      <w:szCs w:val="21"/>
                      <w:highlight w:val="none"/>
                    </w:rPr>
                    <w:t>符合</w:t>
                  </w:r>
                </w:p>
              </w:tc>
            </w:tr>
            <w:tr w14:paraId="4695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40" w:type="pct"/>
                  <w:vAlign w:val="center"/>
                </w:tcPr>
                <w:p w14:paraId="6A374FD4">
                  <w:pPr>
                    <w:jc w:val="center"/>
                    <w:rPr>
                      <w:color w:val="auto"/>
                      <w:szCs w:val="21"/>
                      <w:highlight w:val="none"/>
                    </w:rPr>
                  </w:pPr>
                  <w:r>
                    <w:rPr>
                      <w:color w:val="auto"/>
                      <w:szCs w:val="21"/>
                      <w:highlight w:val="none"/>
                    </w:rPr>
                    <w:t>2</w:t>
                  </w:r>
                </w:p>
              </w:tc>
              <w:tc>
                <w:tcPr>
                  <w:tcW w:w="2474" w:type="pct"/>
                  <w:vAlign w:val="center"/>
                </w:tcPr>
                <w:p w14:paraId="2B1B10DE">
                  <w:pPr>
                    <w:jc w:val="center"/>
                    <w:rPr>
                      <w:color w:val="auto"/>
                      <w:szCs w:val="21"/>
                      <w:highlight w:val="none"/>
                    </w:rPr>
                  </w:pPr>
                  <w:r>
                    <w:rPr>
                      <w:color w:val="auto"/>
                      <w:szCs w:val="21"/>
                      <w:highlight w:val="none"/>
                    </w:rPr>
                    <w:t>实施小流域综合整治，减少水土流失。</w:t>
                  </w:r>
                </w:p>
              </w:tc>
              <w:tc>
                <w:tcPr>
                  <w:tcW w:w="1602" w:type="pct"/>
                  <w:vMerge w:val="continue"/>
                  <w:vAlign w:val="center"/>
                </w:tcPr>
                <w:p w14:paraId="4F94951C">
                  <w:pPr>
                    <w:jc w:val="center"/>
                    <w:rPr>
                      <w:color w:val="auto"/>
                      <w:szCs w:val="21"/>
                      <w:highlight w:val="none"/>
                    </w:rPr>
                  </w:pPr>
                </w:p>
              </w:tc>
              <w:tc>
                <w:tcPr>
                  <w:tcW w:w="582" w:type="pct"/>
                  <w:vMerge w:val="continue"/>
                  <w:vAlign w:val="center"/>
                </w:tcPr>
                <w:p w14:paraId="540193FD">
                  <w:pPr>
                    <w:jc w:val="center"/>
                    <w:rPr>
                      <w:color w:val="auto"/>
                      <w:szCs w:val="21"/>
                      <w:highlight w:val="none"/>
                    </w:rPr>
                  </w:pPr>
                </w:p>
              </w:tc>
            </w:tr>
          </w:tbl>
          <w:p w14:paraId="6FB21E92">
            <w:pPr>
              <w:spacing w:line="360" w:lineRule="auto"/>
              <w:ind w:firstLine="480" w:firstLineChars="200"/>
              <w:rPr>
                <w:color w:val="auto"/>
                <w:sz w:val="24"/>
                <w:szCs w:val="24"/>
                <w:highlight w:val="none"/>
              </w:rPr>
            </w:pPr>
            <w:r>
              <w:rPr>
                <w:color w:val="auto"/>
                <w:sz w:val="24"/>
                <w:szCs w:val="24"/>
                <w:highlight w:val="none"/>
              </w:rPr>
              <w:t>综上所述，项目的建设符合</w:t>
            </w:r>
            <w:r>
              <w:rPr>
                <w:color w:val="auto"/>
                <w:sz w:val="24"/>
                <w:szCs w:val="24"/>
                <w:highlight w:val="none"/>
                <w:lang w:val="zh-CN"/>
              </w:rPr>
              <w:t>《牛栏江流域（寻甸段）水环境保护规划（2011~2030）》。</w:t>
            </w:r>
          </w:p>
          <w:p w14:paraId="7D114B46">
            <w:pPr>
              <w:spacing w:line="360" w:lineRule="auto"/>
              <w:ind w:firstLine="482" w:firstLineChars="200"/>
              <w:rPr>
                <w:b/>
                <w:bCs/>
                <w:color w:val="auto"/>
                <w:sz w:val="24"/>
                <w:szCs w:val="24"/>
                <w:highlight w:val="none"/>
              </w:rPr>
            </w:pPr>
            <w:bookmarkStart w:id="4" w:name="_Toc25619"/>
            <w:r>
              <w:rPr>
                <w:rFonts w:hint="eastAsia"/>
                <w:b/>
                <w:bCs/>
                <w:color w:val="auto"/>
                <w:sz w:val="24"/>
                <w:szCs w:val="24"/>
                <w:highlight w:val="none"/>
                <w:lang w:val="en-US" w:eastAsia="zh-CN"/>
              </w:rPr>
              <w:t>6</w:t>
            </w:r>
            <w:r>
              <w:rPr>
                <w:b/>
                <w:bCs/>
                <w:color w:val="auto"/>
                <w:sz w:val="24"/>
                <w:szCs w:val="24"/>
                <w:highlight w:val="none"/>
              </w:rPr>
              <w:t>、与《烟花爆竹安全管理条例》（国务院令第455号）符合性分析</w:t>
            </w:r>
            <w:bookmarkEnd w:id="4"/>
          </w:p>
          <w:p w14:paraId="55D5DD35">
            <w:pPr>
              <w:spacing w:line="360" w:lineRule="auto"/>
              <w:ind w:firstLine="480" w:firstLineChars="200"/>
              <w:rPr>
                <w:color w:val="auto"/>
                <w:sz w:val="24"/>
                <w:szCs w:val="24"/>
                <w:highlight w:val="none"/>
              </w:rPr>
            </w:pPr>
            <w:r>
              <w:rPr>
                <w:color w:val="auto"/>
                <w:sz w:val="24"/>
                <w:szCs w:val="24"/>
                <w:highlight w:val="none"/>
              </w:rPr>
              <w:t>本</w:t>
            </w:r>
            <w:r>
              <w:rPr>
                <w:rFonts w:hint="eastAsia"/>
                <w:color w:val="auto"/>
                <w:sz w:val="24"/>
                <w:szCs w:val="24"/>
                <w:highlight w:val="none"/>
                <w:lang w:val="en-US" w:eastAsia="zh-CN"/>
              </w:rPr>
              <w:t>扩建</w:t>
            </w:r>
            <w:r>
              <w:rPr>
                <w:color w:val="auto"/>
                <w:sz w:val="24"/>
                <w:szCs w:val="24"/>
                <w:highlight w:val="none"/>
              </w:rPr>
              <w:t>项目为烟花爆竹的存储项目，烟花爆竹的存储必须按照《烟花爆竹安全管理条例》（国务院令第455号）执行，本项目与该条例对照情况见表1-3所示。</w:t>
            </w:r>
          </w:p>
          <w:p w14:paraId="3C296A89">
            <w:pPr>
              <w:spacing w:line="240" w:lineRule="auto"/>
              <w:jc w:val="center"/>
              <w:rPr>
                <w:b/>
                <w:bCs/>
                <w:color w:val="auto"/>
                <w:szCs w:val="21"/>
                <w:highlight w:val="none"/>
              </w:rPr>
            </w:pPr>
            <w:r>
              <w:rPr>
                <w:b/>
                <w:bCs/>
                <w:color w:val="auto"/>
                <w:szCs w:val="21"/>
                <w:highlight w:val="none"/>
              </w:rPr>
              <w:t>表1-3  与《烟花爆竹安全管理条例》对照分析</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
              <w:gridCol w:w="2995"/>
              <w:gridCol w:w="2506"/>
              <w:gridCol w:w="949"/>
            </w:tblGrid>
            <w:tr w14:paraId="568E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1BFAE674">
                  <w:pPr>
                    <w:jc w:val="center"/>
                    <w:rPr>
                      <w:b/>
                      <w:bCs/>
                      <w:color w:val="auto"/>
                      <w:szCs w:val="21"/>
                      <w:highlight w:val="none"/>
                    </w:rPr>
                  </w:pPr>
                  <w:r>
                    <w:rPr>
                      <w:b/>
                      <w:bCs/>
                      <w:color w:val="auto"/>
                      <w:szCs w:val="21"/>
                      <w:highlight w:val="none"/>
                    </w:rPr>
                    <w:t>项目</w:t>
                  </w:r>
                </w:p>
              </w:tc>
              <w:tc>
                <w:tcPr>
                  <w:tcW w:w="2163" w:type="pct"/>
                  <w:vAlign w:val="center"/>
                </w:tcPr>
                <w:p w14:paraId="3C02A5A7">
                  <w:pPr>
                    <w:jc w:val="center"/>
                    <w:rPr>
                      <w:b/>
                      <w:bCs/>
                      <w:color w:val="auto"/>
                      <w:szCs w:val="21"/>
                      <w:highlight w:val="none"/>
                    </w:rPr>
                  </w:pPr>
                  <w:r>
                    <w:rPr>
                      <w:b/>
                      <w:bCs/>
                      <w:color w:val="auto"/>
                      <w:szCs w:val="21"/>
                      <w:highlight w:val="none"/>
                    </w:rPr>
                    <w:t>标准要求</w:t>
                  </w:r>
                </w:p>
              </w:tc>
              <w:tc>
                <w:tcPr>
                  <w:tcW w:w="1810" w:type="pct"/>
                  <w:vAlign w:val="center"/>
                </w:tcPr>
                <w:p w14:paraId="40519D70">
                  <w:pPr>
                    <w:jc w:val="center"/>
                    <w:rPr>
                      <w:b/>
                      <w:bCs/>
                      <w:color w:val="auto"/>
                      <w:szCs w:val="21"/>
                      <w:highlight w:val="none"/>
                    </w:rPr>
                  </w:pPr>
                  <w:r>
                    <w:rPr>
                      <w:b/>
                      <w:bCs/>
                      <w:color w:val="auto"/>
                      <w:szCs w:val="21"/>
                      <w:highlight w:val="none"/>
                    </w:rPr>
                    <w:t>本项目情况</w:t>
                  </w:r>
                </w:p>
              </w:tc>
              <w:tc>
                <w:tcPr>
                  <w:tcW w:w="685" w:type="pct"/>
                  <w:vAlign w:val="center"/>
                </w:tcPr>
                <w:p w14:paraId="06F2BD6A">
                  <w:pPr>
                    <w:jc w:val="center"/>
                    <w:rPr>
                      <w:b/>
                      <w:bCs/>
                      <w:color w:val="auto"/>
                      <w:szCs w:val="21"/>
                      <w:highlight w:val="none"/>
                    </w:rPr>
                  </w:pPr>
                  <w:r>
                    <w:rPr>
                      <w:b/>
                      <w:bCs/>
                      <w:color w:val="auto"/>
                      <w:szCs w:val="21"/>
                      <w:highlight w:val="none"/>
                    </w:rPr>
                    <w:t>符合性</w:t>
                  </w:r>
                </w:p>
              </w:tc>
            </w:tr>
            <w:tr w14:paraId="32E3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restart"/>
                  <w:vAlign w:val="center"/>
                </w:tcPr>
                <w:p w14:paraId="743298AB">
                  <w:pPr>
                    <w:jc w:val="center"/>
                    <w:rPr>
                      <w:color w:val="auto"/>
                      <w:szCs w:val="21"/>
                      <w:highlight w:val="none"/>
                    </w:rPr>
                  </w:pPr>
                  <w:r>
                    <w:rPr>
                      <w:color w:val="auto"/>
                      <w:szCs w:val="21"/>
                      <w:highlight w:val="none"/>
                    </w:rPr>
                    <w:t>经营安全方面</w:t>
                  </w:r>
                </w:p>
              </w:tc>
              <w:tc>
                <w:tcPr>
                  <w:tcW w:w="2163" w:type="pct"/>
                  <w:vAlign w:val="center"/>
                </w:tcPr>
                <w:p w14:paraId="74805E27">
                  <w:pPr>
                    <w:jc w:val="center"/>
                    <w:rPr>
                      <w:color w:val="auto"/>
                      <w:szCs w:val="21"/>
                      <w:highlight w:val="none"/>
                    </w:rPr>
                  </w:pPr>
                  <w:r>
                    <w:rPr>
                      <w:color w:val="auto"/>
                      <w:szCs w:val="21"/>
                      <w:highlight w:val="none"/>
                    </w:rPr>
                    <w:t>从事烟花爆竹批发的企业和零售经营者的经营布点，应当经安全生产监督管理部门审批。禁止在城市市区布设烟花爆竹批发场所；城市市区的烟花爆竹零售网点，应当按照严格控制的原则合理布设。</w:t>
                  </w:r>
                </w:p>
              </w:tc>
              <w:tc>
                <w:tcPr>
                  <w:tcW w:w="1810" w:type="pct"/>
                  <w:vAlign w:val="center"/>
                </w:tcPr>
                <w:p w14:paraId="6B070546">
                  <w:pPr>
                    <w:jc w:val="center"/>
                    <w:rPr>
                      <w:rFonts w:hint="eastAsia" w:eastAsia="宋体"/>
                      <w:color w:val="auto"/>
                      <w:szCs w:val="21"/>
                      <w:highlight w:val="none"/>
                      <w:lang w:eastAsia="zh-CN"/>
                    </w:rPr>
                  </w:pPr>
                  <w:r>
                    <w:rPr>
                      <w:color w:val="auto"/>
                      <w:sz w:val="21"/>
                      <w:szCs w:val="21"/>
                      <w:highlight w:val="none"/>
                    </w:rPr>
                    <w:t>项目位于寻甸县仁德街道北观社区打鹰坡，</w:t>
                  </w:r>
                  <w:r>
                    <w:rPr>
                      <w:rFonts w:hint="eastAsia"/>
                      <w:color w:val="auto"/>
                      <w:sz w:val="21"/>
                      <w:szCs w:val="21"/>
                      <w:highlight w:val="none"/>
                      <w:lang w:val="en-US" w:eastAsia="zh-CN"/>
                    </w:rPr>
                    <w:t>不属于城市市区。</w:t>
                  </w:r>
                  <w:r>
                    <w:rPr>
                      <w:rFonts w:hint="eastAsia"/>
                      <w:color w:val="auto"/>
                      <w:szCs w:val="21"/>
                      <w:highlight w:val="none"/>
                      <w:lang w:val="en-US" w:eastAsia="zh-CN"/>
                    </w:rPr>
                    <w:t>2025年4月23日</w:t>
                  </w:r>
                  <w:r>
                    <w:rPr>
                      <w:color w:val="auto"/>
                      <w:szCs w:val="21"/>
                      <w:highlight w:val="none"/>
                    </w:rPr>
                    <w:t>项目已获得</w:t>
                  </w:r>
                  <w:r>
                    <w:rPr>
                      <w:rFonts w:hint="eastAsia"/>
                      <w:color w:val="auto"/>
                      <w:szCs w:val="21"/>
                      <w:highlight w:val="none"/>
                      <w:lang w:val="en-US" w:eastAsia="zh-CN"/>
                    </w:rPr>
                    <w:t>昆明市应急管理局关于《昆明优竹商贸有限公司改扩建烟花爆竹存储仓库的请示》的回复意见（附件13）</w:t>
                  </w:r>
                  <w:r>
                    <w:rPr>
                      <w:color w:val="auto"/>
                      <w:szCs w:val="21"/>
                      <w:highlight w:val="none"/>
                    </w:rPr>
                    <w:t>，</w:t>
                  </w:r>
                  <w:r>
                    <w:rPr>
                      <w:rFonts w:hint="eastAsia"/>
                      <w:color w:val="auto"/>
                      <w:szCs w:val="21"/>
                      <w:highlight w:val="none"/>
                      <w:lang w:eastAsia="zh-CN"/>
                    </w:rPr>
                    <w:t>“</w:t>
                  </w:r>
                  <w:r>
                    <w:rPr>
                      <w:rFonts w:hint="eastAsia"/>
                      <w:color w:val="auto"/>
                      <w:szCs w:val="21"/>
                      <w:highlight w:val="none"/>
                    </w:rPr>
                    <w:t>原则同意你局关于新建1栋1.1级、2栋1.3级烟花爆竹储存仓库的请示</w:t>
                  </w:r>
                  <w:r>
                    <w:rPr>
                      <w:rFonts w:hint="eastAsia"/>
                      <w:color w:val="auto"/>
                      <w:szCs w:val="21"/>
                      <w:highlight w:val="none"/>
                      <w:lang w:eastAsia="zh-CN"/>
                    </w:rPr>
                    <w:t>”。</w:t>
                  </w:r>
                </w:p>
              </w:tc>
              <w:tc>
                <w:tcPr>
                  <w:tcW w:w="685" w:type="pct"/>
                  <w:vAlign w:val="center"/>
                </w:tcPr>
                <w:p w14:paraId="234744F9">
                  <w:pPr>
                    <w:jc w:val="center"/>
                    <w:rPr>
                      <w:color w:val="auto"/>
                      <w:szCs w:val="21"/>
                      <w:highlight w:val="none"/>
                    </w:rPr>
                  </w:pPr>
                  <w:r>
                    <w:rPr>
                      <w:color w:val="auto"/>
                      <w:szCs w:val="21"/>
                      <w:highlight w:val="none"/>
                    </w:rPr>
                    <w:t>符合</w:t>
                  </w:r>
                </w:p>
              </w:tc>
            </w:tr>
            <w:tr w14:paraId="1E6B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7760A4E2">
                  <w:pPr>
                    <w:jc w:val="center"/>
                    <w:rPr>
                      <w:color w:val="auto"/>
                      <w:szCs w:val="21"/>
                      <w:highlight w:val="none"/>
                    </w:rPr>
                  </w:pPr>
                </w:p>
              </w:tc>
              <w:tc>
                <w:tcPr>
                  <w:tcW w:w="2163" w:type="pct"/>
                  <w:vAlign w:val="center"/>
                </w:tcPr>
                <w:p w14:paraId="7659E308">
                  <w:pPr>
                    <w:jc w:val="center"/>
                    <w:rPr>
                      <w:color w:val="auto"/>
                      <w:szCs w:val="21"/>
                      <w:highlight w:val="none"/>
                    </w:rPr>
                  </w:pPr>
                  <w:r>
                    <w:rPr>
                      <w:color w:val="auto"/>
                      <w:szCs w:val="21"/>
                      <w:highlight w:val="none"/>
                    </w:rPr>
                    <w:t>具有企业法人条件</w:t>
                  </w:r>
                </w:p>
              </w:tc>
              <w:tc>
                <w:tcPr>
                  <w:tcW w:w="1810" w:type="pct"/>
                  <w:vAlign w:val="center"/>
                </w:tcPr>
                <w:p w14:paraId="4A4145C3">
                  <w:pPr>
                    <w:jc w:val="center"/>
                    <w:rPr>
                      <w:color w:val="auto"/>
                      <w:szCs w:val="21"/>
                      <w:highlight w:val="none"/>
                    </w:rPr>
                  </w:pPr>
                  <w:r>
                    <w:rPr>
                      <w:color w:val="auto"/>
                      <w:szCs w:val="21"/>
                      <w:highlight w:val="none"/>
                    </w:rPr>
                    <w:t>具有企业法人条件</w:t>
                  </w:r>
                </w:p>
              </w:tc>
              <w:tc>
                <w:tcPr>
                  <w:tcW w:w="685" w:type="pct"/>
                  <w:vAlign w:val="center"/>
                </w:tcPr>
                <w:p w14:paraId="08BFF233">
                  <w:pPr>
                    <w:jc w:val="center"/>
                    <w:rPr>
                      <w:color w:val="auto"/>
                      <w:szCs w:val="21"/>
                      <w:highlight w:val="none"/>
                    </w:rPr>
                  </w:pPr>
                  <w:r>
                    <w:rPr>
                      <w:color w:val="auto"/>
                      <w:szCs w:val="21"/>
                      <w:highlight w:val="none"/>
                    </w:rPr>
                    <w:t>符合</w:t>
                  </w:r>
                </w:p>
              </w:tc>
            </w:tr>
            <w:tr w14:paraId="235C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7F88B3A7">
                  <w:pPr>
                    <w:jc w:val="center"/>
                    <w:rPr>
                      <w:color w:val="auto"/>
                      <w:szCs w:val="21"/>
                      <w:highlight w:val="none"/>
                    </w:rPr>
                  </w:pPr>
                </w:p>
              </w:tc>
              <w:tc>
                <w:tcPr>
                  <w:tcW w:w="2163" w:type="pct"/>
                  <w:vAlign w:val="center"/>
                </w:tcPr>
                <w:p w14:paraId="7C475E94">
                  <w:pPr>
                    <w:jc w:val="center"/>
                    <w:rPr>
                      <w:color w:val="auto"/>
                      <w:szCs w:val="21"/>
                      <w:highlight w:val="none"/>
                    </w:rPr>
                  </w:pPr>
                  <w:r>
                    <w:rPr>
                      <w:color w:val="auto"/>
                      <w:szCs w:val="21"/>
                      <w:highlight w:val="none"/>
                    </w:rPr>
                    <w:t>经营场所与周边建筑、设施保持必要的安全距离；</w:t>
                  </w:r>
                </w:p>
              </w:tc>
              <w:tc>
                <w:tcPr>
                  <w:tcW w:w="1810" w:type="pct"/>
                  <w:vAlign w:val="center"/>
                </w:tcPr>
                <w:p w14:paraId="539F3D12">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eastAsia="宋体"/>
                      <w:color w:val="auto"/>
                      <w:szCs w:val="21"/>
                      <w:highlight w:val="none"/>
                      <w:lang w:eastAsia="zh-CN"/>
                    </w:rPr>
                  </w:pPr>
                  <w:r>
                    <w:rPr>
                      <w:rFonts w:hint="default" w:ascii="Times New Roman" w:hAnsi="Times New Roman" w:eastAsia="宋体" w:cs="Times New Roman"/>
                      <w:color w:val="auto"/>
                      <w:sz w:val="21"/>
                      <w:szCs w:val="21"/>
                      <w:highlight w:val="none"/>
                    </w:rPr>
                    <w:t>项目的选址符合城乡规划，</w:t>
                  </w:r>
                  <w:r>
                    <w:rPr>
                      <w:rFonts w:hint="default" w:ascii="Times New Roman" w:hAnsi="Times New Roman" w:eastAsia="宋体" w:cs="Times New Roman"/>
                      <w:color w:val="auto"/>
                      <w:sz w:val="21"/>
                      <w:szCs w:val="21"/>
                      <w:highlight w:val="none"/>
                      <w:lang w:val="en-US" w:eastAsia="zh-CN"/>
                    </w:rPr>
                    <w:t>根据</w:t>
                  </w:r>
                  <w:r>
                    <w:rPr>
                      <w:rFonts w:hint="default" w:ascii="Times New Roman" w:hAnsi="Times New Roman" w:eastAsia="宋体" w:cs="Times New Roman"/>
                      <w:color w:val="auto"/>
                      <w:kern w:val="0"/>
                      <w:sz w:val="21"/>
                      <w:szCs w:val="21"/>
                      <w:lang w:val="en-US" w:eastAsia="zh-CN" w:bidi="ar"/>
                    </w:rPr>
                    <w:t>昆明优竹商贸有限公司烟花爆竹存储仓库改扩建项目安全预评价报告及专家意见（附件8），本次“昆明优竹商贸有限公司烟花爆竹存储仓库改扩建项目”各建筑物与周边建筑和设施的距离符合《烟花爆竹工程设计安全标准》GB50161-2022)相 关要求。</w:t>
                  </w:r>
                </w:p>
              </w:tc>
              <w:tc>
                <w:tcPr>
                  <w:tcW w:w="685" w:type="pct"/>
                  <w:vAlign w:val="center"/>
                </w:tcPr>
                <w:p w14:paraId="655E65C6">
                  <w:pPr>
                    <w:jc w:val="center"/>
                    <w:rPr>
                      <w:color w:val="auto"/>
                      <w:szCs w:val="21"/>
                      <w:highlight w:val="none"/>
                    </w:rPr>
                  </w:pPr>
                  <w:r>
                    <w:rPr>
                      <w:color w:val="auto"/>
                      <w:szCs w:val="21"/>
                      <w:highlight w:val="none"/>
                    </w:rPr>
                    <w:t>符合</w:t>
                  </w:r>
                </w:p>
              </w:tc>
            </w:tr>
            <w:tr w14:paraId="0DC2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3312457D">
                  <w:pPr>
                    <w:jc w:val="center"/>
                    <w:rPr>
                      <w:color w:val="auto"/>
                      <w:szCs w:val="21"/>
                      <w:highlight w:val="none"/>
                    </w:rPr>
                  </w:pPr>
                </w:p>
              </w:tc>
              <w:tc>
                <w:tcPr>
                  <w:tcW w:w="2163" w:type="pct"/>
                  <w:vAlign w:val="center"/>
                </w:tcPr>
                <w:p w14:paraId="08E90343">
                  <w:pPr>
                    <w:jc w:val="center"/>
                    <w:rPr>
                      <w:color w:val="auto"/>
                      <w:szCs w:val="21"/>
                      <w:highlight w:val="none"/>
                    </w:rPr>
                  </w:pPr>
                  <w:r>
                    <w:rPr>
                      <w:color w:val="auto"/>
                      <w:szCs w:val="21"/>
                      <w:highlight w:val="none"/>
                    </w:rPr>
                    <w:t>有符合国家标准的经营场所和储存仓库；</w:t>
                  </w:r>
                </w:p>
              </w:tc>
              <w:tc>
                <w:tcPr>
                  <w:tcW w:w="1810" w:type="pct"/>
                  <w:vAlign w:val="center"/>
                </w:tcPr>
                <w:p w14:paraId="1496A478">
                  <w:pPr>
                    <w:jc w:val="center"/>
                    <w:rPr>
                      <w:rFonts w:hint="eastAsia" w:eastAsia="宋体"/>
                      <w:color w:val="auto"/>
                      <w:szCs w:val="21"/>
                      <w:highlight w:val="none"/>
                      <w:lang w:eastAsia="zh-CN"/>
                    </w:rPr>
                  </w:pPr>
                  <w:r>
                    <w:rPr>
                      <w:color w:val="auto"/>
                      <w:szCs w:val="21"/>
                      <w:highlight w:val="none"/>
                    </w:rPr>
                    <w:t>项目的厂房和仓库的设计、结构和材料以及防火、防爆、防雷、防静电等安全设备、设施是符合国家有关标准和规范的经营场所和储存仓库</w:t>
                  </w:r>
                  <w:r>
                    <w:rPr>
                      <w:rFonts w:hint="eastAsia"/>
                      <w:color w:val="auto"/>
                      <w:szCs w:val="21"/>
                      <w:highlight w:val="none"/>
                      <w:lang w:eastAsia="zh-CN"/>
                    </w:rPr>
                    <w:t>。</w:t>
                  </w:r>
                </w:p>
              </w:tc>
              <w:tc>
                <w:tcPr>
                  <w:tcW w:w="685" w:type="pct"/>
                  <w:vAlign w:val="center"/>
                </w:tcPr>
                <w:p w14:paraId="7084DB9F">
                  <w:pPr>
                    <w:jc w:val="center"/>
                    <w:rPr>
                      <w:color w:val="auto"/>
                      <w:szCs w:val="21"/>
                      <w:highlight w:val="none"/>
                    </w:rPr>
                  </w:pPr>
                  <w:r>
                    <w:rPr>
                      <w:color w:val="auto"/>
                      <w:szCs w:val="21"/>
                      <w:highlight w:val="none"/>
                    </w:rPr>
                    <w:t>符合</w:t>
                  </w:r>
                </w:p>
              </w:tc>
            </w:tr>
            <w:tr w14:paraId="5FCF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2164CF31">
                  <w:pPr>
                    <w:jc w:val="center"/>
                    <w:rPr>
                      <w:color w:val="auto"/>
                      <w:szCs w:val="21"/>
                      <w:highlight w:val="none"/>
                    </w:rPr>
                  </w:pPr>
                </w:p>
              </w:tc>
              <w:tc>
                <w:tcPr>
                  <w:tcW w:w="2163" w:type="pct"/>
                  <w:vAlign w:val="center"/>
                </w:tcPr>
                <w:p w14:paraId="1AC66388">
                  <w:pPr>
                    <w:jc w:val="center"/>
                    <w:rPr>
                      <w:color w:val="auto"/>
                      <w:szCs w:val="21"/>
                      <w:highlight w:val="none"/>
                    </w:rPr>
                  </w:pPr>
                  <w:r>
                    <w:rPr>
                      <w:color w:val="auto"/>
                      <w:szCs w:val="21"/>
                      <w:highlight w:val="none"/>
                    </w:rPr>
                    <w:t>有保管员、仓库守护员</w:t>
                  </w:r>
                </w:p>
              </w:tc>
              <w:tc>
                <w:tcPr>
                  <w:tcW w:w="1810" w:type="pct"/>
                  <w:vAlign w:val="center"/>
                </w:tcPr>
                <w:p w14:paraId="66E43778">
                  <w:pPr>
                    <w:jc w:val="center"/>
                    <w:rPr>
                      <w:rFonts w:hint="eastAsia" w:eastAsia="宋体"/>
                      <w:color w:val="auto"/>
                      <w:szCs w:val="21"/>
                      <w:highlight w:val="none"/>
                      <w:lang w:eastAsia="zh-CN"/>
                    </w:rPr>
                  </w:pPr>
                  <w:r>
                    <w:rPr>
                      <w:color w:val="auto"/>
                      <w:szCs w:val="21"/>
                      <w:highlight w:val="none"/>
                    </w:rPr>
                    <w:t>项目在库区安排了保管员、仓库守护员</w:t>
                  </w:r>
                  <w:r>
                    <w:rPr>
                      <w:rFonts w:hint="eastAsia"/>
                      <w:color w:val="auto"/>
                      <w:szCs w:val="21"/>
                      <w:highlight w:val="none"/>
                      <w:lang w:eastAsia="zh-CN"/>
                    </w:rPr>
                    <w:t>。</w:t>
                  </w:r>
                </w:p>
              </w:tc>
              <w:tc>
                <w:tcPr>
                  <w:tcW w:w="685" w:type="pct"/>
                  <w:vAlign w:val="center"/>
                </w:tcPr>
                <w:p w14:paraId="5C4F38A3">
                  <w:pPr>
                    <w:jc w:val="center"/>
                    <w:rPr>
                      <w:color w:val="auto"/>
                      <w:szCs w:val="21"/>
                      <w:highlight w:val="none"/>
                    </w:rPr>
                  </w:pPr>
                  <w:r>
                    <w:rPr>
                      <w:color w:val="auto"/>
                      <w:szCs w:val="21"/>
                      <w:highlight w:val="none"/>
                    </w:rPr>
                    <w:t>符合</w:t>
                  </w:r>
                </w:p>
              </w:tc>
            </w:tr>
            <w:tr w14:paraId="1F4B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11D9971D">
                  <w:pPr>
                    <w:jc w:val="center"/>
                    <w:rPr>
                      <w:color w:val="auto"/>
                      <w:szCs w:val="21"/>
                      <w:highlight w:val="none"/>
                    </w:rPr>
                  </w:pPr>
                </w:p>
              </w:tc>
              <w:tc>
                <w:tcPr>
                  <w:tcW w:w="2163" w:type="pct"/>
                  <w:vAlign w:val="center"/>
                </w:tcPr>
                <w:p w14:paraId="426C625C">
                  <w:pPr>
                    <w:jc w:val="center"/>
                    <w:rPr>
                      <w:color w:val="auto"/>
                      <w:szCs w:val="21"/>
                      <w:highlight w:val="none"/>
                    </w:rPr>
                  </w:pPr>
                  <w:r>
                    <w:rPr>
                      <w:color w:val="auto"/>
                      <w:szCs w:val="21"/>
                      <w:highlight w:val="none"/>
                    </w:rPr>
                    <w:t>依法进行了安全评价</w:t>
                  </w:r>
                </w:p>
              </w:tc>
              <w:tc>
                <w:tcPr>
                  <w:tcW w:w="1810" w:type="pct"/>
                  <w:vAlign w:val="center"/>
                </w:tcPr>
                <w:p w14:paraId="3FC02712">
                  <w:pPr>
                    <w:jc w:val="center"/>
                    <w:rPr>
                      <w:color w:val="auto"/>
                      <w:szCs w:val="21"/>
                      <w:highlight w:val="none"/>
                    </w:rPr>
                  </w:pPr>
                  <w:r>
                    <w:rPr>
                      <w:rFonts w:hint="eastAsia"/>
                      <w:color w:val="auto"/>
                      <w:szCs w:val="21"/>
                      <w:highlight w:val="none"/>
                      <w:lang w:val="en-US" w:eastAsia="zh-CN"/>
                    </w:rPr>
                    <w:t>2026年6月3日</w:t>
                  </w:r>
                  <w:r>
                    <w:rPr>
                      <w:rFonts w:hint="default" w:ascii="Times New Roman" w:hAnsi="Times New Roman" w:eastAsia="宋体" w:cs="Times New Roman"/>
                      <w:color w:val="auto"/>
                      <w:kern w:val="0"/>
                      <w:sz w:val="21"/>
                      <w:szCs w:val="21"/>
                      <w:lang w:val="en-US" w:eastAsia="zh-CN" w:bidi="ar"/>
                    </w:rPr>
                    <w:t>昆明优竹商贸有限公司烟花爆竹存储仓库改扩建项目安全预评价报告</w:t>
                  </w:r>
                  <w:r>
                    <w:rPr>
                      <w:rFonts w:hint="eastAsia" w:cs="Times New Roman"/>
                      <w:color w:val="auto"/>
                      <w:kern w:val="0"/>
                      <w:sz w:val="21"/>
                      <w:szCs w:val="21"/>
                      <w:lang w:val="en-US" w:eastAsia="zh-CN" w:bidi="ar"/>
                    </w:rPr>
                    <w:t>通过了</w:t>
                  </w:r>
                  <w:r>
                    <w:rPr>
                      <w:rFonts w:hint="default" w:ascii="Times New Roman" w:hAnsi="Times New Roman" w:eastAsia="宋体" w:cs="Times New Roman"/>
                      <w:color w:val="auto"/>
                      <w:kern w:val="0"/>
                      <w:sz w:val="21"/>
                      <w:szCs w:val="21"/>
                      <w:lang w:val="en-US" w:eastAsia="zh-CN" w:bidi="ar"/>
                    </w:rPr>
                    <w:t>专家</w:t>
                  </w:r>
                  <w:r>
                    <w:rPr>
                      <w:rFonts w:hint="eastAsia" w:cs="Times New Roman"/>
                      <w:color w:val="auto"/>
                      <w:kern w:val="0"/>
                      <w:sz w:val="21"/>
                      <w:szCs w:val="21"/>
                      <w:lang w:val="en-US" w:eastAsia="zh-CN" w:bidi="ar"/>
                    </w:rPr>
                    <w:t>评审</w:t>
                  </w:r>
                  <w:r>
                    <w:rPr>
                      <w:rFonts w:hint="default" w:ascii="Times New Roman" w:hAnsi="Times New Roman" w:eastAsia="宋体" w:cs="Times New Roman"/>
                      <w:color w:val="auto"/>
                      <w:kern w:val="0"/>
                      <w:sz w:val="21"/>
                      <w:szCs w:val="21"/>
                      <w:lang w:val="en-US" w:eastAsia="zh-CN" w:bidi="ar"/>
                    </w:rPr>
                    <w:t>（附件8），</w:t>
                  </w:r>
                </w:p>
              </w:tc>
              <w:tc>
                <w:tcPr>
                  <w:tcW w:w="685" w:type="pct"/>
                  <w:vAlign w:val="center"/>
                </w:tcPr>
                <w:p w14:paraId="4E87EC6D">
                  <w:pPr>
                    <w:jc w:val="center"/>
                    <w:rPr>
                      <w:color w:val="auto"/>
                      <w:szCs w:val="21"/>
                      <w:highlight w:val="none"/>
                    </w:rPr>
                  </w:pPr>
                  <w:r>
                    <w:rPr>
                      <w:color w:val="auto"/>
                      <w:szCs w:val="21"/>
                      <w:highlight w:val="none"/>
                    </w:rPr>
                    <w:t>符合</w:t>
                  </w:r>
                </w:p>
              </w:tc>
            </w:tr>
            <w:tr w14:paraId="343B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54247075">
                  <w:pPr>
                    <w:jc w:val="center"/>
                    <w:rPr>
                      <w:color w:val="auto"/>
                      <w:szCs w:val="21"/>
                      <w:highlight w:val="none"/>
                    </w:rPr>
                  </w:pPr>
                </w:p>
              </w:tc>
              <w:tc>
                <w:tcPr>
                  <w:tcW w:w="2163" w:type="pct"/>
                  <w:vAlign w:val="center"/>
                </w:tcPr>
                <w:p w14:paraId="21A34DBE">
                  <w:pPr>
                    <w:jc w:val="center"/>
                    <w:rPr>
                      <w:color w:val="auto"/>
                      <w:szCs w:val="21"/>
                      <w:highlight w:val="none"/>
                    </w:rPr>
                  </w:pPr>
                  <w:r>
                    <w:rPr>
                      <w:color w:val="auto"/>
                      <w:szCs w:val="21"/>
                      <w:highlight w:val="none"/>
                    </w:rPr>
                    <w:t>有事故应急救援预案、应急救援组织和人员，并配备必要的应急救援器材、设备</w:t>
                  </w:r>
                </w:p>
              </w:tc>
              <w:tc>
                <w:tcPr>
                  <w:tcW w:w="1810" w:type="pct"/>
                  <w:vAlign w:val="center"/>
                </w:tcPr>
                <w:p w14:paraId="1D0358E4">
                  <w:pPr>
                    <w:jc w:val="center"/>
                    <w:rPr>
                      <w:rFonts w:hint="eastAsia" w:eastAsia="宋体"/>
                      <w:color w:val="auto"/>
                      <w:szCs w:val="21"/>
                      <w:highlight w:val="none"/>
                      <w:lang w:eastAsia="zh-CN"/>
                    </w:rPr>
                  </w:pPr>
                  <w:r>
                    <w:rPr>
                      <w:color w:val="auto"/>
                      <w:szCs w:val="21"/>
                      <w:highlight w:val="none"/>
                    </w:rPr>
                    <w:t>项目有事故应急救援预案、应急救援组织和人员，并配备必要的应急救援器材、设备</w:t>
                  </w:r>
                  <w:r>
                    <w:rPr>
                      <w:rFonts w:hint="eastAsia"/>
                      <w:color w:val="auto"/>
                      <w:szCs w:val="21"/>
                      <w:highlight w:val="none"/>
                      <w:lang w:eastAsia="zh-CN"/>
                    </w:rPr>
                    <w:t>。</w:t>
                  </w:r>
                </w:p>
              </w:tc>
              <w:tc>
                <w:tcPr>
                  <w:tcW w:w="685" w:type="pct"/>
                  <w:vAlign w:val="center"/>
                </w:tcPr>
                <w:p w14:paraId="3A4CE679">
                  <w:pPr>
                    <w:jc w:val="center"/>
                    <w:rPr>
                      <w:color w:val="auto"/>
                      <w:szCs w:val="21"/>
                      <w:highlight w:val="none"/>
                    </w:rPr>
                  </w:pPr>
                  <w:r>
                    <w:rPr>
                      <w:color w:val="auto"/>
                      <w:szCs w:val="21"/>
                      <w:highlight w:val="none"/>
                    </w:rPr>
                    <w:t>符合</w:t>
                  </w:r>
                </w:p>
              </w:tc>
            </w:tr>
            <w:tr w14:paraId="34F4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23E22B2E">
                  <w:pPr>
                    <w:jc w:val="center"/>
                    <w:rPr>
                      <w:color w:val="auto"/>
                      <w:szCs w:val="21"/>
                      <w:highlight w:val="none"/>
                    </w:rPr>
                  </w:pPr>
                </w:p>
              </w:tc>
              <w:tc>
                <w:tcPr>
                  <w:tcW w:w="2163" w:type="pct"/>
                  <w:vAlign w:val="center"/>
                </w:tcPr>
                <w:p w14:paraId="62C259D9">
                  <w:pPr>
                    <w:jc w:val="center"/>
                    <w:rPr>
                      <w:color w:val="auto"/>
                      <w:szCs w:val="21"/>
                      <w:highlight w:val="none"/>
                    </w:rPr>
                  </w:pPr>
                  <w:r>
                    <w:rPr>
                      <w:color w:val="auto"/>
                      <w:szCs w:val="21"/>
                      <w:highlight w:val="none"/>
                    </w:rPr>
                    <w:t>申请从事烟花爆竹批发的企业应当向有关部门申请提交相关材料，核发《烟花爆竹经营（批发）许可证》</w:t>
                  </w:r>
                </w:p>
              </w:tc>
              <w:tc>
                <w:tcPr>
                  <w:tcW w:w="1810" w:type="pct"/>
                  <w:vAlign w:val="center"/>
                </w:tcPr>
                <w:p w14:paraId="7E1BCCDD">
                  <w:pPr>
                    <w:jc w:val="center"/>
                    <w:rPr>
                      <w:color w:val="auto"/>
                      <w:szCs w:val="21"/>
                      <w:highlight w:val="none"/>
                    </w:rPr>
                  </w:pPr>
                  <w:r>
                    <w:rPr>
                      <w:color w:val="auto"/>
                      <w:szCs w:val="21"/>
                      <w:highlight w:val="none"/>
                    </w:rPr>
                    <w:t>项目已获得《烟花爆竹经营（批发）许可证》（附件3）</w:t>
                  </w:r>
                </w:p>
              </w:tc>
              <w:tc>
                <w:tcPr>
                  <w:tcW w:w="685" w:type="pct"/>
                  <w:vAlign w:val="center"/>
                </w:tcPr>
                <w:p w14:paraId="578B4880">
                  <w:pPr>
                    <w:jc w:val="center"/>
                    <w:rPr>
                      <w:color w:val="auto"/>
                      <w:szCs w:val="21"/>
                      <w:highlight w:val="none"/>
                    </w:rPr>
                  </w:pPr>
                  <w:r>
                    <w:rPr>
                      <w:color w:val="auto"/>
                      <w:szCs w:val="21"/>
                      <w:highlight w:val="none"/>
                    </w:rPr>
                    <w:t>符合</w:t>
                  </w:r>
                </w:p>
              </w:tc>
            </w:tr>
            <w:tr w14:paraId="3B36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328CE9FE">
                  <w:pPr>
                    <w:jc w:val="center"/>
                    <w:rPr>
                      <w:color w:val="auto"/>
                      <w:szCs w:val="21"/>
                      <w:highlight w:val="none"/>
                    </w:rPr>
                  </w:pPr>
                </w:p>
              </w:tc>
              <w:tc>
                <w:tcPr>
                  <w:tcW w:w="2163" w:type="pct"/>
                  <w:vAlign w:val="center"/>
                </w:tcPr>
                <w:p w14:paraId="647A9364">
                  <w:pPr>
                    <w:jc w:val="center"/>
                    <w:rPr>
                      <w:color w:val="auto"/>
                      <w:szCs w:val="21"/>
                      <w:highlight w:val="none"/>
                    </w:rPr>
                  </w:pPr>
                  <w:r>
                    <w:rPr>
                      <w:color w:val="auto"/>
                      <w:szCs w:val="21"/>
                      <w:highlight w:val="none"/>
                    </w:rPr>
                    <w:t>从事烟花爆竹批发的企业，应当向生产烟花爆竹的企业采购烟花爆竹，向从事烟花爆竹零售的经营者供应烟花爆竹</w:t>
                  </w:r>
                </w:p>
              </w:tc>
              <w:tc>
                <w:tcPr>
                  <w:tcW w:w="1810" w:type="pct"/>
                  <w:vAlign w:val="center"/>
                </w:tcPr>
                <w:p w14:paraId="55403834">
                  <w:pPr>
                    <w:jc w:val="center"/>
                    <w:rPr>
                      <w:color w:val="auto"/>
                      <w:szCs w:val="21"/>
                      <w:highlight w:val="none"/>
                    </w:rPr>
                  </w:pPr>
                  <w:r>
                    <w:rPr>
                      <w:color w:val="auto"/>
                      <w:szCs w:val="21"/>
                      <w:highlight w:val="none"/>
                    </w:rPr>
                    <w:t>项目向生产烟花爆竹的企业采购烟花爆竹，向从事烟花爆竹零售的经营者供应烟花爆竹</w:t>
                  </w:r>
                </w:p>
              </w:tc>
              <w:tc>
                <w:tcPr>
                  <w:tcW w:w="685" w:type="pct"/>
                  <w:vAlign w:val="center"/>
                </w:tcPr>
                <w:p w14:paraId="0EFD2D2F">
                  <w:pPr>
                    <w:jc w:val="center"/>
                    <w:rPr>
                      <w:color w:val="auto"/>
                      <w:szCs w:val="21"/>
                      <w:highlight w:val="none"/>
                    </w:rPr>
                  </w:pPr>
                  <w:r>
                    <w:rPr>
                      <w:color w:val="auto"/>
                      <w:szCs w:val="21"/>
                      <w:highlight w:val="none"/>
                    </w:rPr>
                    <w:t>符合</w:t>
                  </w:r>
                </w:p>
              </w:tc>
            </w:tr>
            <w:tr w14:paraId="6BE9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672678E5">
                  <w:pPr>
                    <w:jc w:val="center"/>
                    <w:rPr>
                      <w:color w:val="auto"/>
                      <w:szCs w:val="21"/>
                      <w:highlight w:val="none"/>
                    </w:rPr>
                  </w:pPr>
                </w:p>
              </w:tc>
              <w:tc>
                <w:tcPr>
                  <w:tcW w:w="2163" w:type="pct"/>
                  <w:vAlign w:val="center"/>
                </w:tcPr>
                <w:p w14:paraId="517DF72C">
                  <w:pPr>
                    <w:jc w:val="center"/>
                    <w:rPr>
                      <w:color w:val="auto"/>
                      <w:szCs w:val="21"/>
                      <w:highlight w:val="none"/>
                    </w:rPr>
                  </w:pPr>
                  <w:r>
                    <w:rPr>
                      <w:color w:val="auto"/>
                      <w:szCs w:val="21"/>
                      <w:highlight w:val="none"/>
                    </w:rPr>
                    <w:t>从事烟花爆竹批发的企业、零售经营者不得采购和销售非法生产、经营的烟花爆竹</w:t>
                  </w:r>
                </w:p>
              </w:tc>
              <w:tc>
                <w:tcPr>
                  <w:tcW w:w="1810" w:type="pct"/>
                  <w:vAlign w:val="center"/>
                </w:tcPr>
                <w:p w14:paraId="036ACE12">
                  <w:pPr>
                    <w:jc w:val="center"/>
                    <w:rPr>
                      <w:color w:val="auto"/>
                      <w:szCs w:val="21"/>
                      <w:highlight w:val="none"/>
                    </w:rPr>
                  </w:pPr>
                  <w:r>
                    <w:rPr>
                      <w:color w:val="auto"/>
                      <w:szCs w:val="21"/>
                      <w:highlight w:val="none"/>
                    </w:rPr>
                    <w:t>项目从合法生产、经营的厂家浏阳市东方烟花制造厂采购</w:t>
                  </w:r>
                  <w:r>
                    <w:rPr>
                      <w:rFonts w:hint="eastAsia"/>
                      <w:color w:val="auto"/>
                      <w:szCs w:val="21"/>
                      <w:highlight w:val="none"/>
                      <w:lang w:eastAsia="zh-CN"/>
                    </w:rPr>
                    <w:t>烟花爆竹</w:t>
                  </w:r>
                  <w:r>
                    <w:rPr>
                      <w:color w:val="auto"/>
                      <w:szCs w:val="21"/>
                      <w:highlight w:val="none"/>
                    </w:rPr>
                    <w:t>（详见附件</w:t>
                  </w:r>
                  <w:r>
                    <w:rPr>
                      <w:rFonts w:hint="eastAsia"/>
                      <w:color w:val="auto"/>
                      <w:szCs w:val="21"/>
                      <w:highlight w:val="none"/>
                      <w:lang w:val="en-US" w:eastAsia="zh-CN"/>
                    </w:rPr>
                    <w:t>12</w:t>
                  </w:r>
                  <w:r>
                    <w:rPr>
                      <w:color w:val="auto"/>
                      <w:szCs w:val="21"/>
                      <w:highlight w:val="none"/>
                    </w:rPr>
                    <w:t>项目购销合同）</w:t>
                  </w:r>
                </w:p>
              </w:tc>
              <w:tc>
                <w:tcPr>
                  <w:tcW w:w="685" w:type="pct"/>
                  <w:vAlign w:val="center"/>
                </w:tcPr>
                <w:p w14:paraId="1EBAC891">
                  <w:pPr>
                    <w:jc w:val="center"/>
                    <w:rPr>
                      <w:color w:val="auto"/>
                      <w:szCs w:val="21"/>
                      <w:highlight w:val="none"/>
                    </w:rPr>
                  </w:pPr>
                  <w:r>
                    <w:rPr>
                      <w:color w:val="auto"/>
                      <w:szCs w:val="21"/>
                      <w:highlight w:val="none"/>
                    </w:rPr>
                    <w:t>符合</w:t>
                  </w:r>
                </w:p>
              </w:tc>
            </w:tr>
            <w:tr w14:paraId="6A47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6CFD933A">
                  <w:pPr>
                    <w:jc w:val="center"/>
                    <w:rPr>
                      <w:color w:val="auto"/>
                      <w:szCs w:val="21"/>
                      <w:highlight w:val="none"/>
                    </w:rPr>
                  </w:pPr>
                </w:p>
              </w:tc>
              <w:tc>
                <w:tcPr>
                  <w:tcW w:w="2163" w:type="pct"/>
                  <w:vAlign w:val="center"/>
                </w:tcPr>
                <w:p w14:paraId="3DC64A3E">
                  <w:pPr>
                    <w:jc w:val="center"/>
                    <w:rPr>
                      <w:color w:val="auto"/>
                      <w:szCs w:val="21"/>
                      <w:highlight w:val="none"/>
                    </w:rPr>
                  </w:pPr>
                  <w:r>
                    <w:rPr>
                      <w:color w:val="auto"/>
                      <w:szCs w:val="21"/>
                      <w:highlight w:val="none"/>
                    </w:rPr>
                    <w:t>从事烟花爆竹批发的企业，不得向从事烟花爆竹零售的经营者供应按照国家标准规定应由专业燃放人员燃放的烟花爆竹。</w:t>
                  </w:r>
                </w:p>
              </w:tc>
              <w:tc>
                <w:tcPr>
                  <w:tcW w:w="1810" w:type="pct"/>
                  <w:vAlign w:val="center"/>
                </w:tcPr>
                <w:p w14:paraId="163FC96B">
                  <w:pPr>
                    <w:jc w:val="center"/>
                    <w:rPr>
                      <w:rFonts w:hint="eastAsia" w:eastAsia="宋体"/>
                      <w:color w:val="auto"/>
                      <w:szCs w:val="21"/>
                      <w:highlight w:val="none"/>
                      <w:lang w:eastAsia="zh-CN"/>
                    </w:rPr>
                  </w:pPr>
                  <w:r>
                    <w:rPr>
                      <w:color w:val="auto"/>
                      <w:szCs w:val="21"/>
                      <w:highlight w:val="none"/>
                    </w:rPr>
                    <w:t>项目未供应按照国家标准规定应由专业燃放人员燃放的烟花爆竹</w:t>
                  </w:r>
                  <w:r>
                    <w:rPr>
                      <w:rFonts w:hint="eastAsia"/>
                      <w:color w:val="auto"/>
                      <w:szCs w:val="21"/>
                      <w:highlight w:val="none"/>
                      <w:lang w:eastAsia="zh-CN"/>
                    </w:rPr>
                    <w:t>。</w:t>
                  </w:r>
                </w:p>
              </w:tc>
              <w:tc>
                <w:tcPr>
                  <w:tcW w:w="685" w:type="pct"/>
                  <w:vAlign w:val="center"/>
                </w:tcPr>
                <w:p w14:paraId="55974EC1">
                  <w:pPr>
                    <w:jc w:val="center"/>
                    <w:rPr>
                      <w:color w:val="auto"/>
                      <w:szCs w:val="21"/>
                      <w:highlight w:val="none"/>
                    </w:rPr>
                  </w:pPr>
                  <w:r>
                    <w:rPr>
                      <w:color w:val="auto"/>
                      <w:szCs w:val="21"/>
                      <w:highlight w:val="none"/>
                    </w:rPr>
                    <w:t>符合</w:t>
                  </w:r>
                </w:p>
              </w:tc>
            </w:tr>
            <w:tr w14:paraId="2812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restart"/>
                  <w:vAlign w:val="center"/>
                </w:tcPr>
                <w:p w14:paraId="184DB341">
                  <w:pPr>
                    <w:jc w:val="center"/>
                    <w:rPr>
                      <w:color w:val="auto"/>
                      <w:szCs w:val="21"/>
                      <w:highlight w:val="none"/>
                    </w:rPr>
                  </w:pPr>
                  <w:r>
                    <w:rPr>
                      <w:color w:val="auto"/>
                      <w:szCs w:val="21"/>
                      <w:highlight w:val="none"/>
                    </w:rPr>
                    <w:t>运输安全方面</w:t>
                  </w:r>
                </w:p>
              </w:tc>
              <w:tc>
                <w:tcPr>
                  <w:tcW w:w="2163" w:type="pct"/>
                  <w:vAlign w:val="center"/>
                </w:tcPr>
                <w:p w14:paraId="13FB9B33">
                  <w:pPr>
                    <w:jc w:val="center"/>
                    <w:rPr>
                      <w:color w:val="auto"/>
                      <w:szCs w:val="21"/>
                      <w:highlight w:val="none"/>
                    </w:rPr>
                  </w:pPr>
                  <w:r>
                    <w:rPr>
                      <w:color w:val="auto"/>
                      <w:szCs w:val="21"/>
                      <w:highlight w:val="none"/>
                    </w:rPr>
                    <w:t>经由道路运输烟花爆竹的，应当经公安部门许可</w:t>
                  </w:r>
                </w:p>
              </w:tc>
              <w:tc>
                <w:tcPr>
                  <w:tcW w:w="1810" w:type="pct"/>
                  <w:vAlign w:val="center"/>
                </w:tcPr>
                <w:p w14:paraId="6581A0A4">
                  <w:pPr>
                    <w:jc w:val="center"/>
                    <w:rPr>
                      <w:rFonts w:hint="eastAsia" w:eastAsia="宋体"/>
                      <w:color w:val="auto"/>
                      <w:szCs w:val="21"/>
                      <w:highlight w:val="none"/>
                      <w:lang w:eastAsia="zh-CN"/>
                    </w:rPr>
                  </w:pPr>
                  <w:r>
                    <w:rPr>
                      <w:color w:val="auto"/>
                      <w:szCs w:val="21"/>
                      <w:highlight w:val="none"/>
                    </w:rPr>
                    <w:t>项目采用道路运输烟花爆竹的，已获得公安部门许可</w:t>
                  </w:r>
                  <w:r>
                    <w:rPr>
                      <w:rFonts w:hint="eastAsia"/>
                      <w:color w:val="auto"/>
                      <w:szCs w:val="21"/>
                      <w:highlight w:val="none"/>
                      <w:lang w:eastAsia="zh-CN"/>
                    </w:rPr>
                    <w:t>。</w:t>
                  </w:r>
                </w:p>
              </w:tc>
              <w:tc>
                <w:tcPr>
                  <w:tcW w:w="685" w:type="pct"/>
                  <w:vAlign w:val="center"/>
                </w:tcPr>
                <w:p w14:paraId="09C314AB">
                  <w:pPr>
                    <w:jc w:val="center"/>
                    <w:rPr>
                      <w:color w:val="auto"/>
                      <w:szCs w:val="21"/>
                      <w:highlight w:val="none"/>
                    </w:rPr>
                  </w:pPr>
                  <w:r>
                    <w:rPr>
                      <w:color w:val="auto"/>
                      <w:szCs w:val="21"/>
                      <w:highlight w:val="none"/>
                    </w:rPr>
                    <w:t>符合</w:t>
                  </w:r>
                </w:p>
              </w:tc>
            </w:tr>
            <w:tr w14:paraId="31BD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54FAB4D3">
                  <w:pPr>
                    <w:jc w:val="center"/>
                    <w:rPr>
                      <w:color w:val="auto"/>
                      <w:szCs w:val="21"/>
                      <w:highlight w:val="none"/>
                    </w:rPr>
                  </w:pPr>
                </w:p>
              </w:tc>
              <w:tc>
                <w:tcPr>
                  <w:tcW w:w="2163" w:type="pct"/>
                  <w:vAlign w:val="center"/>
                </w:tcPr>
                <w:p w14:paraId="068609DD">
                  <w:pPr>
                    <w:jc w:val="center"/>
                    <w:rPr>
                      <w:color w:val="auto"/>
                      <w:szCs w:val="21"/>
                      <w:highlight w:val="none"/>
                    </w:rPr>
                  </w:pPr>
                  <w:r>
                    <w:rPr>
                      <w:color w:val="auto"/>
                      <w:szCs w:val="21"/>
                      <w:highlight w:val="none"/>
                    </w:rPr>
                    <w:t>经由道路运输烟花爆竹的，托运人应当向运达地县级人民政府公安部门提出申请，并提交相关材料：承运人从事危险货物运输的资质证明；驾驶员、押运员从事危险货物运输的资格证明；危险货物运输车辆的道路运输证明；托运人从事烟花爆竹生产、经营的资质证明；烟花爆竹的购销合同及运输烟花爆竹的种类、规格、数量；）烟花爆竹的产品质量和包装合格证明；运输车辆牌号、运输时间、起始地点、行驶路线、经停地点。</w:t>
                  </w:r>
                </w:p>
              </w:tc>
              <w:tc>
                <w:tcPr>
                  <w:tcW w:w="1810" w:type="pct"/>
                  <w:vAlign w:val="center"/>
                </w:tcPr>
                <w:p w14:paraId="45BEE706">
                  <w:pPr>
                    <w:jc w:val="center"/>
                    <w:rPr>
                      <w:color w:val="auto"/>
                      <w:szCs w:val="21"/>
                      <w:highlight w:val="none"/>
                    </w:rPr>
                  </w:pPr>
                  <w:r>
                    <w:rPr>
                      <w:color w:val="auto"/>
                      <w:szCs w:val="21"/>
                      <w:highlight w:val="none"/>
                    </w:rPr>
                    <w:t>项目运营过程中由道路运输烟花爆竹，浏阳市东风烟花制造厂向运达地</w:t>
                  </w:r>
                  <w:r>
                    <w:rPr>
                      <w:rFonts w:hint="eastAsia"/>
                      <w:color w:val="auto"/>
                      <w:szCs w:val="21"/>
                      <w:highlight w:val="none"/>
                      <w:lang w:val="en-US" w:eastAsia="zh-CN"/>
                    </w:rPr>
                    <w:t>寻甸</w:t>
                  </w:r>
                  <w:r>
                    <w:rPr>
                      <w:color w:val="auto"/>
                      <w:szCs w:val="21"/>
                      <w:highlight w:val="none"/>
                    </w:rPr>
                    <w:t>县人民政府公安部门提出申请，并提交下列有关材料：承运人从事危险货物运输的资质证明；驾驶员、押运员从事危险货物运输的资格证明；危险货物运输车辆的道路运输证明；托运人从事烟花爆竹生产、经营的资质证明；烟花爆竹的购销合同及运输烟花爆竹的种类、规格、数量；）烟花爆竹的产品质量和包装合格证明；运输车辆牌号、运输时间、起始地点、行驶路线、经停地点。</w:t>
                  </w:r>
                </w:p>
              </w:tc>
              <w:tc>
                <w:tcPr>
                  <w:tcW w:w="685" w:type="pct"/>
                  <w:vAlign w:val="center"/>
                </w:tcPr>
                <w:p w14:paraId="2BFD3786">
                  <w:pPr>
                    <w:jc w:val="center"/>
                    <w:rPr>
                      <w:color w:val="auto"/>
                      <w:szCs w:val="21"/>
                      <w:highlight w:val="none"/>
                    </w:rPr>
                  </w:pPr>
                  <w:r>
                    <w:rPr>
                      <w:color w:val="auto"/>
                      <w:szCs w:val="21"/>
                      <w:highlight w:val="none"/>
                    </w:rPr>
                    <w:t>符合</w:t>
                  </w:r>
                </w:p>
              </w:tc>
            </w:tr>
            <w:tr w14:paraId="6D57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30126192">
                  <w:pPr>
                    <w:jc w:val="center"/>
                    <w:rPr>
                      <w:color w:val="auto"/>
                      <w:szCs w:val="21"/>
                      <w:highlight w:val="none"/>
                    </w:rPr>
                  </w:pPr>
                </w:p>
              </w:tc>
              <w:tc>
                <w:tcPr>
                  <w:tcW w:w="2163" w:type="pct"/>
                  <w:vAlign w:val="center"/>
                </w:tcPr>
                <w:p w14:paraId="2BF55296">
                  <w:pPr>
                    <w:jc w:val="center"/>
                    <w:rPr>
                      <w:color w:val="auto"/>
                      <w:szCs w:val="21"/>
                      <w:highlight w:val="none"/>
                    </w:rPr>
                  </w:pPr>
                  <w:r>
                    <w:rPr>
                      <w:color w:val="auto"/>
                      <w:szCs w:val="21"/>
                      <w:highlight w:val="none"/>
                    </w:rPr>
                    <w:t>受理申请的公安部门应当自受理申请之日起3日内对提交的有关材料进行审查，对符合条件的，核发《烟花爆竹道路运输许可证》；对不符合条件的，应当说明理由。</w:t>
                  </w:r>
                </w:p>
              </w:tc>
              <w:tc>
                <w:tcPr>
                  <w:tcW w:w="1810" w:type="pct"/>
                  <w:vAlign w:val="center"/>
                </w:tcPr>
                <w:p w14:paraId="6F795080">
                  <w:pPr>
                    <w:jc w:val="center"/>
                    <w:rPr>
                      <w:color w:val="auto"/>
                      <w:szCs w:val="21"/>
                      <w:highlight w:val="none"/>
                    </w:rPr>
                  </w:pPr>
                  <w:r>
                    <w:rPr>
                      <w:color w:val="auto"/>
                      <w:szCs w:val="21"/>
                      <w:highlight w:val="none"/>
                    </w:rPr>
                    <w:t>项目运营期间受理申请的公安部门应当自受理申请之日起3日内对提交的有关材料进行审查，对符合条件的，核发《烟花爆竹道路运输许可证》</w:t>
                  </w:r>
                </w:p>
              </w:tc>
              <w:tc>
                <w:tcPr>
                  <w:tcW w:w="685" w:type="pct"/>
                  <w:vAlign w:val="center"/>
                </w:tcPr>
                <w:p w14:paraId="156767F1">
                  <w:pPr>
                    <w:jc w:val="center"/>
                    <w:rPr>
                      <w:color w:val="auto"/>
                      <w:szCs w:val="21"/>
                      <w:highlight w:val="none"/>
                    </w:rPr>
                  </w:pPr>
                  <w:r>
                    <w:rPr>
                      <w:color w:val="auto"/>
                      <w:szCs w:val="21"/>
                      <w:highlight w:val="none"/>
                    </w:rPr>
                    <w:t>符合</w:t>
                  </w:r>
                </w:p>
              </w:tc>
            </w:tr>
            <w:tr w14:paraId="1AC4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1EA733D8">
                  <w:pPr>
                    <w:jc w:val="center"/>
                    <w:rPr>
                      <w:color w:val="auto"/>
                      <w:szCs w:val="21"/>
                      <w:highlight w:val="none"/>
                    </w:rPr>
                  </w:pPr>
                </w:p>
              </w:tc>
              <w:tc>
                <w:tcPr>
                  <w:tcW w:w="2163" w:type="pct"/>
                  <w:vAlign w:val="center"/>
                </w:tcPr>
                <w:p w14:paraId="77E0BBA4">
                  <w:pPr>
                    <w:jc w:val="center"/>
                    <w:rPr>
                      <w:color w:val="auto"/>
                      <w:szCs w:val="21"/>
                      <w:highlight w:val="none"/>
                    </w:rPr>
                  </w:pPr>
                  <w:r>
                    <w:rPr>
                      <w:color w:val="auto"/>
                      <w:szCs w:val="21"/>
                      <w:highlight w:val="none"/>
                    </w:rPr>
                    <w:t>经由道路运输烟花爆竹的，除应当遵守《中华人民共和国道路交通安全法》外，还应当遵守下列规定：随车携带《烟花爆竹道路运输许可证》；不得违反运输许可事项；运输车辆悬挂或者安装符合国家标准的易燃易爆危险物品警示标志；烟花爆竹的装载符合国家有关标准和规范；装载烟花爆竹的车厢不得载人；运输车辆限速行驶，途中经停必须有专人看守；出现危险情况立即采取必要的措施，并报告当地公安部门。</w:t>
                  </w:r>
                </w:p>
              </w:tc>
              <w:tc>
                <w:tcPr>
                  <w:tcW w:w="1810" w:type="pct"/>
                  <w:vAlign w:val="center"/>
                </w:tcPr>
                <w:p w14:paraId="703BE57E">
                  <w:pPr>
                    <w:jc w:val="center"/>
                    <w:rPr>
                      <w:color w:val="auto"/>
                      <w:szCs w:val="21"/>
                      <w:highlight w:val="none"/>
                    </w:rPr>
                  </w:pPr>
                  <w:r>
                    <w:rPr>
                      <w:color w:val="auto"/>
                      <w:szCs w:val="21"/>
                      <w:highlight w:val="none"/>
                    </w:rPr>
                    <w:t>项目在运营过程中由道路运输烟花爆竹的，严格遵守《中华人民共和国道路交通安全法》外，严格遵守下列规定：随车携带《烟花爆竹道路运输许可证》；不做违反运输许可事项；运输车辆悬挂或者安装符合国家标准的易燃易爆危险物品警示标志；烟花爆竹的装载符合国家有关标准和规范；装载烟花爆竹的车厢不得载人；运输车辆限速行驶，途中经停必须有专人看守；出现危险情况立即采取必要的措施，并报告当地公安部门。</w:t>
                  </w:r>
                </w:p>
              </w:tc>
              <w:tc>
                <w:tcPr>
                  <w:tcW w:w="685" w:type="pct"/>
                  <w:vAlign w:val="center"/>
                </w:tcPr>
                <w:p w14:paraId="26C979CB">
                  <w:pPr>
                    <w:jc w:val="center"/>
                    <w:rPr>
                      <w:color w:val="auto"/>
                      <w:szCs w:val="21"/>
                      <w:highlight w:val="none"/>
                    </w:rPr>
                  </w:pPr>
                  <w:r>
                    <w:rPr>
                      <w:color w:val="auto"/>
                      <w:szCs w:val="21"/>
                      <w:highlight w:val="none"/>
                    </w:rPr>
                    <w:t>符合</w:t>
                  </w:r>
                </w:p>
              </w:tc>
            </w:tr>
            <w:tr w14:paraId="11B5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Merge w:val="continue"/>
                  <w:vAlign w:val="center"/>
                </w:tcPr>
                <w:p w14:paraId="2A5116EC">
                  <w:pPr>
                    <w:jc w:val="center"/>
                    <w:rPr>
                      <w:color w:val="auto"/>
                      <w:szCs w:val="21"/>
                      <w:highlight w:val="none"/>
                    </w:rPr>
                  </w:pPr>
                </w:p>
              </w:tc>
              <w:tc>
                <w:tcPr>
                  <w:tcW w:w="2163" w:type="pct"/>
                  <w:vAlign w:val="center"/>
                </w:tcPr>
                <w:p w14:paraId="3FA7360A">
                  <w:pPr>
                    <w:jc w:val="center"/>
                    <w:rPr>
                      <w:color w:val="auto"/>
                      <w:szCs w:val="21"/>
                      <w:highlight w:val="none"/>
                    </w:rPr>
                  </w:pPr>
                  <w:r>
                    <w:rPr>
                      <w:color w:val="auto"/>
                      <w:szCs w:val="21"/>
                      <w:highlight w:val="none"/>
                    </w:rPr>
                    <w:t>烟花爆竹运达目的地后，收货人应当在3日内将《烟花爆竹道路运输许可证》交回发证机关核销。</w:t>
                  </w:r>
                </w:p>
              </w:tc>
              <w:tc>
                <w:tcPr>
                  <w:tcW w:w="1810" w:type="pct"/>
                  <w:vAlign w:val="center"/>
                </w:tcPr>
                <w:p w14:paraId="2A4C09A4">
                  <w:pPr>
                    <w:jc w:val="center"/>
                    <w:rPr>
                      <w:color w:val="auto"/>
                      <w:szCs w:val="21"/>
                      <w:highlight w:val="none"/>
                    </w:rPr>
                  </w:pPr>
                  <w:r>
                    <w:rPr>
                      <w:color w:val="auto"/>
                      <w:szCs w:val="21"/>
                      <w:highlight w:val="none"/>
                    </w:rPr>
                    <w:t>项目烟花爆竹运达目的地后，收货人在3日内将《烟花爆竹道路运输许可证》交回发证机关核销。</w:t>
                  </w:r>
                </w:p>
              </w:tc>
              <w:tc>
                <w:tcPr>
                  <w:tcW w:w="685" w:type="pct"/>
                  <w:vAlign w:val="center"/>
                </w:tcPr>
                <w:p w14:paraId="702BED3B">
                  <w:pPr>
                    <w:jc w:val="center"/>
                    <w:rPr>
                      <w:color w:val="auto"/>
                      <w:szCs w:val="21"/>
                      <w:highlight w:val="none"/>
                    </w:rPr>
                  </w:pPr>
                  <w:r>
                    <w:rPr>
                      <w:color w:val="auto"/>
                      <w:szCs w:val="21"/>
                      <w:highlight w:val="none"/>
                    </w:rPr>
                    <w:t>符合</w:t>
                  </w:r>
                </w:p>
              </w:tc>
            </w:tr>
          </w:tbl>
          <w:p w14:paraId="27682CD7">
            <w:pPr>
              <w:spacing w:line="360" w:lineRule="auto"/>
              <w:ind w:firstLine="420" w:firstLineChars="200"/>
              <w:rPr>
                <w:color w:val="auto"/>
                <w:szCs w:val="21"/>
                <w:highlight w:val="none"/>
              </w:rPr>
            </w:pPr>
            <w:r>
              <w:rPr>
                <w:color w:val="auto"/>
                <w:szCs w:val="21"/>
                <w:highlight w:val="none"/>
              </w:rPr>
              <w:t>综上所述，项目运营期符合烟花爆竹安全管理条例。</w:t>
            </w:r>
          </w:p>
          <w:p w14:paraId="53FA6683">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7</w:t>
            </w:r>
            <w:r>
              <w:rPr>
                <w:rFonts w:hint="eastAsia"/>
                <w:b/>
                <w:bCs/>
                <w:color w:val="auto"/>
                <w:sz w:val="24"/>
                <w:szCs w:val="24"/>
                <w:highlight w:val="none"/>
              </w:rPr>
              <w:t>.</w:t>
            </w:r>
            <w:r>
              <w:rPr>
                <w:b/>
                <w:bCs/>
                <w:color w:val="auto"/>
                <w:sz w:val="24"/>
                <w:szCs w:val="24"/>
                <w:highlight w:val="none"/>
              </w:rPr>
              <w:t>与《烟花爆竹工程设计安全规范》(GB50161-20</w:t>
            </w:r>
            <w:r>
              <w:rPr>
                <w:rFonts w:hint="eastAsia"/>
                <w:b/>
                <w:bCs/>
                <w:color w:val="auto"/>
                <w:sz w:val="24"/>
                <w:szCs w:val="24"/>
                <w:highlight w:val="none"/>
                <w:lang w:val="en-US" w:eastAsia="zh-CN"/>
              </w:rPr>
              <w:t>22</w:t>
            </w:r>
            <w:r>
              <w:rPr>
                <w:b/>
                <w:bCs/>
                <w:color w:val="auto"/>
                <w:sz w:val="24"/>
                <w:szCs w:val="24"/>
                <w:highlight w:val="none"/>
              </w:rPr>
              <w:t>)的符合性分析</w:t>
            </w:r>
          </w:p>
          <w:p w14:paraId="245C2C08">
            <w:pPr>
              <w:spacing w:line="360" w:lineRule="auto"/>
              <w:ind w:firstLine="480" w:firstLineChars="200"/>
              <w:rPr>
                <w:color w:val="auto"/>
                <w:sz w:val="24"/>
                <w:szCs w:val="24"/>
                <w:highlight w:val="none"/>
              </w:rPr>
            </w:pPr>
            <w:bookmarkStart w:id="5" w:name="_Toc19003"/>
            <w:bookmarkStart w:id="6" w:name="_Toc18159"/>
            <w:r>
              <w:rPr>
                <w:rFonts w:hint="eastAsia"/>
                <w:color w:val="auto"/>
                <w:sz w:val="24"/>
                <w:szCs w:val="24"/>
                <w:highlight w:val="none"/>
                <w:lang w:val="en-US" w:eastAsia="zh-CN"/>
              </w:rPr>
              <w:t>扩建</w:t>
            </w:r>
            <w:r>
              <w:rPr>
                <w:color w:val="auto"/>
                <w:sz w:val="24"/>
                <w:szCs w:val="24"/>
                <w:highlight w:val="none"/>
              </w:rPr>
              <w:t>仓库所在地地质条件稳定、安全；周围无学校、铁路，距以其末村、零散居住建筑物为</w:t>
            </w:r>
            <w:r>
              <w:rPr>
                <w:rFonts w:hint="eastAsia"/>
                <w:color w:val="auto"/>
                <w:sz w:val="24"/>
                <w:szCs w:val="24"/>
                <w:highlight w:val="none"/>
                <w:lang w:val="en-US" w:eastAsia="zh-CN"/>
              </w:rPr>
              <w:t>32</w:t>
            </w:r>
            <w:r>
              <w:rPr>
                <w:color w:val="auto"/>
                <w:sz w:val="24"/>
                <w:szCs w:val="24"/>
                <w:highlight w:val="none"/>
              </w:rPr>
              <w:t>0米以上，大于规范要求，场所较偏僻；</w:t>
            </w:r>
            <w:r>
              <w:rPr>
                <w:rFonts w:hint="eastAsia"/>
                <w:color w:val="auto"/>
                <w:sz w:val="24"/>
                <w:szCs w:val="24"/>
                <w:highlight w:val="none"/>
                <w:lang w:val="en-US" w:eastAsia="zh-CN"/>
              </w:rPr>
              <w:t>地块一1.3级</w:t>
            </w:r>
            <w:r>
              <w:rPr>
                <w:color w:val="auto"/>
                <w:sz w:val="24"/>
                <w:szCs w:val="24"/>
                <w:highlight w:val="none"/>
              </w:rPr>
              <w:t>库区周围设置密砌围墙，设置高度为2.2米；距离仓库四周5m内设有防火隔离带，</w:t>
            </w:r>
            <w:r>
              <w:rPr>
                <w:rFonts w:hint="eastAsia"/>
                <w:color w:val="auto"/>
                <w:sz w:val="24"/>
                <w:szCs w:val="24"/>
                <w:highlight w:val="none"/>
                <w:lang w:val="en-US" w:eastAsia="zh-CN"/>
              </w:rPr>
              <w:t>地块二1.1</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级</w:t>
            </w:r>
            <w:r>
              <w:rPr>
                <w:color w:val="auto"/>
                <w:sz w:val="24"/>
                <w:szCs w:val="24"/>
                <w:highlight w:val="none"/>
              </w:rPr>
              <w:t>烟花爆竹存</w:t>
            </w:r>
            <w:r>
              <w:rPr>
                <w:color w:val="auto"/>
                <w:sz w:val="24"/>
                <w:szCs w:val="24"/>
                <w:highlight w:val="none"/>
                <w:lang w:val="zh-CN"/>
              </w:rPr>
              <w:t>储</w:t>
            </w:r>
            <w:r>
              <w:rPr>
                <w:color w:val="auto"/>
                <w:sz w:val="24"/>
                <w:szCs w:val="24"/>
                <w:highlight w:val="none"/>
              </w:rPr>
              <w:t>仓库</w:t>
            </w:r>
            <w:r>
              <w:rPr>
                <w:rFonts w:hint="eastAsia"/>
                <w:color w:val="auto"/>
                <w:sz w:val="24"/>
                <w:szCs w:val="24"/>
                <w:highlight w:val="none"/>
                <w:lang w:val="en-US" w:eastAsia="zh-CN"/>
              </w:rPr>
              <w:t>采用防护土堤作为防护屏障，底部宽度12m，顶部宽度1m，高9.35m，长度为150.66m，北侧、南侧、东侧底部距仓库3m，西侧距仓库6m，开口位于仓库西南侧，开口宽度4m。</w:t>
            </w:r>
            <w:r>
              <w:rPr>
                <w:color w:val="auto"/>
                <w:sz w:val="24"/>
                <w:szCs w:val="24"/>
                <w:highlight w:val="none"/>
              </w:rPr>
              <w:t>符合《烟花爆竹工程设计安全规范》的规定，库区与库区外进场道路相一致，满足交通运输的需要；满足雨水排放的要求，并不受雨季洪水的影响；利用自然地形，尽量做到土方平衡。</w:t>
            </w:r>
            <w:r>
              <w:rPr>
                <w:rFonts w:hint="eastAsia"/>
                <w:color w:val="auto"/>
                <w:sz w:val="24"/>
                <w:szCs w:val="24"/>
                <w:highlight w:val="none"/>
                <w:lang w:val="en-US" w:eastAsia="zh-CN"/>
              </w:rPr>
              <w:t>地块一</w:t>
            </w:r>
            <w:r>
              <w:rPr>
                <w:color w:val="auto"/>
                <w:sz w:val="24"/>
                <w:szCs w:val="24"/>
                <w:highlight w:val="none"/>
              </w:rPr>
              <w:t>仓库区</w:t>
            </w:r>
            <w:r>
              <w:rPr>
                <w:rFonts w:hint="eastAsia"/>
                <w:color w:val="auto"/>
                <w:sz w:val="24"/>
                <w:szCs w:val="24"/>
                <w:highlight w:val="none"/>
                <w:lang w:val="en-US" w:eastAsia="zh-CN"/>
              </w:rPr>
              <w:t>扩</w:t>
            </w:r>
            <w:r>
              <w:rPr>
                <w:color w:val="auto"/>
                <w:sz w:val="24"/>
                <w:szCs w:val="24"/>
                <w:highlight w:val="none"/>
              </w:rPr>
              <w:t>建</w:t>
            </w:r>
            <w:r>
              <w:rPr>
                <w:rFonts w:hint="eastAsia"/>
                <w:color w:val="auto"/>
                <w:sz w:val="24"/>
                <w:szCs w:val="24"/>
                <w:highlight w:val="none"/>
                <w:lang w:val="en-US" w:eastAsia="zh-CN"/>
              </w:rPr>
              <w:t>2</w:t>
            </w:r>
            <w:r>
              <w:rPr>
                <w:color w:val="auto"/>
                <w:sz w:val="24"/>
                <w:szCs w:val="24"/>
                <w:highlight w:val="none"/>
              </w:rPr>
              <w:t>栋1.3级仓库和</w:t>
            </w:r>
            <w:r>
              <w:rPr>
                <w:rFonts w:hint="eastAsia"/>
                <w:color w:val="auto"/>
                <w:sz w:val="24"/>
                <w:szCs w:val="24"/>
                <w:highlight w:val="none"/>
                <w:lang w:val="en-US" w:eastAsia="zh-CN"/>
              </w:rPr>
              <w:t>1</w:t>
            </w:r>
            <w:r>
              <w:rPr>
                <w:color w:val="auto"/>
                <w:sz w:val="24"/>
                <w:szCs w:val="24"/>
                <w:highlight w:val="none"/>
              </w:rPr>
              <w:t>个</w:t>
            </w:r>
            <w:r>
              <w:rPr>
                <w:rFonts w:hint="eastAsia"/>
                <w:color w:val="auto"/>
                <w:sz w:val="24"/>
                <w:szCs w:val="24"/>
                <w:highlight w:val="none"/>
                <w:lang w:val="en-US" w:eastAsia="zh-CN"/>
              </w:rPr>
              <w:t>事故</w:t>
            </w:r>
            <w:r>
              <w:rPr>
                <w:color w:val="auto"/>
                <w:sz w:val="24"/>
                <w:szCs w:val="24"/>
                <w:highlight w:val="none"/>
              </w:rPr>
              <w:t>池。</w:t>
            </w:r>
            <w:r>
              <w:rPr>
                <w:rFonts w:hint="eastAsia"/>
                <w:color w:val="auto"/>
                <w:sz w:val="24"/>
                <w:szCs w:val="24"/>
                <w:highlight w:val="none"/>
                <w:lang w:val="en-US" w:eastAsia="zh-CN"/>
              </w:rPr>
              <w:t>地块二建设1栋1.1</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级</w:t>
            </w:r>
            <w:r>
              <w:rPr>
                <w:color w:val="auto"/>
                <w:sz w:val="24"/>
                <w:szCs w:val="24"/>
                <w:highlight w:val="none"/>
              </w:rPr>
              <w:t>仓库和</w:t>
            </w:r>
            <w:r>
              <w:rPr>
                <w:rFonts w:hint="eastAsia"/>
                <w:color w:val="auto"/>
                <w:sz w:val="24"/>
                <w:szCs w:val="24"/>
                <w:highlight w:val="none"/>
                <w:lang w:val="en-US" w:eastAsia="zh-CN"/>
              </w:rPr>
              <w:t>1</w:t>
            </w:r>
            <w:r>
              <w:rPr>
                <w:color w:val="auto"/>
                <w:sz w:val="24"/>
                <w:szCs w:val="24"/>
                <w:highlight w:val="none"/>
              </w:rPr>
              <w:t>个</w:t>
            </w:r>
            <w:r>
              <w:rPr>
                <w:rFonts w:hint="eastAsia"/>
                <w:color w:val="auto"/>
                <w:sz w:val="24"/>
                <w:szCs w:val="24"/>
                <w:highlight w:val="none"/>
                <w:lang w:val="en-US" w:eastAsia="zh-CN"/>
              </w:rPr>
              <w:t>消防水池，1个事故</w:t>
            </w:r>
            <w:r>
              <w:rPr>
                <w:color w:val="auto"/>
                <w:sz w:val="24"/>
                <w:szCs w:val="24"/>
                <w:highlight w:val="none"/>
              </w:rPr>
              <w:t>池</w:t>
            </w:r>
            <w:r>
              <w:rPr>
                <w:rFonts w:hint="eastAsia"/>
                <w:color w:val="auto"/>
                <w:sz w:val="24"/>
                <w:szCs w:val="24"/>
                <w:highlight w:val="none"/>
                <w:lang w:val="en-US" w:eastAsia="zh-CN"/>
              </w:rPr>
              <w:t>和值班宿舍</w:t>
            </w:r>
            <w:r>
              <w:rPr>
                <w:rFonts w:hint="eastAsia"/>
                <w:color w:val="auto"/>
                <w:sz w:val="24"/>
                <w:szCs w:val="24"/>
                <w:highlight w:val="none"/>
                <w:lang w:eastAsia="zh-CN"/>
              </w:rPr>
              <w:t>，</w:t>
            </w:r>
            <w:r>
              <w:rPr>
                <w:rFonts w:hint="eastAsia"/>
                <w:color w:val="auto"/>
                <w:sz w:val="24"/>
                <w:szCs w:val="24"/>
                <w:highlight w:val="none"/>
                <w:lang w:val="en-US" w:eastAsia="zh-CN"/>
              </w:rPr>
              <w:t>地块三建设1栋展厅和1栋辅助用房。</w:t>
            </w:r>
            <w:r>
              <w:rPr>
                <w:color w:val="auto"/>
                <w:sz w:val="24"/>
                <w:szCs w:val="24"/>
                <w:highlight w:val="none"/>
              </w:rPr>
              <w:t>项目总平面布置见附图</w:t>
            </w:r>
            <w:r>
              <w:rPr>
                <w:rFonts w:hint="eastAsia"/>
                <w:color w:val="auto"/>
                <w:sz w:val="24"/>
                <w:szCs w:val="24"/>
                <w:highlight w:val="none"/>
                <w:lang w:val="en-US" w:eastAsia="zh-CN"/>
              </w:rPr>
              <w:t>4</w:t>
            </w:r>
            <w:r>
              <w:rPr>
                <w:color w:val="auto"/>
                <w:sz w:val="24"/>
                <w:szCs w:val="24"/>
                <w:highlight w:val="none"/>
              </w:rPr>
              <w:t>。</w:t>
            </w:r>
            <w:bookmarkEnd w:id="5"/>
            <w:bookmarkEnd w:id="6"/>
          </w:p>
          <w:p w14:paraId="6C55E5DE">
            <w:pPr>
              <w:spacing w:line="360" w:lineRule="auto"/>
              <w:ind w:firstLine="480" w:firstLineChars="200"/>
              <w:rPr>
                <w:color w:val="auto"/>
                <w:sz w:val="24"/>
                <w:szCs w:val="24"/>
                <w:highlight w:val="none"/>
              </w:rPr>
            </w:pPr>
            <w:r>
              <w:rPr>
                <w:color w:val="auto"/>
                <w:sz w:val="24"/>
                <w:szCs w:val="24"/>
                <w:highlight w:val="none"/>
              </w:rPr>
              <w:t>根据《烟花爆竹工程设计安全规范》(GB50161-20</w:t>
            </w:r>
            <w:r>
              <w:rPr>
                <w:rFonts w:hint="eastAsia"/>
                <w:color w:val="auto"/>
                <w:sz w:val="24"/>
                <w:szCs w:val="24"/>
                <w:highlight w:val="none"/>
                <w:lang w:val="en-US" w:eastAsia="zh-CN"/>
              </w:rPr>
              <w:t>22</w:t>
            </w:r>
            <w:r>
              <w:rPr>
                <w:color w:val="auto"/>
                <w:sz w:val="24"/>
                <w:szCs w:val="24"/>
                <w:highlight w:val="none"/>
              </w:rPr>
              <w:t>)4.3.3危险品总仓库区1.3级</w:t>
            </w:r>
            <w:r>
              <w:rPr>
                <w:rFonts w:hint="eastAsia"/>
                <w:color w:val="auto"/>
                <w:sz w:val="24"/>
                <w:szCs w:val="24"/>
                <w:highlight w:val="none"/>
                <w:lang w:val="en-US" w:eastAsia="zh-CN"/>
              </w:rPr>
              <w:t>和1.1级</w:t>
            </w:r>
            <w:r>
              <w:rPr>
                <w:color w:val="auto"/>
                <w:sz w:val="24"/>
                <w:szCs w:val="24"/>
                <w:highlight w:val="none"/>
              </w:rPr>
              <w:t>仓库的外部最小允许距离（m）的相关要求，危险品仓库选址的外部距离检查情况如下表所示。</w:t>
            </w:r>
          </w:p>
          <w:p w14:paraId="2FA63148">
            <w:pPr>
              <w:spacing w:line="360" w:lineRule="auto"/>
              <w:jc w:val="center"/>
              <w:rPr>
                <w:color w:val="auto"/>
                <w:highlight w:val="none"/>
              </w:rPr>
            </w:pPr>
            <w:bookmarkStart w:id="7" w:name="_Toc29848"/>
            <w:bookmarkStart w:id="8" w:name="_Toc30824"/>
            <w:r>
              <w:rPr>
                <w:b/>
                <w:bCs/>
                <w:color w:val="auto"/>
                <w:szCs w:val="21"/>
                <w:highlight w:val="none"/>
              </w:rPr>
              <w:t>表1-4  危险品仓库区主要危险性建筑物外部距离核算明细表</w:t>
            </w:r>
            <w:bookmarkEnd w:id="7"/>
            <w:bookmarkEnd w:id="8"/>
          </w:p>
          <w:tbl>
            <w:tblPr>
              <w:tblStyle w:val="60"/>
              <w:tblW w:w="68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1"/>
              <w:gridCol w:w="228"/>
              <w:gridCol w:w="654"/>
              <w:gridCol w:w="273"/>
              <w:gridCol w:w="1963"/>
              <w:gridCol w:w="749"/>
              <w:gridCol w:w="841"/>
              <w:gridCol w:w="1604"/>
              <w:gridCol w:w="363"/>
            </w:tblGrid>
            <w:tr w14:paraId="3463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tcBorders>
                    <w:tl2br w:val="nil"/>
                    <w:tr2bl w:val="nil"/>
                  </w:tcBorders>
                  <w:vAlign w:val="center"/>
                </w:tcPr>
                <w:p w14:paraId="0651B5A2">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pacing w:val="0"/>
                      <w:sz w:val="21"/>
                      <w:szCs w:val="21"/>
                      <w:highlight w:val="none"/>
                      <w:lang w:val="en-US" w:eastAsia="zh-CN"/>
                    </w:rPr>
                  </w:pPr>
                  <w:bookmarkStart w:id="9" w:name="_Toc5809"/>
                  <w:bookmarkStart w:id="10" w:name="_Toc2148"/>
                  <w:r>
                    <w:rPr>
                      <w:rFonts w:hint="default" w:ascii="Times New Roman" w:hAnsi="Times New Roman" w:cs="Times New Roman"/>
                      <w:b/>
                      <w:bCs/>
                      <w:color w:val="auto"/>
                      <w:spacing w:val="0"/>
                      <w:sz w:val="21"/>
                      <w:szCs w:val="21"/>
                      <w:highlight w:val="none"/>
                      <w:lang w:val="en-US" w:eastAsia="zh-CN"/>
                    </w:rPr>
                    <w:t>地块</w:t>
                  </w:r>
                </w:p>
              </w:tc>
              <w:tc>
                <w:tcPr>
                  <w:tcW w:w="165" w:type="pct"/>
                  <w:tcBorders>
                    <w:tl2br w:val="nil"/>
                    <w:tr2bl w:val="nil"/>
                  </w:tcBorders>
                  <w:vAlign w:val="center"/>
                </w:tcPr>
                <w:p w14:paraId="76B55451">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仓库</w:t>
                  </w:r>
                </w:p>
              </w:tc>
              <w:tc>
                <w:tcPr>
                  <w:tcW w:w="474" w:type="pct"/>
                  <w:tcBorders>
                    <w:tl2br w:val="nil"/>
                    <w:tr2bl w:val="nil"/>
                  </w:tcBorders>
                  <w:vAlign w:val="center"/>
                </w:tcPr>
                <w:p w14:paraId="1EDE045E">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计算药量（</w:t>
                  </w:r>
                  <w:r>
                    <w:rPr>
                      <w:rFonts w:hint="default" w:ascii="Times New Roman" w:hAnsi="Times New Roman" w:eastAsia="Times New Roman" w:cs="Times New Roman"/>
                      <w:b/>
                      <w:bCs/>
                      <w:color w:val="auto"/>
                      <w:spacing w:val="0"/>
                      <w:sz w:val="21"/>
                      <w:szCs w:val="21"/>
                      <w:highlight w:val="none"/>
                    </w:rPr>
                    <w:t>kg</w:t>
                  </w:r>
                  <w:r>
                    <w:rPr>
                      <w:rFonts w:hint="default" w:ascii="Times New Roman" w:hAnsi="Times New Roman" w:cs="Times New Roman"/>
                      <w:b/>
                      <w:bCs/>
                      <w:color w:val="auto"/>
                      <w:spacing w:val="0"/>
                      <w:sz w:val="21"/>
                      <w:szCs w:val="21"/>
                      <w:highlight w:val="none"/>
                    </w:rPr>
                    <w:t>）</w:t>
                  </w:r>
                </w:p>
              </w:tc>
              <w:tc>
                <w:tcPr>
                  <w:tcW w:w="197" w:type="pct"/>
                  <w:tcBorders>
                    <w:tl2br w:val="nil"/>
                    <w:tr2bl w:val="nil"/>
                  </w:tcBorders>
                  <w:vAlign w:val="center"/>
                </w:tcPr>
                <w:p w14:paraId="711CC60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危险等级</w:t>
                  </w:r>
                </w:p>
              </w:tc>
              <w:tc>
                <w:tcPr>
                  <w:tcW w:w="1423" w:type="pct"/>
                  <w:tcBorders>
                    <w:tl2br w:val="nil"/>
                    <w:tr2bl w:val="nil"/>
                  </w:tcBorders>
                  <w:vAlign w:val="center"/>
                </w:tcPr>
                <w:p w14:paraId="7AAE6F9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项目</w:t>
                  </w:r>
                </w:p>
              </w:tc>
              <w:tc>
                <w:tcPr>
                  <w:tcW w:w="543" w:type="pct"/>
                  <w:tcBorders>
                    <w:tl2br w:val="nil"/>
                    <w:tr2bl w:val="nil"/>
                  </w:tcBorders>
                  <w:vAlign w:val="center"/>
                </w:tcPr>
                <w:p w14:paraId="0E1C9B0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rPr>
                    <w:t>规范规定距离</w:t>
                  </w:r>
                  <w:r>
                    <w:rPr>
                      <w:rFonts w:hint="eastAsia" w:ascii="Times New Roman" w:hAnsi="Times New Roman" w:cs="Times New Roman"/>
                      <w:b/>
                      <w:bCs/>
                      <w:color w:val="auto"/>
                      <w:spacing w:val="0"/>
                      <w:sz w:val="21"/>
                      <w:szCs w:val="21"/>
                      <w:highlight w:val="none"/>
                      <w:lang w:val="en-US" w:eastAsia="zh-CN"/>
                    </w:rPr>
                    <w:t>m</w:t>
                  </w:r>
                </w:p>
              </w:tc>
              <w:tc>
                <w:tcPr>
                  <w:tcW w:w="609" w:type="pct"/>
                  <w:tcBorders>
                    <w:tl2br w:val="nil"/>
                    <w:tr2bl w:val="nil"/>
                  </w:tcBorders>
                  <w:vAlign w:val="center"/>
                </w:tcPr>
                <w:p w14:paraId="4873DCC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cs="Times New Roman"/>
                      <w:b/>
                      <w:bCs/>
                      <w:color w:val="auto"/>
                      <w:spacing w:val="0"/>
                      <w:sz w:val="21"/>
                      <w:szCs w:val="21"/>
                      <w:highlight w:val="none"/>
                      <w:lang w:val="en-US" w:eastAsia="zh-CN"/>
                    </w:rPr>
                    <w:t>实际距离m</w:t>
                  </w:r>
                </w:p>
              </w:tc>
              <w:tc>
                <w:tcPr>
                  <w:tcW w:w="1162" w:type="pct"/>
                  <w:tcBorders>
                    <w:tl2br w:val="nil"/>
                    <w:tr2bl w:val="nil"/>
                  </w:tcBorders>
                  <w:vAlign w:val="center"/>
                </w:tcPr>
                <w:p w14:paraId="7D31DE2A">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olor w:val="auto"/>
                      <w:spacing w:val="2"/>
                      <w:sz w:val="21"/>
                      <w:szCs w:val="21"/>
                      <w:highlight w:val="none"/>
                      <w:lang w:val="en-US" w:eastAsia="zh-CN"/>
                    </w:rPr>
                  </w:pPr>
                  <w:r>
                    <w:rPr>
                      <w:rFonts w:hint="default" w:ascii="Times New Roman" w:hAnsi="Times New Roman" w:cs="Times New Roman"/>
                      <w:b/>
                      <w:bCs/>
                      <w:color w:val="auto"/>
                      <w:spacing w:val="0"/>
                      <w:sz w:val="21"/>
                      <w:szCs w:val="21"/>
                      <w:highlight w:val="none"/>
                    </w:rPr>
                    <w:t>本项目实际距离</w:t>
                  </w:r>
                </w:p>
              </w:tc>
              <w:tc>
                <w:tcPr>
                  <w:tcW w:w="263" w:type="pct"/>
                  <w:tcBorders>
                    <w:tl2br w:val="nil"/>
                    <w:tr2bl w:val="nil"/>
                  </w:tcBorders>
                  <w:vAlign w:val="center"/>
                </w:tcPr>
                <w:p w14:paraId="354872CC">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b/>
                      <w:bCs/>
                      <w:color w:val="auto"/>
                      <w:spacing w:val="2"/>
                      <w:sz w:val="21"/>
                      <w:szCs w:val="21"/>
                      <w:highlight w:val="none"/>
                      <w:lang w:val="en-US" w:eastAsia="zh-CN"/>
                    </w:rPr>
                  </w:pPr>
                  <w:r>
                    <w:rPr>
                      <w:rFonts w:hint="eastAsia" w:ascii="Times New Roman" w:hAnsi="Times New Roman" w:cs="Times New Roman"/>
                      <w:b/>
                      <w:bCs/>
                      <w:color w:val="auto"/>
                      <w:spacing w:val="2"/>
                      <w:sz w:val="21"/>
                      <w:szCs w:val="21"/>
                      <w:highlight w:val="none"/>
                      <w:lang w:val="en-US" w:eastAsia="zh-CN"/>
                    </w:rPr>
                    <w:t>符合性</w:t>
                  </w:r>
                </w:p>
              </w:tc>
            </w:tr>
            <w:tr w14:paraId="3E1E3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restart"/>
                  <w:tcBorders>
                    <w:tl2br w:val="nil"/>
                    <w:tr2bl w:val="nil"/>
                  </w:tcBorders>
                  <w:vAlign w:val="center"/>
                </w:tcPr>
                <w:p w14:paraId="246411C8">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地块一</w:t>
                  </w:r>
                </w:p>
              </w:tc>
              <w:tc>
                <w:tcPr>
                  <w:tcW w:w="165" w:type="pct"/>
                  <w:vMerge w:val="restart"/>
                  <w:tcBorders>
                    <w:tl2br w:val="nil"/>
                    <w:tr2bl w:val="nil"/>
                  </w:tcBorders>
                  <w:vAlign w:val="center"/>
                </w:tcPr>
                <w:p w14:paraId="76CC621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lang w:val="en-US" w:eastAsia="zh-CN"/>
                    </w:rPr>
                    <w:t>①</w:t>
                  </w:r>
                  <w:r>
                    <w:rPr>
                      <w:rFonts w:hint="default" w:ascii="Times New Roman" w:hAnsi="Times New Roman" w:cs="Times New Roman"/>
                      <w:color w:val="auto"/>
                      <w:spacing w:val="4"/>
                      <w:sz w:val="21"/>
                      <w:szCs w:val="21"/>
                      <w:highlight w:val="none"/>
                    </w:rPr>
                    <w:t>烟花爆竹仓库</w:t>
                  </w:r>
                </w:p>
              </w:tc>
              <w:tc>
                <w:tcPr>
                  <w:tcW w:w="474" w:type="pct"/>
                  <w:vMerge w:val="restart"/>
                  <w:tcBorders>
                    <w:tl2br w:val="nil"/>
                    <w:tr2bl w:val="nil"/>
                  </w:tcBorders>
                  <w:vAlign w:val="center"/>
                </w:tcPr>
                <w:p w14:paraId="49E4DE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20000</w:t>
                  </w:r>
                </w:p>
              </w:tc>
              <w:tc>
                <w:tcPr>
                  <w:tcW w:w="197" w:type="pct"/>
                  <w:vMerge w:val="restart"/>
                  <w:tcBorders>
                    <w:tl2br w:val="nil"/>
                    <w:tr2bl w:val="nil"/>
                  </w:tcBorders>
                  <w:vAlign w:val="center"/>
                </w:tcPr>
                <w:p w14:paraId="5380582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1423" w:type="pct"/>
                  <w:vMerge w:val="restart"/>
                  <w:tcBorders>
                    <w:tl2br w:val="nil"/>
                    <w:tr2bl w:val="nil"/>
                  </w:tcBorders>
                  <w:vAlign w:val="top"/>
                </w:tcPr>
                <w:p w14:paraId="3D584E2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10户或50人以下零散住户，50人以下的企业围墙，本企业生产区建筑物边缘，无摘挂作业铁路中间站站界及建筑物边缘，110kV架空输电线路</w:t>
                  </w:r>
                </w:p>
              </w:tc>
              <w:tc>
                <w:tcPr>
                  <w:tcW w:w="543" w:type="pct"/>
                  <w:vMerge w:val="restart"/>
                  <w:tcBorders>
                    <w:tl2br w:val="nil"/>
                    <w:tr2bl w:val="nil"/>
                  </w:tcBorders>
                  <w:vAlign w:val="center"/>
                </w:tcPr>
                <w:p w14:paraId="0BF3C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85</w:t>
                  </w:r>
                </w:p>
              </w:tc>
              <w:tc>
                <w:tcPr>
                  <w:tcW w:w="609" w:type="pct"/>
                  <w:tcBorders>
                    <w:tl2br w:val="nil"/>
                    <w:tr2bl w:val="nil"/>
                  </w:tcBorders>
                  <w:vAlign w:val="center"/>
                </w:tcPr>
                <w:p w14:paraId="7DC51C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490</w:t>
                  </w:r>
                </w:p>
              </w:tc>
              <w:tc>
                <w:tcPr>
                  <w:tcW w:w="1162" w:type="pct"/>
                  <w:tcBorders>
                    <w:tl2br w:val="nil"/>
                    <w:tr2bl w:val="nil"/>
                  </w:tcBorders>
                  <w:vAlign w:val="center"/>
                </w:tcPr>
                <w:p w14:paraId="3FC17EC1">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东南面有人数小于或等于50人或户数小于或等</w:t>
                  </w:r>
                  <w:r>
                    <w:rPr>
                      <w:rFonts w:hint="default" w:ascii="Times New Roman" w:hAnsi="Times New Roman" w:eastAsia="宋体" w:cs="Times New Roman"/>
                      <w:color w:val="auto"/>
                      <w:spacing w:val="6"/>
                      <w:sz w:val="21"/>
                      <w:szCs w:val="21"/>
                    </w:rPr>
                    <w:t>于10户的零散住户。</w:t>
                  </w:r>
                </w:p>
                <w:p w14:paraId="1AE46A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p>
              </w:tc>
              <w:tc>
                <w:tcPr>
                  <w:tcW w:w="263" w:type="pct"/>
                  <w:tcBorders>
                    <w:tl2br w:val="nil"/>
                    <w:tr2bl w:val="nil"/>
                  </w:tcBorders>
                  <w:vAlign w:val="center"/>
                </w:tcPr>
                <w:p w14:paraId="3AC639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7CE7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2FBC53CA">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lang w:val="en-US" w:eastAsia="zh-CN"/>
                    </w:rPr>
                  </w:pPr>
                </w:p>
              </w:tc>
              <w:tc>
                <w:tcPr>
                  <w:tcW w:w="165" w:type="pct"/>
                  <w:vMerge w:val="continue"/>
                  <w:tcBorders>
                    <w:tl2br w:val="nil"/>
                    <w:tr2bl w:val="nil"/>
                  </w:tcBorders>
                  <w:vAlign w:val="center"/>
                </w:tcPr>
                <w:p w14:paraId="1FB70FAE">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center"/>
                </w:tcPr>
                <w:p w14:paraId="2FD12E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3D98C0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vMerge w:val="continue"/>
                  <w:tcBorders>
                    <w:tl2br w:val="nil"/>
                    <w:tr2bl w:val="nil"/>
                  </w:tcBorders>
                  <w:vAlign w:val="top"/>
                </w:tcPr>
                <w:p w14:paraId="0F33A41A">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7E2F3B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4E36D5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118</w:t>
                  </w:r>
                </w:p>
              </w:tc>
              <w:tc>
                <w:tcPr>
                  <w:tcW w:w="1162" w:type="pct"/>
                  <w:tcBorders>
                    <w:tl2br w:val="nil"/>
                    <w:tr2bl w:val="nil"/>
                  </w:tcBorders>
                  <w:vAlign w:val="center"/>
                </w:tcPr>
                <w:p w14:paraId="047C2CA5">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南面有职工总数小于或等于50人的企业围墙 (</w:t>
                  </w:r>
                  <w:r>
                    <w:rPr>
                      <w:rFonts w:hint="default" w:ascii="Times New Roman" w:hAnsi="Times New Roman" w:eastAsia="宋体" w:cs="Times New Roman"/>
                      <w:color w:val="auto"/>
                      <w:spacing w:val="11"/>
                      <w:sz w:val="21"/>
                      <w:szCs w:val="21"/>
                    </w:rPr>
                    <w:t>本企业值班区、本企业展示厅)。</w:t>
                  </w:r>
                </w:p>
                <w:p w14:paraId="2A6D74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p>
              </w:tc>
              <w:tc>
                <w:tcPr>
                  <w:tcW w:w="263" w:type="pct"/>
                  <w:tcBorders>
                    <w:tl2br w:val="nil"/>
                    <w:tr2bl w:val="nil"/>
                  </w:tcBorders>
                  <w:vAlign w:val="center"/>
                </w:tcPr>
                <w:p w14:paraId="37369B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E92D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4270A4EF">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lang w:val="en-US" w:eastAsia="zh-CN"/>
                    </w:rPr>
                  </w:pPr>
                </w:p>
              </w:tc>
              <w:tc>
                <w:tcPr>
                  <w:tcW w:w="165" w:type="pct"/>
                  <w:vMerge w:val="continue"/>
                  <w:tcBorders>
                    <w:tl2br w:val="nil"/>
                    <w:tr2bl w:val="nil"/>
                  </w:tcBorders>
                  <w:vAlign w:val="center"/>
                </w:tcPr>
                <w:p w14:paraId="33E4731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center"/>
                </w:tcPr>
                <w:p w14:paraId="399A30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132AB5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tcBorders>
                    <w:tl2br w:val="nil"/>
                    <w:tr2bl w:val="nil"/>
                  </w:tcBorders>
                  <w:vAlign w:val="top"/>
                </w:tcPr>
                <w:p w14:paraId="6AA1654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sz w:val="21"/>
                      <w:szCs w:val="21"/>
                    </w:rPr>
                    <w:t>《烟花爆工程设计安全标准》第4.3条,1.1级 (10000</w:t>
                  </w:r>
                  <w:r>
                    <w:rPr>
                      <w:rFonts w:hint="default" w:ascii="Times New Roman" w:hAnsi="Times New Roman" w:eastAsia="宋体" w:cs="Times New Roman"/>
                      <w:color w:val="auto"/>
                      <w:sz w:val="21"/>
                      <w:szCs w:val="21"/>
                    </w:rPr>
                    <w:t>kg</w:t>
                  </w:r>
                  <w:r>
                    <w:rPr>
                      <w:rFonts w:hint="default" w:ascii="Times New Roman" w:hAnsi="Times New Roman" w:eastAsia="宋体" w:cs="Times New Roman"/>
                      <w:color w:val="auto"/>
                      <w:spacing w:val="10"/>
                      <w:sz w:val="21"/>
                      <w:szCs w:val="21"/>
                    </w:rPr>
                    <w:t>)危险品</w:t>
                  </w:r>
                  <w:r>
                    <w:rPr>
                      <w:rFonts w:hint="default" w:ascii="Times New Roman" w:hAnsi="Times New Roman" w:eastAsia="宋体" w:cs="Times New Roman"/>
                      <w:color w:val="auto"/>
                      <w:spacing w:val="8"/>
                      <w:sz w:val="21"/>
                      <w:szCs w:val="21"/>
                    </w:rPr>
                    <w:t>仓库至职工总数小于或等于50人的企业围墙外部距离。</w:t>
                  </w:r>
                </w:p>
              </w:tc>
              <w:tc>
                <w:tcPr>
                  <w:tcW w:w="543" w:type="pct"/>
                  <w:tcBorders>
                    <w:tl2br w:val="nil"/>
                    <w:tr2bl w:val="nil"/>
                  </w:tcBorders>
                  <w:vAlign w:val="center"/>
                </w:tcPr>
                <w:p w14:paraId="73A526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270</w:t>
                  </w:r>
                </w:p>
              </w:tc>
              <w:tc>
                <w:tcPr>
                  <w:tcW w:w="609" w:type="pct"/>
                  <w:tcBorders>
                    <w:tl2br w:val="nil"/>
                    <w:tr2bl w:val="nil"/>
                  </w:tcBorders>
                  <w:vAlign w:val="center"/>
                </w:tcPr>
                <w:p w14:paraId="45E4C3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517</w:t>
                  </w:r>
                </w:p>
              </w:tc>
              <w:tc>
                <w:tcPr>
                  <w:tcW w:w="1162" w:type="pct"/>
                  <w:tcBorders>
                    <w:tl2br w:val="nil"/>
                    <w:tr2bl w:val="nil"/>
                  </w:tcBorders>
                  <w:vAlign w:val="center"/>
                </w:tcPr>
                <w:p w14:paraId="493240AD">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南面有职工总数小于或等于50人的企业围墙 (</w:t>
                  </w:r>
                  <w:r>
                    <w:rPr>
                      <w:rFonts w:hint="default" w:ascii="Times New Roman" w:hAnsi="Times New Roman" w:eastAsia="宋体" w:cs="Times New Roman"/>
                      <w:color w:val="auto"/>
                      <w:spacing w:val="9"/>
                      <w:sz w:val="21"/>
                      <w:szCs w:val="21"/>
                    </w:rPr>
                    <w:t>本企业1.1</w:t>
                  </w:r>
                  <w:r>
                    <w:rPr>
                      <w:rFonts w:hint="default" w:ascii="Times New Roman" w:hAnsi="Times New Roman" w:eastAsia="宋体" w:cs="Times New Roman"/>
                      <w:color w:val="auto"/>
                      <w:spacing w:val="9"/>
                      <w:position w:val="4"/>
                      <w:sz w:val="21"/>
                      <w:szCs w:val="21"/>
                    </w:rPr>
                    <w:t>-2</w:t>
                  </w:r>
                  <w:r>
                    <w:rPr>
                      <w:rFonts w:hint="default" w:ascii="Times New Roman" w:hAnsi="Times New Roman" w:eastAsia="宋体" w:cs="Times New Roman"/>
                      <w:color w:val="auto"/>
                      <w:spacing w:val="9"/>
                      <w:sz w:val="21"/>
                      <w:szCs w:val="21"/>
                    </w:rPr>
                    <w:t>级危险品仓库区)。</w:t>
                  </w:r>
                </w:p>
                <w:p w14:paraId="1B10294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p>
              </w:tc>
              <w:tc>
                <w:tcPr>
                  <w:tcW w:w="263" w:type="pct"/>
                  <w:tcBorders>
                    <w:tl2br w:val="nil"/>
                    <w:tr2bl w:val="nil"/>
                  </w:tcBorders>
                  <w:vAlign w:val="center"/>
                </w:tcPr>
                <w:p w14:paraId="55D368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7E43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43D836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70434C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2C70B8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4DCD2FB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top"/>
                </w:tcPr>
                <w:p w14:paraId="3151659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村庄边缘，学校，职工人数在50人及以上的企业围墙，有摘挂作业的铁路车站站界及建筑物边缘，220kV以下的区域变电站围墙，220kV架空输电线路</w:t>
                  </w:r>
                  <w:r>
                    <w:rPr>
                      <w:rFonts w:hint="eastAsia" w:ascii="Times New Roman" w:hAnsi="Times New Roman" w:eastAsia="宋体" w:cs="Times New Roman"/>
                      <w:color w:val="auto"/>
                      <w:sz w:val="21"/>
                      <w:szCs w:val="21"/>
                      <w:highlight w:val="none"/>
                      <w:lang w:eastAsia="zh-CN"/>
                    </w:rPr>
                    <w:t>。</w:t>
                  </w:r>
                </w:p>
              </w:tc>
              <w:tc>
                <w:tcPr>
                  <w:tcW w:w="543" w:type="pct"/>
                  <w:vMerge w:val="restart"/>
                  <w:tcBorders>
                    <w:tl2br w:val="nil"/>
                    <w:tr2bl w:val="nil"/>
                  </w:tcBorders>
                  <w:vAlign w:val="center"/>
                </w:tcPr>
                <w:p w14:paraId="6747DF4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140</w:t>
                  </w:r>
                </w:p>
              </w:tc>
              <w:tc>
                <w:tcPr>
                  <w:tcW w:w="609" w:type="pct"/>
                  <w:tcBorders>
                    <w:tl2br w:val="nil"/>
                    <w:tr2bl w:val="nil"/>
                  </w:tcBorders>
                  <w:vAlign w:val="center"/>
                </w:tcPr>
                <w:p w14:paraId="1B16E9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455</w:t>
                  </w:r>
                </w:p>
              </w:tc>
              <w:tc>
                <w:tcPr>
                  <w:tcW w:w="1162" w:type="pct"/>
                  <w:tcBorders>
                    <w:tl2br w:val="nil"/>
                    <w:tr2bl w:val="nil"/>
                  </w:tcBorders>
                  <w:vAlign w:val="center"/>
                </w:tcPr>
                <w:p w14:paraId="19B31401">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周边有人数大于50人的居民点边缘 (南面小龙</w:t>
                  </w:r>
                  <w:r>
                    <w:rPr>
                      <w:rFonts w:hint="default" w:ascii="Times New Roman" w:hAnsi="Times New Roman" w:eastAsia="宋体" w:cs="Times New Roman"/>
                      <w:color w:val="auto"/>
                      <w:spacing w:val="12"/>
                      <w:sz w:val="21"/>
                      <w:szCs w:val="21"/>
                    </w:rPr>
                    <w:t>潭村、东北面以其末村)。</w:t>
                  </w:r>
                </w:p>
                <w:p w14:paraId="718C47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position w:val="2"/>
                      <w:sz w:val="21"/>
                      <w:szCs w:val="21"/>
                      <w:highlight w:val="none"/>
                    </w:rPr>
                  </w:pPr>
                </w:p>
              </w:tc>
              <w:tc>
                <w:tcPr>
                  <w:tcW w:w="263" w:type="pct"/>
                  <w:tcBorders>
                    <w:tl2br w:val="nil"/>
                    <w:tr2bl w:val="nil"/>
                  </w:tcBorders>
                  <w:vAlign w:val="center"/>
                </w:tcPr>
                <w:p w14:paraId="55FE9CF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2111B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3F238DC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382881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68C41F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682863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top"/>
                </w:tcPr>
                <w:p w14:paraId="7E0F1EA8">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2AA984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458645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470</w:t>
                  </w:r>
                </w:p>
              </w:tc>
              <w:tc>
                <w:tcPr>
                  <w:tcW w:w="1162" w:type="pct"/>
                  <w:tcBorders>
                    <w:tl2br w:val="nil"/>
                    <w:tr2bl w:val="nil"/>
                  </w:tcBorders>
                  <w:vAlign w:val="center"/>
                </w:tcPr>
                <w:p w14:paraId="1C2E413E">
                  <w:pPr>
                    <w:keepNext w:val="0"/>
                    <w:keepLines w:val="0"/>
                    <w:pageBreakBefore w:val="0"/>
                    <w:wordWrap/>
                    <w:overflowPunct/>
                    <w:topLinePunct w:val="0"/>
                    <w:bidi w:val="0"/>
                    <w:spacing w:line="240" w:lineRule="auto"/>
                    <w:ind w:left="0" w:right="0" w:firstLine="0"/>
                    <w:jc w:val="both"/>
                    <w:rPr>
                      <w:rFonts w:hint="default"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8"/>
                      <w:sz w:val="21"/>
                      <w:szCs w:val="21"/>
                    </w:rPr>
                    <w:t>周边有人数大于50人的企业围墙 (西面垃圾填埋厂、西北面有铜都赛鸽中心、西南面有看守</w:t>
                  </w:r>
                  <w:r>
                    <w:rPr>
                      <w:rFonts w:hint="default" w:ascii="Times New Roman" w:hAnsi="Times New Roman" w:eastAsia="宋体" w:cs="Times New Roman"/>
                      <w:color w:val="auto"/>
                      <w:spacing w:val="13"/>
                      <w:sz w:val="21"/>
                      <w:szCs w:val="21"/>
                    </w:rPr>
                    <w:t>所、鑫吉驾校)。</w:t>
                  </w:r>
                </w:p>
              </w:tc>
              <w:tc>
                <w:tcPr>
                  <w:tcW w:w="263" w:type="pct"/>
                  <w:tcBorders>
                    <w:tl2br w:val="nil"/>
                    <w:tr2bl w:val="nil"/>
                  </w:tcBorders>
                  <w:vAlign w:val="center"/>
                </w:tcPr>
                <w:p w14:paraId="1114FC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09A6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3993FE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5EFC42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247E3C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329A55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top"/>
                </w:tcPr>
                <w:p w14:paraId="7932FBE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城镇规划边缘</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学校、</w:t>
                  </w:r>
                  <w:r>
                    <w:rPr>
                      <w:rFonts w:hint="default" w:ascii="Times New Roman" w:hAnsi="Times New Roman" w:eastAsia="宋体" w:cs="Times New Roman"/>
                      <w:color w:val="auto"/>
                      <w:sz w:val="21"/>
                      <w:szCs w:val="21"/>
                      <w:highlight w:val="none"/>
                    </w:rPr>
                    <w:t>220kV及以上的区域变电站围墙，220kV以上的架空输电线路</w:t>
                  </w:r>
                </w:p>
              </w:tc>
              <w:tc>
                <w:tcPr>
                  <w:tcW w:w="543" w:type="pct"/>
                  <w:tcBorders>
                    <w:tl2br w:val="nil"/>
                    <w:tr2bl w:val="nil"/>
                  </w:tcBorders>
                  <w:vAlign w:val="center"/>
                </w:tcPr>
                <w:p w14:paraId="41440E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250</w:t>
                  </w:r>
                </w:p>
              </w:tc>
              <w:tc>
                <w:tcPr>
                  <w:tcW w:w="609" w:type="pct"/>
                  <w:tcBorders>
                    <w:tl2br w:val="nil"/>
                    <w:tr2bl w:val="nil"/>
                  </w:tcBorders>
                  <w:vAlign w:val="center"/>
                </w:tcPr>
                <w:p w14:paraId="432294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3600</w:t>
                  </w:r>
                </w:p>
              </w:tc>
              <w:tc>
                <w:tcPr>
                  <w:tcW w:w="1162" w:type="pct"/>
                  <w:tcBorders>
                    <w:tl2br w:val="nil"/>
                    <w:tr2bl w:val="nil"/>
                  </w:tcBorders>
                  <w:vAlign w:val="center"/>
                </w:tcPr>
                <w:p w14:paraId="20231CD9">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2"/>
                      <w:position w:val="1"/>
                      <w:sz w:val="21"/>
                      <w:szCs w:val="21"/>
                      <w:highlight w:val="none"/>
                    </w:rPr>
                  </w:pPr>
                  <w:r>
                    <w:rPr>
                      <w:rFonts w:hint="default" w:ascii="Times New Roman" w:hAnsi="Times New Roman" w:eastAsia="宋体" w:cs="Times New Roman"/>
                      <w:color w:val="auto"/>
                      <w:spacing w:val="8"/>
                      <w:sz w:val="21"/>
                      <w:szCs w:val="21"/>
                    </w:rPr>
                    <w:t>南面有城镇规划边缘、学校 (寻甸县、寻甸第</w:t>
                  </w:r>
                  <w:r>
                    <w:rPr>
                      <w:rFonts w:hint="default" w:ascii="Times New Roman" w:hAnsi="Times New Roman" w:eastAsia="宋体" w:cs="Times New Roman"/>
                      <w:color w:val="auto"/>
                      <w:spacing w:val="12"/>
                      <w:sz w:val="21"/>
                      <w:szCs w:val="21"/>
                    </w:rPr>
                    <w:t>一中学、仁德二小)。</w:t>
                  </w:r>
                </w:p>
              </w:tc>
              <w:tc>
                <w:tcPr>
                  <w:tcW w:w="263" w:type="pct"/>
                  <w:tcBorders>
                    <w:tl2br w:val="nil"/>
                    <w:tr2bl w:val="nil"/>
                  </w:tcBorders>
                  <w:vAlign w:val="center"/>
                </w:tcPr>
                <w:p w14:paraId="243463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11CFC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3BD4240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1660EE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375116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738979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top"/>
                </w:tcPr>
                <w:p w14:paraId="0C44B806">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rPr>
                    <w:t>国家铁路线、省级以上公路用地外缘、通航的河流航道边缘。</w:t>
                  </w:r>
                </w:p>
              </w:tc>
              <w:tc>
                <w:tcPr>
                  <w:tcW w:w="543" w:type="pct"/>
                  <w:vMerge w:val="restart"/>
                  <w:tcBorders>
                    <w:tl2br w:val="nil"/>
                    <w:tr2bl w:val="nil"/>
                  </w:tcBorders>
                  <w:vAlign w:val="center"/>
                </w:tcPr>
                <w:p w14:paraId="7A0EF0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609" w:type="pct"/>
                  <w:tcBorders>
                    <w:tl2br w:val="nil"/>
                    <w:tr2bl w:val="nil"/>
                  </w:tcBorders>
                  <w:vAlign w:val="center"/>
                </w:tcPr>
                <w:p w14:paraId="223FD2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220</w:t>
                  </w:r>
                </w:p>
              </w:tc>
              <w:tc>
                <w:tcPr>
                  <w:tcW w:w="1162" w:type="pct"/>
                  <w:tcBorders>
                    <w:tl2br w:val="nil"/>
                    <w:tr2bl w:val="nil"/>
                  </w:tcBorders>
                  <w:vAlign w:val="center"/>
                </w:tcPr>
                <w:p w14:paraId="06E66B15">
                  <w:pPr>
                    <w:keepNext w:val="0"/>
                    <w:keepLines w:val="0"/>
                    <w:pageBreakBefore w:val="0"/>
                    <w:wordWrap/>
                    <w:overflowPunct/>
                    <w:topLinePunct w:val="0"/>
                    <w:bidi w:val="0"/>
                    <w:spacing w:line="240" w:lineRule="auto"/>
                    <w:ind w:left="0" w:right="0" w:firstLine="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周边有国道、省道(西北面有G85银昆高</w:t>
                  </w:r>
                  <w:r>
                    <w:rPr>
                      <w:rFonts w:hint="default" w:ascii="Times New Roman" w:hAnsi="Times New Roman" w:eastAsia="宋体" w:cs="Times New Roman"/>
                      <w:color w:val="auto"/>
                      <w:spacing w:val="7"/>
                      <w:sz w:val="21"/>
                      <w:szCs w:val="21"/>
                    </w:rPr>
                    <w:t>速、东面有G85银昆高速引线、西面有S256寻白线</w:t>
                  </w:r>
                  <w:r>
                    <w:rPr>
                      <w:rFonts w:hint="default" w:ascii="Times New Roman" w:hAnsi="Times New Roman" w:eastAsia="宋体" w:cs="Times New Roman"/>
                      <w:color w:val="auto"/>
                      <w:spacing w:val="10"/>
                      <w:sz w:val="21"/>
                      <w:szCs w:val="21"/>
                    </w:rPr>
                    <w:t xml:space="preserve"> 、南面有S30滇中环线)。</w:t>
                  </w:r>
                </w:p>
                <w:p w14:paraId="4157BC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1"/>
                      <w:sz w:val="21"/>
                      <w:szCs w:val="21"/>
                      <w:highlight w:val="none"/>
                    </w:rPr>
                  </w:pPr>
                </w:p>
              </w:tc>
              <w:tc>
                <w:tcPr>
                  <w:tcW w:w="263" w:type="pct"/>
                  <w:tcBorders>
                    <w:tl2br w:val="nil"/>
                    <w:tr2bl w:val="nil"/>
                  </w:tcBorders>
                  <w:vAlign w:val="center"/>
                </w:tcPr>
                <w:p w14:paraId="1E2ED7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9538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382839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4894E8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4DC328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03817B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top"/>
                </w:tcPr>
                <w:p w14:paraId="796DFCA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06C1FD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6D4FAB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985</w:t>
                  </w:r>
                </w:p>
              </w:tc>
              <w:tc>
                <w:tcPr>
                  <w:tcW w:w="1162" w:type="pct"/>
                  <w:tcBorders>
                    <w:tl2br w:val="nil"/>
                    <w:tr2bl w:val="nil"/>
                  </w:tcBorders>
                  <w:vAlign w:val="center"/>
                </w:tcPr>
                <w:p w14:paraId="41C868CD">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2"/>
                      <w:position w:val="1"/>
                      <w:sz w:val="21"/>
                      <w:szCs w:val="21"/>
                      <w:highlight w:val="none"/>
                    </w:rPr>
                  </w:pPr>
                  <w:r>
                    <w:rPr>
                      <w:rFonts w:hint="default" w:ascii="Times New Roman" w:hAnsi="Times New Roman" w:eastAsia="宋体" w:cs="Times New Roman"/>
                      <w:color w:val="auto"/>
                      <w:spacing w:val="7"/>
                      <w:sz w:val="21"/>
                      <w:szCs w:val="21"/>
                    </w:rPr>
                    <w:t>西面有东川铁路支线。</w:t>
                  </w:r>
                </w:p>
              </w:tc>
              <w:tc>
                <w:tcPr>
                  <w:tcW w:w="263" w:type="pct"/>
                  <w:tcBorders>
                    <w:tl2br w:val="nil"/>
                    <w:tr2bl w:val="nil"/>
                  </w:tcBorders>
                  <w:vAlign w:val="center"/>
                </w:tcPr>
                <w:p w14:paraId="37E1AF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2211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15DEC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665B73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7F703E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48E1DD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624B4B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8"/>
                      <w:sz w:val="21"/>
                      <w:szCs w:val="21"/>
                    </w:rPr>
                    <w:t>非本厂的工厂铁路支线、县级公路用地外缘、35</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8"/>
                      <w:sz w:val="21"/>
                      <w:szCs w:val="21"/>
                    </w:rPr>
                    <w:t>架空输电线路</w:t>
                  </w:r>
                  <w:r>
                    <w:rPr>
                      <w:rFonts w:hint="eastAsia" w:ascii="Times New Roman" w:hAnsi="Times New Roman" w:eastAsia="宋体" w:cs="Times New Roman"/>
                      <w:color w:val="auto"/>
                      <w:spacing w:val="8"/>
                      <w:sz w:val="21"/>
                      <w:szCs w:val="21"/>
                      <w:lang w:eastAsia="zh-CN"/>
                    </w:rPr>
                    <w:t>。</w:t>
                  </w:r>
                </w:p>
              </w:tc>
              <w:tc>
                <w:tcPr>
                  <w:tcW w:w="543" w:type="pct"/>
                  <w:tcBorders>
                    <w:tl2br w:val="nil"/>
                    <w:tr2bl w:val="nil"/>
                  </w:tcBorders>
                  <w:vAlign w:val="center"/>
                </w:tcPr>
                <w:p w14:paraId="49469A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609" w:type="pct"/>
                  <w:tcBorders>
                    <w:tl2br w:val="nil"/>
                    <w:tr2bl w:val="nil"/>
                  </w:tcBorders>
                  <w:vAlign w:val="center"/>
                </w:tcPr>
                <w:p w14:paraId="2D04E0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62" w:type="pct"/>
                  <w:tcBorders>
                    <w:tl2br w:val="nil"/>
                    <w:tr2bl w:val="nil"/>
                  </w:tcBorders>
                  <w:vAlign w:val="center"/>
                </w:tcPr>
                <w:p w14:paraId="5458C3B0">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2"/>
                      <w:position w:val="1"/>
                      <w:sz w:val="21"/>
                      <w:szCs w:val="21"/>
                      <w:highlight w:val="none"/>
                    </w:rPr>
                  </w:pPr>
                  <w:r>
                    <w:rPr>
                      <w:rFonts w:hint="default" w:ascii="Times New Roman" w:hAnsi="Times New Roman" w:eastAsia="宋体" w:cs="Times New Roman"/>
                      <w:color w:val="auto"/>
                      <w:spacing w:val="7"/>
                      <w:sz w:val="21"/>
                      <w:szCs w:val="21"/>
                    </w:rPr>
                    <w:t>周边无其他相关项目。</w:t>
                  </w:r>
                </w:p>
              </w:tc>
              <w:tc>
                <w:tcPr>
                  <w:tcW w:w="263" w:type="pct"/>
                  <w:tcBorders>
                    <w:tl2br w:val="nil"/>
                    <w:tr2bl w:val="nil"/>
                  </w:tcBorders>
                  <w:vAlign w:val="center"/>
                </w:tcPr>
                <w:p w14:paraId="0FC6F6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7F0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496F56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5D792E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5720D1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50DD12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35AAFF3D">
                  <w:pPr>
                    <w:keepNext w:val="0"/>
                    <w:keepLines w:val="0"/>
                    <w:pageBreakBefore w:val="0"/>
                    <w:wordWrap/>
                    <w:overflowPunct/>
                    <w:topLinePunct w:val="0"/>
                    <w:bidi w:val="0"/>
                    <w:spacing w:line="240" w:lineRule="auto"/>
                    <w:ind w:left="0" w:right="0" w:firstLine="0"/>
                    <w:jc w:val="both"/>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《公路安全保护条例》第18条公路用地外缘起向外100米,禁止设立储存易燃易爆危险品场所。</w:t>
                  </w:r>
                </w:p>
              </w:tc>
              <w:tc>
                <w:tcPr>
                  <w:tcW w:w="543" w:type="pct"/>
                  <w:tcBorders>
                    <w:tl2br w:val="nil"/>
                    <w:tr2bl w:val="nil"/>
                  </w:tcBorders>
                  <w:vAlign w:val="center"/>
                </w:tcPr>
                <w:p w14:paraId="5C7519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609" w:type="pct"/>
                  <w:tcBorders>
                    <w:tl2br w:val="nil"/>
                    <w:tr2bl w:val="nil"/>
                  </w:tcBorders>
                  <w:vAlign w:val="center"/>
                </w:tcPr>
                <w:p w14:paraId="3D95B5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220</w:t>
                  </w:r>
                </w:p>
              </w:tc>
              <w:tc>
                <w:tcPr>
                  <w:tcW w:w="1162" w:type="pct"/>
                  <w:tcBorders>
                    <w:tl2br w:val="nil"/>
                    <w:tr2bl w:val="nil"/>
                  </w:tcBorders>
                  <w:vAlign w:val="center"/>
                </w:tcPr>
                <w:p w14:paraId="2D3AF9AD">
                  <w:pPr>
                    <w:keepNext w:val="0"/>
                    <w:keepLines w:val="0"/>
                    <w:pageBreakBefore w:val="0"/>
                    <w:wordWrap/>
                    <w:overflowPunct/>
                    <w:topLinePunct w:val="0"/>
                    <w:bidi w:val="0"/>
                    <w:spacing w:line="240" w:lineRule="auto"/>
                    <w:ind w:left="0" w:right="0" w:firstLine="0"/>
                    <w:jc w:val="both"/>
                    <w:rPr>
                      <w:rFonts w:hint="default"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8"/>
                      <w:sz w:val="21"/>
                      <w:szCs w:val="21"/>
                    </w:rPr>
                    <w:t>周边有国道、省道 (西北面有G85银昆高</w:t>
                  </w:r>
                  <w:r>
                    <w:rPr>
                      <w:rFonts w:hint="default" w:ascii="Times New Roman" w:hAnsi="Times New Roman" w:eastAsia="宋体" w:cs="Times New Roman"/>
                      <w:color w:val="auto"/>
                      <w:spacing w:val="7"/>
                      <w:sz w:val="21"/>
                      <w:szCs w:val="21"/>
                    </w:rPr>
                    <w:t>速、东面有G85银昆高速引线、西面有S256寻白线</w:t>
                  </w:r>
                  <w:r>
                    <w:rPr>
                      <w:rFonts w:hint="default" w:ascii="Times New Roman" w:hAnsi="Times New Roman" w:eastAsia="宋体" w:cs="Times New Roman"/>
                      <w:color w:val="auto"/>
                      <w:spacing w:val="10"/>
                      <w:sz w:val="21"/>
                      <w:szCs w:val="21"/>
                    </w:rPr>
                    <w:t>、南面有S30滇中环线)。</w:t>
                  </w:r>
                </w:p>
              </w:tc>
              <w:tc>
                <w:tcPr>
                  <w:tcW w:w="263" w:type="pct"/>
                  <w:tcBorders>
                    <w:tl2br w:val="nil"/>
                    <w:tr2bl w:val="nil"/>
                  </w:tcBorders>
                  <w:vAlign w:val="center"/>
                </w:tcPr>
                <w:p w14:paraId="6099D5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26C03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1FAF3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0EC000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56E3EB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59862D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1E9A7488">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10"/>
                      <w:sz w:val="21"/>
                      <w:szCs w:val="21"/>
                    </w:rPr>
                    <w:t>库区围墙外,20</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10"/>
                      <w:sz w:val="21"/>
                      <w:szCs w:val="21"/>
                    </w:rPr>
                    <w:t>及以下电力架空线路和通信架空线路。</w:t>
                  </w:r>
                </w:p>
              </w:tc>
              <w:tc>
                <w:tcPr>
                  <w:tcW w:w="543" w:type="pct"/>
                  <w:tcBorders>
                    <w:tl2br w:val="nil"/>
                    <w:tr2bl w:val="nil"/>
                  </w:tcBorders>
                  <w:vAlign w:val="center"/>
                </w:tcPr>
                <w:p w14:paraId="6289A0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609" w:type="pct"/>
                  <w:tcBorders>
                    <w:tl2br w:val="nil"/>
                    <w:tr2bl w:val="nil"/>
                  </w:tcBorders>
                  <w:vAlign w:val="center"/>
                </w:tcPr>
                <w:p w14:paraId="5AB4F0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65</w:t>
                  </w:r>
                </w:p>
              </w:tc>
              <w:tc>
                <w:tcPr>
                  <w:tcW w:w="1162" w:type="pct"/>
                  <w:tcBorders>
                    <w:tl2br w:val="nil"/>
                    <w:tr2bl w:val="nil"/>
                  </w:tcBorders>
                  <w:vAlign w:val="center"/>
                </w:tcPr>
                <w:p w14:paraId="4C714AAD">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8"/>
                      <w:sz w:val="21"/>
                      <w:szCs w:val="21"/>
                    </w:rPr>
                    <w:t>西面、南面有10</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8"/>
                      <w:sz w:val="21"/>
                      <w:szCs w:val="21"/>
                    </w:rPr>
                    <w:t>架空输电线路。</w:t>
                  </w:r>
                </w:p>
              </w:tc>
              <w:tc>
                <w:tcPr>
                  <w:tcW w:w="263" w:type="pct"/>
                  <w:tcBorders>
                    <w:tl2br w:val="nil"/>
                    <w:tr2bl w:val="nil"/>
                  </w:tcBorders>
                  <w:vAlign w:val="center"/>
                </w:tcPr>
                <w:p w14:paraId="421B04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17EC5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018463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1099DD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043DBB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60E43F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349F46E3">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9"/>
                      <w:sz w:val="21"/>
                      <w:szCs w:val="21"/>
                    </w:rPr>
                    <w:t>危险品仓库区架空敷设1</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9"/>
                      <w:sz w:val="21"/>
                      <w:szCs w:val="21"/>
                    </w:rPr>
                    <w:t>及以下的电气线路</w:t>
                  </w:r>
                  <w:r>
                    <w:rPr>
                      <w:rFonts w:hint="default" w:ascii="Times New Roman" w:hAnsi="Times New Roman" w:eastAsia="宋体" w:cs="Times New Roman"/>
                      <w:color w:val="auto"/>
                      <w:spacing w:val="8"/>
                      <w:sz w:val="21"/>
                      <w:szCs w:val="21"/>
                    </w:rPr>
                    <w:t>和通信线路 (本企业</w:t>
                  </w:r>
                  <w:r>
                    <w:rPr>
                      <w:rFonts w:hint="default" w:ascii="Times New Roman" w:hAnsi="Times New Roman" w:eastAsia="宋体" w:cs="Times New Roman"/>
                      <w:color w:val="auto"/>
                      <w:spacing w:val="13"/>
                      <w:sz w:val="21"/>
                      <w:szCs w:val="21"/>
                    </w:rPr>
                    <w:t>自用)。</w:t>
                  </w:r>
                </w:p>
              </w:tc>
              <w:tc>
                <w:tcPr>
                  <w:tcW w:w="543" w:type="pct"/>
                  <w:tcBorders>
                    <w:tl2br w:val="nil"/>
                    <w:tr2bl w:val="nil"/>
                  </w:tcBorders>
                  <w:vAlign w:val="center"/>
                </w:tcPr>
                <w:p w14:paraId="6F629A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杆高6m，1.5倍杆高9m</w:t>
                  </w:r>
                </w:p>
              </w:tc>
              <w:tc>
                <w:tcPr>
                  <w:tcW w:w="609" w:type="pct"/>
                  <w:tcBorders>
                    <w:tl2br w:val="nil"/>
                    <w:tr2bl w:val="nil"/>
                  </w:tcBorders>
                  <w:vAlign w:val="center"/>
                </w:tcPr>
                <w:p w14:paraId="3ABE48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84</w:t>
                  </w:r>
                </w:p>
              </w:tc>
              <w:tc>
                <w:tcPr>
                  <w:tcW w:w="1162" w:type="pct"/>
                  <w:tcBorders>
                    <w:tl2br w:val="nil"/>
                    <w:tr2bl w:val="nil"/>
                  </w:tcBorders>
                  <w:vAlign w:val="center"/>
                </w:tcPr>
                <w:p w14:paraId="039C3D1F">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10"/>
                      <w:sz w:val="21"/>
                      <w:szCs w:val="21"/>
                    </w:rPr>
                    <w:t>东面、南面有通信架空线路 (本企业自用)。</w:t>
                  </w:r>
                </w:p>
              </w:tc>
              <w:tc>
                <w:tcPr>
                  <w:tcW w:w="263" w:type="pct"/>
                  <w:tcBorders>
                    <w:tl2br w:val="nil"/>
                    <w:tr2bl w:val="nil"/>
                  </w:tcBorders>
                  <w:vAlign w:val="center"/>
                </w:tcPr>
                <w:p w14:paraId="5A5E97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51F4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9B24F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6BC9C0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474" w:type="pct"/>
                  <w:vMerge w:val="continue"/>
                  <w:tcBorders>
                    <w:tl2br w:val="nil"/>
                    <w:tr2bl w:val="nil"/>
                  </w:tcBorders>
                  <w:vAlign w:val="center"/>
                </w:tcPr>
                <w:p w14:paraId="281646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center"/>
                </w:tcPr>
                <w:p w14:paraId="3E43B0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6392DBDC">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rPr>
                    <w:t>无线通信塔 (发射功率不大于50W)。</w:t>
                  </w:r>
                </w:p>
              </w:tc>
              <w:tc>
                <w:tcPr>
                  <w:tcW w:w="543" w:type="pct"/>
                  <w:tcBorders>
                    <w:tl2br w:val="nil"/>
                    <w:tr2bl w:val="nil"/>
                  </w:tcBorders>
                  <w:vAlign w:val="center"/>
                </w:tcPr>
                <w:p w14:paraId="65A02E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609" w:type="pct"/>
                  <w:tcBorders>
                    <w:tl2br w:val="nil"/>
                    <w:tr2bl w:val="nil"/>
                  </w:tcBorders>
                  <w:vAlign w:val="center"/>
                </w:tcPr>
                <w:p w14:paraId="5E5B9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151</w:t>
                  </w:r>
                </w:p>
              </w:tc>
              <w:tc>
                <w:tcPr>
                  <w:tcW w:w="1162" w:type="pct"/>
                  <w:tcBorders>
                    <w:tl2br w:val="nil"/>
                    <w:tr2bl w:val="nil"/>
                  </w:tcBorders>
                  <w:vAlign w:val="center"/>
                </w:tcPr>
                <w:p w14:paraId="3E30CC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1"/>
                      <w:sz w:val="21"/>
                      <w:szCs w:val="21"/>
                      <w:highlight w:val="none"/>
                    </w:rPr>
                  </w:pPr>
                  <w:r>
                    <w:rPr>
                      <w:rFonts w:hint="default" w:ascii="Times New Roman" w:hAnsi="Times New Roman" w:eastAsia="宋体" w:cs="Times New Roman"/>
                      <w:color w:val="auto"/>
                      <w:spacing w:val="9"/>
                      <w:sz w:val="21"/>
                      <w:szCs w:val="21"/>
                    </w:rPr>
                    <w:t>南面有无线通信塔(发射功率不大于50W)。</w:t>
                  </w:r>
                </w:p>
              </w:tc>
              <w:tc>
                <w:tcPr>
                  <w:tcW w:w="263" w:type="pct"/>
                  <w:tcBorders>
                    <w:tl2br w:val="nil"/>
                    <w:tr2bl w:val="nil"/>
                  </w:tcBorders>
                  <w:vAlign w:val="center"/>
                </w:tcPr>
                <w:p w14:paraId="17985F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1E49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4297D2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restart"/>
                  <w:tcBorders>
                    <w:tl2br w:val="nil"/>
                    <w:tr2bl w:val="nil"/>
                  </w:tcBorders>
                  <w:vAlign w:val="center"/>
                </w:tcPr>
                <w:p w14:paraId="557A0D6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pacing w:val="1"/>
                      <w:sz w:val="21"/>
                      <w:szCs w:val="21"/>
                      <w:highlight w:val="none"/>
                      <w:lang w:val="en-US" w:eastAsia="zh-CN"/>
                    </w:rPr>
                    <w:t>②</w:t>
                  </w:r>
                  <w:r>
                    <w:rPr>
                      <w:rFonts w:hint="default" w:ascii="Times New Roman" w:hAnsi="Times New Roman" w:cs="Times New Roman"/>
                      <w:color w:val="auto"/>
                      <w:spacing w:val="4"/>
                      <w:sz w:val="21"/>
                      <w:szCs w:val="21"/>
                      <w:highlight w:val="none"/>
                    </w:rPr>
                    <w:t>烟花爆竹仓库</w:t>
                  </w:r>
                </w:p>
              </w:tc>
              <w:tc>
                <w:tcPr>
                  <w:tcW w:w="474" w:type="pct"/>
                  <w:vMerge w:val="restart"/>
                  <w:tcBorders>
                    <w:tl2br w:val="nil"/>
                    <w:tr2bl w:val="nil"/>
                  </w:tcBorders>
                  <w:vAlign w:val="center"/>
                </w:tcPr>
                <w:p w14:paraId="6045AC1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20000</w:t>
                  </w:r>
                </w:p>
              </w:tc>
              <w:tc>
                <w:tcPr>
                  <w:tcW w:w="197" w:type="pct"/>
                  <w:vMerge w:val="restart"/>
                  <w:tcBorders>
                    <w:tl2br w:val="nil"/>
                    <w:tr2bl w:val="nil"/>
                  </w:tcBorders>
                  <w:vAlign w:val="center"/>
                </w:tcPr>
                <w:p w14:paraId="1FB20C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1.3</w:t>
                  </w:r>
                </w:p>
              </w:tc>
              <w:tc>
                <w:tcPr>
                  <w:tcW w:w="1423" w:type="pct"/>
                  <w:vMerge w:val="restart"/>
                  <w:tcBorders>
                    <w:tl2br w:val="nil"/>
                    <w:tr2bl w:val="nil"/>
                  </w:tcBorders>
                  <w:vAlign w:val="top"/>
                </w:tcPr>
                <w:p w14:paraId="683BA8ED">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10户或50人以下零散住户，50人以下的企业围墙，本企业生产区建筑物边缘，无摘挂作业铁路中间站站界及建筑物边缘，110kV架空输电线路</w:t>
                  </w:r>
                </w:p>
              </w:tc>
              <w:tc>
                <w:tcPr>
                  <w:tcW w:w="543" w:type="pct"/>
                  <w:vMerge w:val="restart"/>
                  <w:tcBorders>
                    <w:tl2br w:val="nil"/>
                    <w:tr2bl w:val="nil"/>
                  </w:tcBorders>
                  <w:vAlign w:val="center"/>
                </w:tcPr>
                <w:p w14:paraId="5A43DC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85</w:t>
                  </w:r>
                </w:p>
              </w:tc>
              <w:tc>
                <w:tcPr>
                  <w:tcW w:w="609" w:type="pct"/>
                  <w:tcBorders>
                    <w:tl2br w:val="nil"/>
                    <w:tr2bl w:val="nil"/>
                  </w:tcBorders>
                  <w:vAlign w:val="center"/>
                </w:tcPr>
                <w:p w14:paraId="52794D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530</w:t>
                  </w:r>
                </w:p>
              </w:tc>
              <w:tc>
                <w:tcPr>
                  <w:tcW w:w="1162" w:type="pct"/>
                  <w:tcBorders>
                    <w:tl2br w:val="nil"/>
                    <w:tr2bl w:val="nil"/>
                  </w:tcBorders>
                  <w:vAlign w:val="center"/>
                </w:tcPr>
                <w:p w14:paraId="3E09EE7A">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东南面有人数小于或等于50人或户数小于或等</w:t>
                  </w:r>
                  <w:r>
                    <w:rPr>
                      <w:rFonts w:hint="default" w:ascii="Times New Roman" w:hAnsi="Times New Roman" w:eastAsia="宋体" w:cs="Times New Roman"/>
                      <w:color w:val="auto"/>
                      <w:spacing w:val="6"/>
                      <w:sz w:val="21"/>
                      <w:szCs w:val="21"/>
                    </w:rPr>
                    <w:t>于10户的零散住户。</w:t>
                  </w:r>
                </w:p>
                <w:p w14:paraId="33741EA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pacing w:val="2"/>
                      <w:position w:val="1"/>
                      <w:sz w:val="21"/>
                      <w:szCs w:val="21"/>
                      <w:highlight w:val="none"/>
                    </w:rPr>
                  </w:pPr>
                </w:p>
              </w:tc>
              <w:tc>
                <w:tcPr>
                  <w:tcW w:w="263" w:type="pct"/>
                  <w:tcBorders>
                    <w:tl2br w:val="nil"/>
                    <w:tr2bl w:val="nil"/>
                  </w:tcBorders>
                  <w:vAlign w:val="center"/>
                </w:tcPr>
                <w:p w14:paraId="2640F6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03B0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757A35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19FB15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center"/>
                </w:tcPr>
                <w:p w14:paraId="7C1ADE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61CCA12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vMerge w:val="continue"/>
                  <w:tcBorders>
                    <w:tl2br w:val="nil"/>
                    <w:tr2bl w:val="nil"/>
                  </w:tcBorders>
                  <w:vAlign w:val="top"/>
                </w:tcPr>
                <w:p w14:paraId="7063965F">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default" w:ascii="Times New Roman" w:hAnsi="Times New Roman" w:cs="Times New Roman"/>
                      <w:color w:val="auto"/>
                      <w:sz w:val="21"/>
                      <w:szCs w:val="21"/>
                      <w:highlight w:val="none"/>
                    </w:rPr>
                  </w:pPr>
                </w:p>
              </w:tc>
              <w:tc>
                <w:tcPr>
                  <w:tcW w:w="543" w:type="pct"/>
                  <w:vMerge w:val="continue"/>
                  <w:tcBorders>
                    <w:tl2br w:val="nil"/>
                    <w:tr2bl w:val="nil"/>
                  </w:tcBorders>
                  <w:vAlign w:val="center"/>
                </w:tcPr>
                <w:p w14:paraId="3DE259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32EEC2E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196</w:t>
                  </w:r>
                </w:p>
              </w:tc>
              <w:tc>
                <w:tcPr>
                  <w:tcW w:w="1162" w:type="pct"/>
                  <w:tcBorders>
                    <w:tl2br w:val="nil"/>
                    <w:tr2bl w:val="nil"/>
                  </w:tcBorders>
                  <w:vAlign w:val="center"/>
                </w:tcPr>
                <w:p w14:paraId="5B9F7C6A">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南面有职工总数小于或等于50人的企业围墙 (</w:t>
                  </w:r>
                  <w:r>
                    <w:rPr>
                      <w:rFonts w:hint="default" w:ascii="Times New Roman" w:hAnsi="Times New Roman" w:eastAsia="宋体" w:cs="Times New Roman"/>
                      <w:color w:val="auto"/>
                      <w:spacing w:val="11"/>
                      <w:sz w:val="21"/>
                      <w:szCs w:val="21"/>
                    </w:rPr>
                    <w:t>本企业值班区、本企业展示厅)。</w:t>
                  </w:r>
                </w:p>
                <w:p w14:paraId="77A8B9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p>
              </w:tc>
              <w:tc>
                <w:tcPr>
                  <w:tcW w:w="263" w:type="pct"/>
                  <w:tcBorders>
                    <w:tl2br w:val="nil"/>
                    <w:tr2bl w:val="nil"/>
                  </w:tcBorders>
                  <w:vAlign w:val="center"/>
                </w:tcPr>
                <w:p w14:paraId="6F18A0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63E4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4D0E4C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center"/>
                </w:tcPr>
                <w:p w14:paraId="55E48B6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center"/>
                </w:tcPr>
                <w:p w14:paraId="2FEACD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55D56E3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tcBorders>
                    <w:tl2br w:val="nil"/>
                    <w:tr2bl w:val="nil"/>
                  </w:tcBorders>
                  <w:vAlign w:val="top"/>
                </w:tcPr>
                <w:p w14:paraId="4CD6577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pacing w:val="10"/>
                      <w:sz w:val="21"/>
                      <w:szCs w:val="21"/>
                    </w:rPr>
                    <w:t>《烟花爆工程设计安全标准》第4.3条,1.1级 (10000</w:t>
                  </w:r>
                  <w:r>
                    <w:rPr>
                      <w:rFonts w:hint="default" w:ascii="Times New Roman" w:hAnsi="Times New Roman" w:eastAsia="宋体" w:cs="Times New Roman"/>
                      <w:color w:val="auto"/>
                      <w:sz w:val="21"/>
                      <w:szCs w:val="21"/>
                    </w:rPr>
                    <w:t>kg</w:t>
                  </w:r>
                  <w:r>
                    <w:rPr>
                      <w:rFonts w:hint="default" w:ascii="Times New Roman" w:hAnsi="Times New Roman" w:eastAsia="宋体" w:cs="Times New Roman"/>
                      <w:color w:val="auto"/>
                      <w:spacing w:val="10"/>
                      <w:sz w:val="21"/>
                      <w:szCs w:val="21"/>
                    </w:rPr>
                    <w:t>)危险品</w:t>
                  </w:r>
                  <w:r>
                    <w:rPr>
                      <w:rFonts w:hint="default" w:ascii="Times New Roman" w:hAnsi="Times New Roman" w:eastAsia="宋体" w:cs="Times New Roman"/>
                      <w:color w:val="auto"/>
                      <w:spacing w:val="8"/>
                      <w:sz w:val="21"/>
                      <w:szCs w:val="21"/>
                    </w:rPr>
                    <w:t>仓库至职工总数小于或等于50人的企业围墙外部距离。</w:t>
                  </w:r>
                </w:p>
              </w:tc>
              <w:tc>
                <w:tcPr>
                  <w:tcW w:w="543" w:type="pct"/>
                  <w:tcBorders>
                    <w:tl2br w:val="nil"/>
                    <w:tr2bl w:val="nil"/>
                  </w:tcBorders>
                  <w:vAlign w:val="center"/>
                </w:tcPr>
                <w:p w14:paraId="663C052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270</w:t>
                  </w:r>
                </w:p>
              </w:tc>
              <w:tc>
                <w:tcPr>
                  <w:tcW w:w="609" w:type="pct"/>
                  <w:tcBorders>
                    <w:tl2br w:val="nil"/>
                    <w:tr2bl w:val="nil"/>
                  </w:tcBorders>
                  <w:vAlign w:val="center"/>
                </w:tcPr>
                <w:p w14:paraId="5F52606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517</w:t>
                  </w:r>
                </w:p>
              </w:tc>
              <w:tc>
                <w:tcPr>
                  <w:tcW w:w="1162" w:type="pct"/>
                  <w:tcBorders>
                    <w:tl2br w:val="nil"/>
                    <w:tr2bl w:val="nil"/>
                  </w:tcBorders>
                  <w:vAlign w:val="center"/>
                </w:tcPr>
                <w:p w14:paraId="1407274E">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南面有职工总数小于或等于50人的企业围墙 (</w:t>
                  </w:r>
                  <w:r>
                    <w:rPr>
                      <w:rFonts w:hint="default" w:ascii="Times New Roman" w:hAnsi="Times New Roman" w:eastAsia="宋体" w:cs="Times New Roman"/>
                      <w:color w:val="auto"/>
                      <w:spacing w:val="9"/>
                      <w:sz w:val="21"/>
                      <w:szCs w:val="21"/>
                    </w:rPr>
                    <w:t>本企业1.1</w:t>
                  </w:r>
                  <w:r>
                    <w:rPr>
                      <w:rFonts w:hint="default" w:ascii="Times New Roman" w:hAnsi="Times New Roman" w:eastAsia="宋体" w:cs="Times New Roman"/>
                      <w:color w:val="auto"/>
                      <w:spacing w:val="9"/>
                      <w:position w:val="4"/>
                      <w:sz w:val="21"/>
                      <w:szCs w:val="21"/>
                    </w:rPr>
                    <w:t>-2</w:t>
                  </w:r>
                  <w:r>
                    <w:rPr>
                      <w:rFonts w:hint="default" w:ascii="Times New Roman" w:hAnsi="Times New Roman" w:eastAsia="宋体" w:cs="Times New Roman"/>
                      <w:color w:val="auto"/>
                      <w:spacing w:val="9"/>
                      <w:sz w:val="21"/>
                      <w:szCs w:val="21"/>
                    </w:rPr>
                    <w:t>级危险品仓库区)。</w:t>
                  </w:r>
                </w:p>
                <w:p w14:paraId="2012D1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p>
              </w:tc>
              <w:tc>
                <w:tcPr>
                  <w:tcW w:w="263" w:type="pct"/>
                  <w:tcBorders>
                    <w:tl2br w:val="nil"/>
                    <w:tr2bl w:val="nil"/>
                  </w:tcBorders>
                  <w:vAlign w:val="top"/>
                </w:tcPr>
                <w:p w14:paraId="69C4615C">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193AF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2B396A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73A70E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189194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369FF5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top"/>
                </w:tcPr>
                <w:p w14:paraId="7F2F9A2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村庄边缘，学校，职工人数在50人及以上的企业围墙，有摘挂作业的铁路车站站界及建筑物边缘，220kV以下的区域变电站围墙，220kV架空输电线路</w:t>
                  </w:r>
                </w:p>
              </w:tc>
              <w:tc>
                <w:tcPr>
                  <w:tcW w:w="543" w:type="pct"/>
                  <w:vMerge w:val="restart"/>
                  <w:tcBorders>
                    <w:tl2br w:val="nil"/>
                    <w:tr2bl w:val="nil"/>
                  </w:tcBorders>
                  <w:vAlign w:val="center"/>
                </w:tcPr>
                <w:p w14:paraId="53CE941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140</w:t>
                  </w:r>
                </w:p>
              </w:tc>
              <w:tc>
                <w:tcPr>
                  <w:tcW w:w="609" w:type="pct"/>
                  <w:tcBorders>
                    <w:tl2br w:val="nil"/>
                    <w:tr2bl w:val="nil"/>
                  </w:tcBorders>
                  <w:vAlign w:val="center"/>
                </w:tcPr>
                <w:p w14:paraId="32E8EAB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425</w:t>
                  </w:r>
                </w:p>
              </w:tc>
              <w:tc>
                <w:tcPr>
                  <w:tcW w:w="1162" w:type="pct"/>
                  <w:tcBorders>
                    <w:tl2br w:val="nil"/>
                    <w:tr2bl w:val="nil"/>
                  </w:tcBorders>
                  <w:vAlign w:val="center"/>
                </w:tcPr>
                <w:p w14:paraId="5476B34C">
                  <w:pPr>
                    <w:keepNext w:val="0"/>
                    <w:keepLines w:val="0"/>
                    <w:pageBreakBefore w:val="0"/>
                    <w:wordWrap/>
                    <w:overflowPunct/>
                    <w:topLinePunct w:val="0"/>
                    <w:bidi w:val="0"/>
                    <w:spacing w:line="240" w:lineRule="auto"/>
                    <w:ind w:left="0" w:right="0" w:firstLine="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周边有人数大于50人的居民点边缘 (南面小龙</w:t>
                  </w:r>
                  <w:r>
                    <w:rPr>
                      <w:rFonts w:hint="default" w:ascii="Times New Roman" w:hAnsi="Times New Roman" w:eastAsia="宋体" w:cs="Times New Roman"/>
                      <w:color w:val="auto"/>
                      <w:spacing w:val="12"/>
                      <w:sz w:val="21"/>
                      <w:szCs w:val="21"/>
                    </w:rPr>
                    <w:t>潭村、东北面以其末村)。</w:t>
                  </w:r>
                </w:p>
                <w:p w14:paraId="54DFAC4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pacing w:val="2"/>
                      <w:position w:val="1"/>
                      <w:sz w:val="21"/>
                      <w:szCs w:val="21"/>
                      <w:highlight w:val="none"/>
                    </w:rPr>
                  </w:pPr>
                </w:p>
              </w:tc>
              <w:tc>
                <w:tcPr>
                  <w:tcW w:w="263" w:type="pct"/>
                  <w:tcBorders>
                    <w:tl2br w:val="nil"/>
                    <w:tr2bl w:val="nil"/>
                  </w:tcBorders>
                  <w:vAlign w:val="center"/>
                </w:tcPr>
                <w:p w14:paraId="3AB9B9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4172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6B42AD7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0CED94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4C6172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23FFB9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top"/>
                </w:tcPr>
                <w:p w14:paraId="6B9394F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default" w:ascii="Times New Roman" w:hAnsi="Times New Roman" w:cs="Times New Roman"/>
                      <w:color w:val="auto"/>
                      <w:sz w:val="21"/>
                      <w:szCs w:val="21"/>
                      <w:highlight w:val="none"/>
                    </w:rPr>
                  </w:pPr>
                </w:p>
              </w:tc>
              <w:tc>
                <w:tcPr>
                  <w:tcW w:w="543" w:type="pct"/>
                  <w:vMerge w:val="continue"/>
                  <w:tcBorders>
                    <w:tl2br w:val="nil"/>
                    <w:tr2bl w:val="nil"/>
                  </w:tcBorders>
                  <w:vAlign w:val="center"/>
                </w:tcPr>
                <w:p w14:paraId="1A5FB2D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08D3201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470</w:t>
                  </w:r>
                </w:p>
              </w:tc>
              <w:tc>
                <w:tcPr>
                  <w:tcW w:w="1162" w:type="pct"/>
                  <w:tcBorders>
                    <w:tl2br w:val="nil"/>
                    <w:tr2bl w:val="nil"/>
                  </w:tcBorders>
                  <w:vAlign w:val="center"/>
                </w:tcPr>
                <w:p w14:paraId="1E9E8BFF">
                  <w:pPr>
                    <w:keepNext w:val="0"/>
                    <w:keepLines w:val="0"/>
                    <w:pageBreakBefore w:val="0"/>
                    <w:wordWrap/>
                    <w:overflowPunct/>
                    <w:topLinePunct w:val="0"/>
                    <w:bidi w:val="0"/>
                    <w:spacing w:line="240" w:lineRule="auto"/>
                    <w:ind w:left="0" w:leftChars="0" w:right="0" w:rightChars="0" w:firstLine="0" w:firstLineChars="0"/>
                    <w:jc w:val="both"/>
                    <w:rPr>
                      <w:rFonts w:hint="eastAsia"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8"/>
                      <w:sz w:val="21"/>
                      <w:szCs w:val="21"/>
                    </w:rPr>
                    <w:t>周边有人数大于50人的企业围墙 (西面垃圾填埋厂、西北面有铜都赛鸽中心、西南面有看守</w:t>
                  </w:r>
                  <w:r>
                    <w:rPr>
                      <w:rFonts w:hint="default" w:ascii="Times New Roman" w:hAnsi="Times New Roman" w:eastAsia="宋体" w:cs="Times New Roman"/>
                      <w:color w:val="auto"/>
                      <w:spacing w:val="13"/>
                      <w:sz w:val="21"/>
                      <w:szCs w:val="21"/>
                    </w:rPr>
                    <w:t>所、鑫吉驾校)。</w:t>
                  </w:r>
                </w:p>
              </w:tc>
              <w:tc>
                <w:tcPr>
                  <w:tcW w:w="263" w:type="pct"/>
                  <w:tcBorders>
                    <w:tl2br w:val="nil"/>
                    <w:tr2bl w:val="nil"/>
                  </w:tcBorders>
                  <w:vAlign w:val="center"/>
                </w:tcPr>
                <w:p w14:paraId="0E639F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A726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2235A1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01E11C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6C7C4A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29F982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top"/>
                </w:tcPr>
                <w:p w14:paraId="41088BF1">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城镇规划边缘，220kV及以上的区域变电站围墙，220kV以上的架空输电线路</w:t>
                  </w:r>
                </w:p>
              </w:tc>
              <w:tc>
                <w:tcPr>
                  <w:tcW w:w="543" w:type="pct"/>
                  <w:tcBorders>
                    <w:tl2br w:val="nil"/>
                    <w:tr2bl w:val="nil"/>
                  </w:tcBorders>
                  <w:vAlign w:val="center"/>
                </w:tcPr>
                <w:p w14:paraId="6F74E1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250</w:t>
                  </w:r>
                </w:p>
              </w:tc>
              <w:tc>
                <w:tcPr>
                  <w:tcW w:w="609" w:type="pct"/>
                  <w:tcBorders>
                    <w:tl2br w:val="nil"/>
                    <w:tr2bl w:val="nil"/>
                  </w:tcBorders>
                  <w:vAlign w:val="center"/>
                </w:tcPr>
                <w:p w14:paraId="184AA21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3600</w:t>
                  </w:r>
                </w:p>
              </w:tc>
              <w:tc>
                <w:tcPr>
                  <w:tcW w:w="1162" w:type="pct"/>
                  <w:tcBorders>
                    <w:tl2br w:val="nil"/>
                    <w:tr2bl w:val="nil"/>
                  </w:tcBorders>
                  <w:vAlign w:val="center"/>
                </w:tcPr>
                <w:p w14:paraId="279B97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2"/>
                      <w:position w:val="1"/>
                      <w:sz w:val="21"/>
                      <w:szCs w:val="21"/>
                      <w:highlight w:val="none"/>
                    </w:rPr>
                  </w:pPr>
                  <w:r>
                    <w:rPr>
                      <w:rFonts w:hint="default" w:ascii="Times New Roman" w:hAnsi="Times New Roman" w:eastAsia="宋体" w:cs="Times New Roman"/>
                      <w:color w:val="auto"/>
                      <w:spacing w:val="8"/>
                      <w:sz w:val="21"/>
                      <w:szCs w:val="21"/>
                    </w:rPr>
                    <w:t>南面有城镇规划边缘、学校 (寻甸县、寻甸第</w:t>
                  </w:r>
                  <w:r>
                    <w:rPr>
                      <w:rFonts w:hint="default" w:ascii="Times New Roman" w:hAnsi="Times New Roman" w:eastAsia="宋体" w:cs="Times New Roman"/>
                      <w:color w:val="auto"/>
                      <w:spacing w:val="12"/>
                      <w:sz w:val="21"/>
                      <w:szCs w:val="21"/>
                    </w:rPr>
                    <w:t>一中学、仁德二小)。</w:t>
                  </w:r>
                </w:p>
              </w:tc>
              <w:tc>
                <w:tcPr>
                  <w:tcW w:w="263" w:type="pct"/>
                  <w:tcBorders>
                    <w:tl2br w:val="nil"/>
                    <w:tr2bl w:val="nil"/>
                  </w:tcBorders>
                  <w:vAlign w:val="center"/>
                </w:tcPr>
                <w:p w14:paraId="16908B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45BD5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34C2C9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725A7C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265DA3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179977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center"/>
                </w:tcPr>
                <w:p w14:paraId="734AABB0">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8"/>
                      <w:sz w:val="21"/>
                      <w:szCs w:val="21"/>
                    </w:rPr>
                    <w:t>国家铁路线、省级以上公路用地外缘、通航的河流航道边缘</w:t>
                  </w:r>
                  <w:r>
                    <w:rPr>
                      <w:rFonts w:hint="eastAsia" w:cs="Times New Roman"/>
                      <w:color w:val="auto"/>
                      <w:spacing w:val="8"/>
                      <w:sz w:val="21"/>
                      <w:szCs w:val="21"/>
                      <w:lang w:eastAsia="zh-CN"/>
                    </w:rPr>
                    <w:t>。</w:t>
                  </w:r>
                </w:p>
              </w:tc>
              <w:tc>
                <w:tcPr>
                  <w:tcW w:w="543" w:type="pct"/>
                  <w:vMerge w:val="restart"/>
                  <w:tcBorders>
                    <w:tl2br w:val="nil"/>
                    <w:tr2bl w:val="nil"/>
                  </w:tcBorders>
                  <w:vAlign w:val="center"/>
                </w:tcPr>
                <w:p w14:paraId="69D4DD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70</w:t>
                  </w:r>
                </w:p>
              </w:tc>
              <w:tc>
                <w:tcPr>
                  <w:tcW w:w="609" w:type="pct"/>
                  <w:tcBorders>
                    <w:tl2br w:val="nil"/>
                    <w:tr2bl w:val="nil"/>
                  </w:tcBorders>
                  <w:vAlign w:val="center"/>
                </w:tcPr>
                <w:p w14:paraId="6FE929B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170</w:t>
                  </w:r>
                </w:p>
              </w:tc>
              <w:tc>
                <w:tcPr>
                  <w:tcW w:w="1162" w:type="pct"/>
                  <w:tcBorders>
                    <w:tl2br w:val="nil"/>
                    <w:tr2bl w:val="nil"/>
                  </w:tcBorders>
                  <w:vAlign w:val="center"/>
                </w:tcPr>
                <w:p w14:paraId="1A38DBB5">
                  <w:pPr>
                    <w:keepNext w:val="0"/>
                    <w:keepLines w:val="0"/>
                    <w:pageBreakBefore w:val="0"/>
                    <w:wordWrap/>
                    <w:overflowPunct/>
                    <w:topLinePunct w:val="0"/>
                    <w:bidi w:val="0"/>
                    <w:spacing w:line="240" w:lineRule="auto"/>
                    <w:ind w:left="0" w:right="0" w:firstLine="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周边有国道、省道(西北面有G85银昆高</w:t>
                  </w:r>
                  <w:r>
                    <w:rPr>
                      <w:rFonts w:hint="default" w:ascii="Times New Roman" w:hAnsi="Times New Roman" w:eastAsia="宋体" w:cs="Times New Roman"/>
                      <w:color w:val="auto"/>
                      <w:spacing w:val="7"/>
                      <w:sz w:val="21"/>
                      <w:szCs w:val="21"/>
                    </w:rPr>
                    <w:t>速、东面有G85银昆高速引线、西面有S256寻白线</w:t>
                  </w:r>
                  <w:r>
                    <w:rPr>
                      <w:rFonts w:hint="default" w:ascii="Times New Roman" w:hAnsi="Times New Roman" w:eastAsia="宋体" w:cs="Times New Roman"/>
                      <w:color w:val="auto"/>
                      <w:spacing w:val="10"/>
                      <w:sz w:val="21"/>
                      <w:szCs w:val="21"/>
                    </w:rPr>
                    <w:t xml:space="preserve"> 、南面有S30滇中环线)。</w:t>
                  </w:r>
                </w:p>
                <w:p w14:paraId="7C84A5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pacing w:val="2"/>
                      <w:position w:val="1"/>
                      <w:sz w:val="21"/>
                      <w:szCs w:val="21"/>
                      <w:highlight w:val="none"/>
                    </w:rPr>
                  </w:pPr>
                </w:p>
              </w:tc>
              <w:tc>
                <w:tcPr>
                  <w:tcW w:w="263" w:type="pct"/>
                  <w:tcBorders>
                    <w:tl2br w:val="nil"/>
                    <w:tr2bl w:val="nil"/>
                  </w:tcBorders>
                  <w:vAlign w:val="center"/>
                </w:tcPr>
                <w:p w14:paraId="2F73DC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8BC3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0F14C8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581B63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24B082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3EFFF5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center"/>
                </w:tcPr>
                <w:p w14:paraId="1FC69569">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宋体" w:cs="Times New Roman"/>
                      <w:color w:val="auto"/>
                      <w:spacing w:val="8"/>
                      <w:sz w:val="21"/>
                      <w:szCs w:val="21"/>
                    </w:rPr>
                  </w:pPr>
                </w:p>
              </w:tc>
              <w:tc>
                <w:tcPr>
                  <w:tcW w:w="543" w:type="pct"/>
                  <w:vMerge w:val="continue"/>
                  <w:tcBorders>
                    <w:tl2br w:val="nil"/>
                    <w:tr2bl w:val="nil"/>
                  </w:tcBorders>
                  <w:vAlign w:val="center"/>
                </w:tcPr>
                <w:p w14:paraId="4779518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6DBB0AE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985</w:t>
                  </w:r>
                </w:p>
              </w:tc>
              <w:tc>
                <w:tcPr>
                  <w:tcW w:w="1162" w:type="pct"/>
                  <w:tcBorders>
                    <w:tl2br w:val="nil"/>
                    <w:tr2bl w:val="nil"/>
                  </w:tcBorders>
                  <w:vAlign w:val="center"/>
                </w:tcPr>
                <w:p w14:paraId="2B17DBA8">
                  <w:pPr>
                    <w:keepNext w:val="0"/>
                    <w:keepLines w:val="0"/>
                    <w:pageBreakBefore w:val="0"/>
                    <w:wordWrap/>
                    <w:overflowPunct/>
                    <w:topLinePunct w:val="0"/>
                    <w:bidi w:val="0"/>
                    <w:spacing w:line="240" w:lineRule="auto"/>
                    <w:ind w:left="0" w:leftChars="0" w:right="0" w:rightChars="0" w:firstLine="0" w:firstLineChars="0"/>
                    <w:rPr>
                      <w:rFonts w:hint="eastAsia" w:ascii="Times New Roman" w:hAnsi="Times New Roman" w:eastAsia="宋体" w:cs="Times New Roman"/>
                      <w:color w:val="auto"/>
                      <w:spacing w:val="2"/>
                      <w:position w:val="2"/>
                      <w:sz w:val="21"/>
                      <w:szCs w:val="21"/>
                      <w:highlight w:val="none"/>
                      <w:lang w:val="en-US" w:eastAsia="zh-CN"/>
                    </w:rPr>
                  </w:pPr>
                  <w:r>
                    <w:rPr>
                      <w:rFonts w:hint="default" w:ascii="Times New Roman" w:hAnsi="Times New Roman" w:eastAsia="宋体" w:cs="Times New Roman"/>
                      <w:color w:val="auto"/>
                      <w:spacing w:val="7"/>
                      <w:sz w:val="21"/>
                      <w:szCs w:val="21"/>
                    </w:rPr>
                    <w:t>西面有东川铁路支线。</w:t>
                  </w:r>
                </w:p>
              </w:tc>
              <w:tc>
                <w:tcPr>
                  <w:tcW w:w="263" w:type="pct"/>
                  <w:tcBorders>
                    <w:tl2br w:val="nil"/>
                    <w:tr2bl w:val="nil"/>
                  </w:tcBorders>
                  <w:vAlign w:val="center"/>
                </w:tcPr>
                <w:p w14:paraId="5158E9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C860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3FE070B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3C4D22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107419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27ABE3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373C418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pacing w:val="8"/>
                      <w:sz w:val="21"/>
                      <w:szCs w:val="21"/>
                    </w:rPr>
                    <w:t>非本厂的工厂铁路支线、县级公路用地外缘、35</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8"/>
                      <w:sz w:val="21"/>
                      <w:szCs w:val="21"/>
                    </w:rPr>
                    <w:t>架空输电线路</w:t>
                  </w:r>
                  <w:r>
                    <w:rPr>
                      <w:rFonts w:hint="eastAsia" w:ascii="Times New Roman" w:hAnsi="Times New Roman" w:eastAsia="宋体" w:cs="Times New Roman"/>
                      <w:color w:val="auto"/>
                      <w:spacing w:val="8"/>
                      <w:sz w:val="21"/>
                      <w:szCs w:val="21"/>
                      <w:lang w:eastAsia="zh-CN"/>
                    </w:rPr>
                    <w:t>。</w:t>
                  </w:r>
                </w:p>
              </w:tc>
              <w:tc>
                <w:tcPr>
                  <w:tcW w:w="543" w:type="pct"/>
                  <w:tcBorders>
                    <w:tl2br w:val="nil"/>
                    <w:tr2bl w:val="nil"/>
                  </w:tcBorders>
                  <w:vAlign w:val="center"/>
                </w:tcPr>
                <w:p w14:paraId="0435A25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70</w:t>
                  </w:r>
                </w:p>
              </w:tc>
              <w:tc>
                <w:tcPr>
                  <w:tcW w:w="609" w:type="pct"/>
                  <w:tcBorders>
                    <w:tl2br w:val="nil"/>
                    <w:tr2bl w:val="nil"/>
                  </w:tcBorders>
                  <w:vAlign w:val="center"/>
                </w:tcPr>
                <w:p w14:paraId="2DCD56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p>
              </w:tc>
              <w:tc>
                <w:tcPr>
                  <w:tcW w:w="1162" w:type="pct"/>
                  <w:tcBorders>
                    <w:tl2br w:val="nil"/>
                    <w:tr2bl w:val="nil"/>
                  </w:tcBorders>
                  <w:vAlign w:val="center"/>
                </w:tcPr>
                <w:p w14:paraId="3456CF96">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eastAsia="Times New Roman" w:cs="Times New Roman"/>
                      <w:color w:val="auto"/>
                      <w:spacing w:val="2"/>
                      <w:position w:val="1"/>
                      <w:sz w:val="21"/>
                      <w:szCs w:val="21"/>
                      <w:highlight w:val="none"/>
                    </w:rPr>
                  </w:pPr>
                  <w:r>
                    <w:rPr>
                      <w:rFonts w:hint="default" w:ascii="Times New Roman" w:hAnsi="Times New Roman" w:eastAsia="宋体" w:cs="Times New Roman"/>
                      <w:color w:val="auto"/>
                      <w:spacing w:val="7"/>
                      <w:sz w:val="21"/>
                      <w:szCs w:val="21"/>
                    </w:rPr>
                    <w:t>周边无其他相关项目。</w:t>
                  </w:r>
                </w:p>
              </w:tc>
              <w:tc>
                <w:tcPr>
                  <w:tcW w:w="263" w:type="pct"/>
                  <w:tcBorders>
                    <w:tl2br w:val="nil"/>
                    <w:tr2bl w:val="nil"/>
                  </w:tcBorders>
                  <w:vAlign w:val="center"/>
                </w:tcPr>
                <w:p w14:paraId="1270AB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263B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1712EB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420DF9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25BBF0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3A9424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5DDE6511">
                  <w:pPr>
                    <w:keepNext w:val="0"/>
                    <w:keepLines w:val="0"/>
                    <w:pageBreakBefore w:val="0"/>
                    <w:wordWrap/>
                    <w:overflowPunct/>
                    <w:topLinePunct w:val="0"/>
                    <w:bidi w:val="0"/>
                    <w:spacing w:line="240" w:lineRule="auto"/>
                    <w:ind w:left="0" w:leftChars="0" w:right="0" w:rightChars="0" w:firstLine="0" w:firstLineChars="0"/>
                    <w:jc w:val="both"/>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《公路安全保护条例》第18条公路用地外缘起向外100米,禁止设立储存易燃易爆危险品场所。</w:t>
                  </w:r>
                </w:p>
              </w:tc>
              <w:tc>
                <w:tcPr>
                  <w:tcW w:w="543" w:type="pct"/>
                  <w:tcBorders>
                    <w:tl2br w:val="nil"/>
                    <w:tr2bl w:val="nil"/>
                  </w:tcBorders>
                  <w:vAlign w:val="center"/>
                </w:tcPr>
                <w:p w14:paraId="085FF7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609" w:type="pct"/>
                  <w:tcBorders>
                    <w:tl2br w:val="nil"/>
                    <w:tr2bl w:val="nil"/>
                  </w:tcBorders>
                  <w:vAlign w:val="center"/>
                </w:tcPr>
                <w:p w14:paraId="1EC26B5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170</w:t>
                  </w:r>
                </w:p>
              </w:tc>
              <w:tc>
                <w:tcPr>
                  <w:tcW w:w="1162" w:type="pct"/>
                  <w:tcBorders>
                    <w:tl2br w:val="nil"/>
                    <w:tr2bl w:val="nil"/>
                  </w:tcBorders>
                  <w:vAlign w:val="center"/>
                </w:tcPr>
                <w:p w14:paraId="6F697933">
                  <w:pPr>
                    <w:keepNext w:val="0"/>
                    <w:keepLines w:val="0"/>
                    <w:pageBreakBefore w:val="0"/>
                    <w:wordWrap/>
                    <w:overflowPunct/>
                    <w:topLinePunct w:val="0"/>
                    <w:bidi w:val="0"/>
                    <w:spacing w:line="240" w:lineRule="auto"/>
                    <w:ind w:left="0" w:leftChars="0" w:right="0" w:rightChars="0" w:firstLine="0" w:firstLineChars="0"/>
                    <w:jc w:val="both"/>
                    <w:rPr>
                      <w:rFonts w:hint="default" w:ascii="Times New Roman" w:hAnsi="Times New Roman" w:eastAsia="宋体" w:cs="Times New Roman"/>
                      <w:color w:val="auto"/>
                      <w:spacing w:val="7"/>
                      <w:sz w:val="21"/>
                      <w:szCs w:val="21"/>
                    </w:rPr>
                  </w:pPr>
                  <w:r>
                    <w:rPr>
                      <w:rFonts w:hint="default" w:ascii="Times New Roman" w:hAnsi="Times New Roman" w:eastAsia="宋体" w:cs="Times New Roman"/>
                      <w:color w:val="auto"/>
                      <w:spacing w:val="8"/>
                      <w:sz w:val="21"/>
                      <w:szCs w:val="21"/>
                    </w:rPr>
                    <w:t>周边有国道、省道 (西北面有G85银昆高</w:t>
                  </w:r>
                  <w:r>
                    <w:rPr>
                      <w:rFonts w:hint="default" w:ascii="Times New Roman" w:hAnsi="Times New Roman" w:eastAsia="宋体" w:cs="Times New Roman"/>
                      <w:color w:val="auto"/>
                      <w:spacing w:val="7"/>
                      <w:sz w:val="21"/>
                      <w:szCs w:val="21"/>
                    </w:rPr>
                    <w:t>速、东面有G85银昆高速引线、西面有S256寻白线</w:t>
                  </w:r>
                  <w:r>
                    <w:rPr>
                      <w:rFonts w:hint="default" w:ascii="Times New Roman" w:hAnsi="Times New Roman" w:eastAsia="宋体" w:cs="Times New Roman"/>
                      <w:color w:val="auto"/>
                      <w:spacing w:val="10"/>
                      <w:sz w:val="21"/>
                      <w:szCs w:val="21"/>
                    </w:rPr>
                    <w:t>、南面有S30滇中环线)。</w:t>
                  </w:r>
                </w:p>
              </w:tc>
              <w:tc>
                <w:tcPr>
                  <w:tcW w:w="263" w:type="pct"/>
                  <w:tcBorders>
                    <w:tl2br w:val="nil"/>
                    <w:tr2bl w:val="nil"/>
                  </w:tcBorders>
                  <w:vAlign w:val="center"/>
                </w:tcPr>
                <w:p w14:paraId="5809E5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8CA4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445906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6096BA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1FAF0D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66AA24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6A9F1FDA">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10"/>
                      <w:sz w:val="21"/>
                      <w:szCs w:val="21"/>
                    </w:rPr>
                    <w:t>库区围墙外,20</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10"/>
                      <w:sz w:val="21"/>
                      <w:szCs w:val="21"/>
                    </w:rPr>
                    <w:t>及以下电力架空线路和通信架空线路。</w:t>
                  </w:r>
                </w:p>
              </w:tc>
              <w:tc>
                <w:tcPr>
                  <w:tcW w:w="543" w:type="pct"/>
                  <w:tcBorders>
                    <w:tl2br w:val="nil"/>
                    <w:tr2bl w:val="nil"/>
                  </w:tcBorders>
                  <w:vAlign w:val="center"/>
                </w:tcPr>
                <w:p w14:paraId="18506F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609" w:type="pct"/>
                  <w:tcBorders>
                    <w:tl2br w:val="nil"/>
                    <w:tr2bl w:val="nil"/>
                  </w:tcBorders>
                  <w:vAlign w:val="center"/>
                </w:tcPr>
                <w:p w14:paraId="4A34738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41</w:t>
                  </w:r>
                </w:p>
              </w:tc>
              <w:tc>
                <w:tcPr>
                  <w:tcW w:w="1162" w:type="pct"/>
                  <w:tcBorders>
                    <w:tl2br w:val="nil"/>
                    <w:tr2bl w:val="nil"/>
                  </w:tcBorders>
                  <w:vAlign w:val="center"/>
                </w:tcPr>
                <w:p w14:paraId="28794260">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eastAsia="宋体" w:cs="Times New Roman"/>
                      <w:color w:val="auto"/>
                      <w:spacing w:val="7"/>
                      <w:sz w:val="21"/>
                      <w:szCs w:val="21"/>
                    </w:rPr>
                  </w:pPr>
                  <w:r>
                    <w:rPr>
                      <w:rFonts w:hint="default" w:ascii="Times New Roman" w:hAnsi="Times New Roman" w:eastAsia="宋体" w:cs="Times New Roman"/>
                      <w:color w:val="auto"/>
                      <w:spacing w:val="8"/>
                      <w:sz w:val="21"/>
                      <w:szCs w:val="21"/>
                    </w:rPr>
                    <w:t>西面、南面有10</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8"/>
                      <w:sz w:val="21"/>
                      <w:szCs w:val="21"/>
                    </w:rPr>
                    <w:t>架空输电线路。</w:t>
                  </w:r>
                </w:p>
              </w:tc>
              <w:tc>
                <w:tcPr>
                  <w:tcW w:w="263" w:type="pct"/>
                  <w:tcBorders>
                    <w:tl2br w:val="nil"/>
                    <w:tr2bl w:val="nil"/>
                  </w:tcBorders>
                  <w:vAlign w:val="center"/>
                </w:tcPr>
                <w:p w14:paraId="4CDDF1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0BB4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6DDB67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605673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747853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21081E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3C27598A">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9"/>
                      <w:sz w:val="21"/>
                      <w:szCs w:val="21"/>
                    </w:rPr>
                    <w:t>危险品仓库区架空敷设1</w:t>
                  </w:r>
                  <w:r>
                    <w:rPr>
                      <w:rFonts w:hint="default" w:ascii="Times New Roman" w:hAnsi="Times New Roman" w:eastAsia="宋体" w:cs="Times New Roman"/>
                      <w:color w:val="auto"/>
                      <w:sz w:val="21"/>
                      <w:szCs w:val="21"/>
                    </w:rPr>
                    <w:t>kV</w:t>
                  </w:r>
                  <w:r>
                    <w:rPr>
                      <w:rFonts w:hint="default" w:ascii="Times New Roman" w:hAnsi="Times New Roman" w:eastAsia="宋体" w:cs="Times New Roman"/>
                      <w:color w:val="auto"/>
                      <w:spacing w:val="9"/>
                      <w:sz w:val="21"/>
                      <w:szCs w:val="21"/>
                    </w:rPr>
                    <w:t>及以下的电气线路</w:t>
                  </w:r>
                  <w:r>
                    <w:rPr>
                      <w:rFonts w:hint="default" w:ascii="Times New Roman" w:hAnsi="Times New Roman" w:eastAsia="宋体" w:cs="Times New Roman"/>
                      <w:color w:val="auto"/>
                      <w:spacing w:val="8"/>
                      <w:sz w:val="21"/>
                      <w:szCs w:val="21"/>
                    </w:rPr>
                    <w:t>和通信线路 (本企业</w:t>
                  </w:r>
                  <w:r>
                    <w:rPr>
                      <w:rFonts w:hint="default" w:ascii="Times New Roman" w:hAnsi="Times New Roman" w:eastAsia="宋体" w:cs="Times New Roman"/>
                      <w:color w:val="auto"/>
                      <w:spacing w:val="13"/>
                      <w:sz w:val="21"/>
                      <w:szCs w:val="21"/>
                    </w:rPr>
                    <w:t>自用)。</w:t>
                  </w:r>
                </w:p>
              </w:tc>
              <w:tc>
                <w:tcPr>
                  <w:tcW w:w="543" w:type="pct"/>
                  <w:tcBorders>
                    <w:tl2br w:val="nil"/>
                    <w:tr2bl w:val="nil"/>
                  </w:tcBorders>
                  <w:vAlign w:val="center"/>
                </w:tcPr>
                <w:p w14:paraId="7054C0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杆高6m，1.5倍杆高9m</w:t>
                  </w:r>
                </w:p>
              </w:tc>
              <w:tc>
                <w:tcPr>
                  <w:tcW w:w="609" w:type="pct"/>
                  <w:tcBorders>
                    <w:tl2br w:val="nil"/>
                    <w:tr2bl w:val="nil"/>
                  </w:tcBorders>
                  <w:vAlign w:val="center"/>
                </w:tcPr>
                <w:p w14:paraId="06A9C8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121</w:t>
                  </w:r>
                </w:p>
              </w:tc>
              <w:tc>
                <w:tcPr>
                  <w:tcW w:w="1162" w:type="pct"/>
                  <w:tcBorders>
                    <w:tl2br w:val="nil"/>
                    <w:tr2bl w:val="nil"/>
                  </w:tcBorders>
                  <w:vAlign w:val="center"/>
                </w:tcPr>
                <w:p w14:paraId="36B1FD99">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eastAsia="宋体" w:cs="Times New Roman"/>
                      <w:color w:val="auto"/>
                      <w:spacing w:val="7"/>
                      <w:sz w:val="21"/>
                      <w:szCs w:val="21"/>
                    </w:rPr>
                  </w:pPr>
                  <w:r>
                    <w:rPr>
                      <w:rFonts w:hint="default" w:ascii="Times New Roman" w:hAnsi="Times New Roman" w:eastAsia="宋体" w:cs="Times New Roman"/>
                      <w:color w:val="auto"/>
                      <w:spacing w:val="10"/>
                      <w:sz w:val="21"/>
                      <w:szCs w:val="21"/>
                    </w:rPr>
                    <w:t>东面、南面有通信架空线路 (本企业自用)。</w:t>
                  </w:r>
                </w:p>
              </w:tc>
              <w:tc>
                <w:tcPr>
                  <w:tcW w:w="263" w:type="pct"/>
                  <w:tcBorders>
                    <w:tl2br w:val="nil"/>
                    <w:tr2bl w:val="nil"/>
                  </w:tcBorders>
                  <w:vAlign w:val="center"/>
                </w:tcPr>
                <w:p w14:paraId="166E83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8BAC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000889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61F77A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132DFB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6A3CAC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3D70B42E">
                  <w:pPr>
                    <w:keepNext w:val="0"/>
                    <w:keepLines w:val="0"/>
                    <w:pageBreakBefore w:val="0"/>
                    <w:wordWrap/>
                    <w:overflowPunct/>
                    <w:topLinePunct w:val="0"/>
                    <w:bidi w:val="0"/>
                    <w:spacing w:line="240" w:lineRule="auto"/>
                    <w:ind w:left="0" w:leftChars="0" w:right="0" w:rightChars="0" w:firstLine="0" w:firstLineChars="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pacing w:val="9"/>
                      <w:sz w:val="21"/>
                      <w:szCs w:val="21"/>
                    </w:rPr>
                    <w:t>无线通信塔 (发射功率不大于50W)。</w:t>
                  </w:r>
                </w:p>
              </w:tc>
              <w:tc>
                <w:tcPr>
                  <w:tcW w:w="543" w:type="pct"/>
                  <w:tcBorders>
                    <w:tl2br w:val="nil"/>
                    <w:tr2bl w:val="nil"/>
                  </w:tcBorders>
                  <w:vAlign w:val="center"/>
                </w:tcPr>
                <w:p w14:paraId="1A61222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50</w:t>
                  </w:r>
                </w:p>
              </w:tc>
              <w:tc>
                <w:tcPr>
                  <w:tcW w:w="609" w:type="pct"/>
                  <w:tcBorders>
                    <w:tl2br w:val="nil"/>
                    <w:tr2bl w:val="nil"/>
                  </w:tcBorders>
                  <w:vAlign w:val="center"/>
                </w:tcPr>
                <w:p w14:paraId="5420D38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206</w:t>
                  </w:r>
                </w:p>
              </w:tc>
              <w:tc>
                <w:tcPr>
                  <w:tcW w:w="1162" w:type="pct"/>
                  <w:tcBorders>
                    <w:tl2br w:val="nil"/>
                    <w:tr2bl w:val="nil"/>
                  </w:tcBorders>
                  <w:vAlign w:val="center"/>
                </w:tcPr>
                <w:p w14:paraId="326F8A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pacing w:val="2"/>
                      <w:position w:val="1"/>
                      <w:sz w:val="21"/>
                      <w:szCs w:val="21"/>
                      <w:highlight w:val="none"/>
                    </w:rPr>
                  </w:pPr>
                  <w:r>
                    <w:rPr>
                      <w:rFonts w:hint="default" w:ascii="Times New Roman" w:hAnsi="Times New Roman" w:eastAsia="宋体" w:cs="Times New Roman"/>
                      <w:color w:val="auto"/>
                      <w:spacing w:val="9"/>
                      <w:sz w:val="21"/>
                      <w:szCs w:val="21"/>
                    </w:rPr>
                    <w:t>南面有无线通信塔(发射功率不大于50W)。</w:t>
                  </w:r>
                </w:p>
              </w:tc>
              <w:tc>
                <w:tcPr>
                  <w:tcW w:w="263" w:type="pct"/>
                  <w:tcBorders>
                    <w:tl2br w:val="nil"/>
                    <w:tr2bl w:val="nil"/>
                  </w:tcBorders>
                  <w:vAlign w:val="center"/>
                </w:tcPr>
                <w:p w14:paraId="5C5A00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42146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160" w:type="pct"/>
                  <w:vMerge w:val="restart"/>
                  <w:tcBorders>
                    <w:tl2br w:val="nil"/>
                    <w:tr2bl w:val="nil"/>
                  </w:tcBorders>
                  <w:vAlign w:val="center"/>
                </w:tcPr>
                <w:p w14:paraId="1A1306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地块二</w:t>
                  </w:r>
                </w:p>
              </w:tc>
              <w:tc>
                <w:tcPr>
                  <w:tcW w:w="165" w:type="pct"/>
                  <w:vMerge w:val="restart"/>
                  <w:tcBorders>
                    <w:tl2br w:val="nil"/>
                    <w:tr2bl w:val="nil"/>
                  </w:tcBorders>
                  <w:vAlign w:val="center"/>
                </w:tcPr>
                <w:p w14:paraId="39A592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4"/>
                      <w:sz w:val="21"/>
                      <w:szCs w:val="21"/>
                      <w:highlight w:val="none"/>
                    </w:rPr>
                    <w:t>烟花爆竹仓库</w:t>
                  </w:r>
                </w:p>
              </w:tc>
              <w:tc>
                <w:tcPr>
                  <w:tcW w:w="474" w:type="pct"/>
                  <w:vMerge w:val="restart"/>
                  <w:tcBorders>
                    <w:tl2br w:val="nil"/>
                    <w:tr2bl w:val="nil"/>
                  </w:tcBorders>
                  <w:vAlign w:val="center"/>
                </w:tcPr>
                <w:p w14:paraId="502606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197" w:type="pct"/>
                  <w:vMerge w:val="restart"/>
                  <w:tcBorders>
                    <w:tl2br w:val="nil"/>
                    <w:tr2bl w:val="nil"/>
                  </w:tcBorders>
                  <w:vAlign w:val="center"/>
                </w:tcPr>
                <w:p w14:paraId="1578BC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1423" w:type="pct"/>
                  <w:vMerge w:val="restart"/>
                  <w:tcBorders>
                    <w:tl2br w:val="nil"/>
                    <w:tr2bl w:val="nil"/>
                  </w:tcBorders>
                  <w:vAlign w:val="center"/>
                </w:tcPr>
                <w:p w14:paraId="7A97B7E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10户或50人以下零散住户，50人以下的企业围墙，本企业生产区建筑物边缘，无摘挂作业铁路中间站站界及建筑物边缘，110kV架空输电线路</w:t>
                  </w:r>
                </w:p>
              </w:tc>
              <w:tc>
                <w:tcPr>
                  <w:tcW w:w="543" w:type="pct"/>
                  <w:vMerge w:val="restart"/>
                  <w:tcBorders>
                    <w:tl2br w:val="nil"/>
                    <w:tr2bl w:val="nil"/>
                  </w:tcBorders>
                  <w:vAlign w:val="center"/>
                </w:tcPr>
                <w:p w14:paraId="3A427C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270</w:t>
                  </w:r>
                </w:p>
              </w:tc>
              <w:tc>
                <w:tcPr>
                  <w:tcW w:w="609" w:type="pct"/>
                  <w:tcBorders>
                    <w:bottom w:val="single" w:color="auto" w:sz="4" w:space="0"/>
                    <w:tl2br w:val="nil"/>
                    <w:tr2bl w:val="nil"/>
                  </w:tcBorders>
                  <w:vAlign w:val="center"/>
                </w:tcPr>
                <w:p w14:paraId="7A0C2F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530</w:t>
                  </w:r>
                </w:p>
              </w:tc>
              <w:tc>
                <w:tcPr>
                  <w:tcW w:w="1162" w:type="pct"/>
                  <w:tcBorders>
                    <w:bottom w:val="single" w:color="auto" w:sz="4" w:space="0"/>
                    <w:tl2br w:val="nil"/>
                    <w:tr2bl w:val="nil"/>
                  </w:tcBorders>
                  <w:vAlign w:val="center"/>
                </w:tcPr>
                <w:p w14:paraId="59744F31">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3"/>
                      <w:szCs w:val="23"/>
                      <w:lang w:val="en-US" w:eastAsia="zh-CN" w:bidi="ar"/>
                    </w:rPr>
                    <w:t>东南面有人数小于或等于50人或户数小于或等于10户的零散住户。</w:t>
                  </w:r>
                </w:p>
              </w:tc>
              <w:tc>
                <w:tcPr>
                  <w:tcW w:w="263" w:type="pct"/>
                  <w:tcBorders>
                    <w:bottom w:val="single" w:color="auto" w:sz="4" w:space="0"/>
                    <w:tl2br w:val="nil"/>
                    <w:tr2bl w:val="nil"/>
                  </w:tcBorders>
                  <w:vAlign w:val="center"/>
                </w:tcPr>
                <w:p w14:paraId="35AB98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06037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60" w:type="pct"/>
                  <w:vMerge w:val="continue"/>
                  <w:tcBorders>
                    <w:tl2br w:val="nil"/>
                    <w:tr2bl w:val="nil"/>
                  </w:tcBorders>
                  <w:vAlign w:val="center"/>
                </w:tcPr>
                <w:p w14:paraId="76B1A5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65" w:type="pct"/>
                  <w:vMerge w:val="continue"/>
                  <w:tcBorders>
                    <w:tl2br w:val="nil"/>
                    <w:tr2bl w:val="nil"/>
                  </w:tcBorders>
                  <w:vAlign w:val="center"/>
                </w:tcPr>
                <w:p w14:paraId="0DB8EB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highlight w:val="none"/>
                    </w:rPr>
                  </w:pPr>
                </w:p>
              </w:tc>
              <w:tc>
                <w:tcPr>
                  <w:tcW w:w="474" w:type="pct"/>
                  <w:vMerge w:val="continue"/>
                  <w:tcBorders>
                    <w:tl2br w:val="nil"/>
                    <w:tr2bl w:val="nil"/>
                  </w:tcBorders>
                  <w:vAlign w:val="center"/>
                </w:tcPr>
                <w:p w14:paraId="498DAC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7DACB3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vMerge w:val="continue"/>
                  <w:tcBorders>
                    <w:tl2br w:val="nil"/>
                    <w:tr2bl w:val="nil"/>
                  </w:tcBorders>
                  <w:vAlign w:val="center"/>
                </w:tcPr>
                <w:p w14:paraId="75FB9341">
                  <w:pPr>
                    <w:jc w:val="center"/>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13CD90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val="en-US" w:eastAsia="zh-CN"/>
                    </w:rPr>
                  </w:pPr>
                </w:p>
              </w:tc>
              <w:tc>
                <w:tcPr>
                  <w:tcW w:w="609" w:type="pct"/>
                  <w:tcBorders>
                    <w:top w:val="single" w:color="auto" w:sz="4" w:space="0"/>
                    <w:tl2br w:val="nil"/>
                    <w:tr2bl w:val="nil"/>
                  </w:tcBorders>
                  <w:vAlign w:val="center"/>
                </w:tcPr>
                <w:p w14:paraId="612A49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296</w:t>
                  </w:r>
                </w:p>
              </w:tc>
              <w:tc>
                <w:tcPr>
                  <w:tcW w:w="1162" w:type="pct"/>
                  <w:tcBorders>
                    <w:top w:val="single" w:color="auto" w:sz="4" w:space="0"/>
                    <w:tl2br w:val="nil"/>
                    <w:tr2bl w:val="nil"/>
                  </w:tcBorders>
                  <w:vAlign w:val="center"/>
                </w:tcPr>
                <w:p w14:paraId="27FAE80D">
                  <w:pPr>
                    <w:keepNext w:val="0"/>
                    <w:keepLines w:val="0"/>
                    <w:widowControl/>
                    <w:suppressLineNumbers w:val="0"/>
                    <w:jc w:val="left"/>
                    <w:rPr>
                      <w:rFonts w:hint="eastAsia" w:ascii="Times New Roman" w:hAnsi="Times New Roman" w:eastAsia="宋体" w:cs="Times New Roman"/>
                      <w:color w:val="auto"/>
                      <w:spacing w:val="2"/>
                      <w:position w:val="2"/>
                      <w:sz w:val="21"/>
                      <w:szCs w:val="21"/>
                      <w:highlight w:val="none"/>
                      <w:lang w:val="en-US" w:eastAsia="zh-CN"/>
                    </w:rPr>
                  </w:pPr>
                  <w:r>
                    <w:rPr>
                      <w:rFonts w:hint="eastAsia" w:ascii="宋体" w:hAnsi="宋体" w:eastAsia="宋体" w:cs="宋体"/>
                      <w:color w:val="auto"/>
                      <w:kern w:val="0"/>
                      <w:sz w:val="23"/>
                      <w:szCs w:val="23"/>
                      <w:lang w:val="en-US" w:eastAsia="zh-CN" w:bidi="ar"/>
                    </w:rPr>
                    <w:t>北面有职工总数小于或等于50人的企业围墙（本企业值班区、本企业展示厅）。</w:t>
                  </w:r>
                </w:p>
              </w:tc>
              <w:tc>
                <w:tcPr>
                  <w:tcW w:w="263" w:type="pct"/>
                  <w:tcBorders>
                    <w:top w:val="single" w:color="auto" w:sz="4" w:space="0"/>
                    <w:tl2br w:val="nil"/>
                    <w:tr2bl w:val="nil"/>
                  </w:tcBorders>
                  <w:vAlign w:val="center"/>
                </w:tcPr>
                <w:p w14:paraId="2DED70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3B832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60" w:type="pct"/>
                  <w:vMerge w:val="continue"/>
                  <w:tcBorders>
                    <w:tl2br w:val="nil"/>
                    <w:tr2bl w:val="nil"/>
                  </w:tcBorders>
                  <w:vAlign w:val="center"/>
                </w:tcPr>
                <w:p w14:paraId="245520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65" w:type="pct"/>
                  <w:vMerge w:val="continue"/>
                  <w:tcBorders>
                    <w:tl2br w:val="nil"/>
                    <w:tr2bl w:val="nil"/>
                  </w:tcBorders>
                  <w:vAlign w:val="center"/>
                </w:tcPr>
                <w:p w14:paraId="4348B7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highlight w:val="none"/>
                    </w:rPr>
                  </w:pPr>
                </w:p>
              </w:tc>
              <w:tc>
                <w:tcPr>
                  <w:tcW w:w="474" w:type="pct"/>
                  <w:vMerge w:val="continue"/>
                  <w:tcBorders>
                    <w:tl2br w:val="nil"/>
                    <w:tr2bl w:val="nil"/>
                  </w:tcBorders>
                  <w:vAlign w:val="center"/>
                </w:tcPr>
                <w:p w14:paraId="6A7E4E4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97" w:type="pct"/>
                  <w:vMerge w:val="continue"/>
                  <w:tcBorders>
                    <w:tl2br w:val="nil"/>
                    <w:tr2bl w:val="nil"/>
                  </w:tcBorders>
                  <w:vAlign w:val="center"/>
                </w:tcPr>
                <w:p w14:paraId="216975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423" w:type="pct"/>
                  <w:tcBorders>
                    <w:tl2br w:val="nil"/>
                    <w:tr2bl w:val="nil"/>
                  </w:tcBorders>
                  <w:vAlign w:val="center"/>
                </w:tcPr>
                <w:p w14:paraId="3F240249">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《烟花爆工程设计安全标准》第4.3条，1.1级（10000kg）危险品</w:t>
                  </w:r>
                </w:p>
                <w:p w14:paraId="655E9078">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3"/>
                      <w:szCs w:val="23"/>
                      <w:lang w:val="en-US" w:eastAsia="zh-CN" w:bidi="ar"/>
                    </w:rPr>
                    <w:t>仓库至职工总数小于或等于50人的企业围墙外部距离。</w:t>
                  </w:r>
                </w:p>
              </w:tc>
              <w:tc>
                <w:tcPr>
                  <w:tcW w:w="543" w:type="pct"/>
                  <w:tcBorders>
                    <w:tl2br w:val="nil"/>
                    <w:tr2bl w:val="nil"/>
                  </w:tcBorders>
                  <w:vAlign w:val="center"/>
                </w:tcPr>
                <w:p w14:paraId="3A80CD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270</w:t>
                  </w:r>
                </w:p>
              </w:tc>
              <w:tc>
                <w:tcPr>
                  <w:tcW w:w="609" w:type="pct"/>
                  <w:tcBorders>
                    <w:top w:val="single" w:color="auto" w:sz="4" w:space="0"/>
                    <w:tl2br w:val="nil"/>
                    <w:tr2bl w:val="nil"/>
                  </w:tcBorders>
                  <w:vAlign w:val="center"/>
                </w:tcPr>
                <w:p w14:paraId="172E03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517</w:t>
                  </w:r>
                </w:p>
              </w:tc>
              <w:tc>
                <w:tcPr>
                  <w:tcW w:w="1162" w:type="pct"/>
                  <w:tcBorders>
                    <w:top w:val="single" w:color="auto" w:sz="4" w:space="0"/>
                    <w:tl2br w:val="nil"/>
                    <w:tr2bl w:val="nil"/>
                  </w:tcBorders>
                  <w:vAlign w:val="center"/>
                </w:tcPr>
                <w:p w14:paraId="0F48548B">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eastAsia" w:ascii="宋体" w:hAnsi="宋体" w:eastAsia="宋体" w:cs="宋体"/>
                      <w:color w:val="auto"/>
                      <w:kern w:val="0"/>
                      <w:sz w:val="23"/>
                      <w:szCs w:val="23"/>
                      <w:lang w:val="en-US" w:eastAsia="zh-CN" w:bidi="ar"/>
                    </w:rPr>
                    <w:t>北面有职工总数小于或等于50人的企业围墙（本企业1.3级危险品仓库区）。</w:t>
                  </w:r>
                </w:p>
              </w:tc>
              <w:tc>
                <w:tcPr>
                  <w:tcW w:w="263" w:type="pct"/>
                  <w:tcBorders>
                    <w:top w:val="single" w:color="auto" w:sz="4" w:space="0"/>
                    <w:tl2br w:val="nil"/>
                    <w:tr2bl w:val="nil"/>
                  </w:tcBorders>
                  <w:vAlign w:val="center"/>
                </w:tcPr>
                <w:p w14:paraId="43CBB9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21621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160" w:type="pct"/>
                  <w:vMerge w:val="continue"/>
                  <w:tcBorders>
                    <w:tl2br w:val="nil"/>
                    <w:tr2bl w:val="nil"/>
                  </w:tcBorders>
                  <w:vAlign w:val="top"/>
                </w:tcPr>
                <w:p w14:paraId="2F65E7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1CD76A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5CCC92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7B2825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center"/>
                </w:tcPr>
                <w:p w14:paraId="616086E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村庄边缘，学校，职工人数在50人及以上的企业围墙，有摘挂作业的铁路车站站界及建筑物边缘，220kV以下的区域变电站围墙，220kV架空输电线路</w:t>
                  </w:r>
                </w:p>
              </w:tc>
              <w:tc>
                <w:tcPr>
                  <w:tcW w:w="543" w:type="pct"/>
                  <w:vMerge w:val="restart"/>
                  <w:tcBorders>
                    <w:tl2br w:val="nil"/>
                    <w:tr2bl w:val="nil"/>
                  </w:tcBorders>
                  <w:vAlign w:val="center"/>
                </w:tcPr>
                <w:p w14:paraId="5EDBEA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410</w:t>
                  </w:r>
                </w:p>
              </w:tc>
              <w:tc>
                <w:tcPr>
                  <w:tcW w:w="609" w:type="pct"/>
                  <w:tcBorders>
                    <w:bottom w:val="single" w:color="auto" w:sz="4" w:space="0"/>
                    <w:tl2br w:val="nil"/>
                    <w:tr2bl w:val="nil"/>
                  </w:tcBorders>
                  <w:vAlign w:val="center"/>
                </w:tcPr>
                <w:p w14:paraId="5A537E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795</w:t>
                  </w:r>
                </w:p>
              </w:tc>
              <w:tc>
                <w:tcPr>
                  <w:tcW w:w="1162" w:type="pct"/>
                  <w:tcBorders>
                    <w:bottom w:val="single" w:color="auto" w:sz="4" w:space="0"/>
                    <w:tl2br w:val="nil"/>
                    <w:tr2bl w:val="nil"/>
                  </w:tcBorders>
                  <w:vAlign w:val="center"/>
                </w:tcPr>
                <w:p w14:paraId="6A89360C">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3"/>
                      <w:szCs w:val="23"/>
                      <w:lang w:val="en-US" w:eastAsia="zh-CN" w:bidi="ar"/>
                    </w:rPr>
                    <w:t>周边有人数大于50人且小于或等于500人的居民点边缘（南面小龙潭村、东北面以其末村）。</w:t>
                  </w:r>
                </w:p>
              </w:tc>
              <w:tc>
                <w:tcPr>
                  <w:tcW w:w="263" w:type="pct"/>
                  <w:tcBorders>
                    <w:bottom w:val="single" w:color="auto" w:sz="4" w:space="0"/>
                    <w:tl2br w:val="nil"/>
                    <w:tr2bl w:val="nil"/>
                  </w:tcBorders>
                  <w:vAlign w:val="center"/>
                </w:tcPr>
                <w:p w14:paraId="6052EA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5D99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160" w:type="pct"/>
                  <w:vMerge w:val="continue"/>
                  <w:tcBorders>
                    <w:tl2br w:val="nil"/>
                    <w:tr2bl w:val="nil"/>
                  </w:tcBorders>
                  <w:vAlign w:val="top"/>
                </w:tcPr>
                <w:p w14:paraId="17D075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136025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26C5DA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4EE170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center"/>
                </w:tcPr>
                <w:p w14:paraId="3C39237B">
                  <w:pPr>
                    <w:jc w:val="center"/>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1C7BAA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val="en-US" w:eastAsia="zh-CN"/>
                    </w:rPr>
                  </w:pPr>
                </w:p>
              </w:tc>
              <w:tc>
                <w:tcPr>
                  <w:tcW w:w="609" w:type="pct"/>
                  <w:tcBorders>
                    <w:top w:val="single" w:color="auto" w:sz="4" w:space="0"/>
                    <w:tl2br w:val="nil"/>
                    <w:tr2bl w:val="nil"/>
                  </w:tcBorders>
                  <w:vAlign w:val="center"/>
                </w:tcPr>
                <w:p w14:paraId="54926A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645</w:t>
                  </w:r>
                </w:p>
              </w:tc>
              <w:tc>
                <w:tcPr>
                  <w:tcW w:w="1162" w:type="pct"/>
                  <w:tcBorders>
                    <w:top w:val="single" w:color="auto" w:sz="4" w:space="0"/>
                    <w:tl2br w:val="nil"/>
                    <w:tr2bl w:val="nil"/>
                  </w:tcBorders>
                  <w:vAlign w:val="center"/>
                </w:tcPr>
                <w:p w14:paraId="69457D68">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 xml:space="preserve">周边有职工总数小于或等于500人的企业围墙 </w:t>
                  </w:r>
                </w:p>
                <w:p w14:paraId="264327DB">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3"/>
                      <w:szCs w:val="23"/>
                      <w:lang w:val="en-US" w:eastAsia="zh-CN" w:bidi="ar"/>
                    </w:rPr>
                    <w:t>（西北面有垃圾填埋厂、铜都赛鸽中心、西面有看守所、西南面有鑫吉驾校）。</w:t>
                  </w:r>
                </w:p>
              </w:tc>
              <w:tc>
                <w:tcPr>
                  <w:tcW w:w="263" w:type="pct"/>
                  <w:tcBorders>
                    <w:top w:val="single" w:color="auto" w:sz="4" w:space="0"/>
                    <w:tl2br w:val="nil"/>
                    <w:tr2bl w:val="nil"/>
                  </w:tcBorders>
                  <w:vAlign w:val="center"/>
                </w:tcPr>
                <w:p w14:paraId="5CDEFB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7A984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4A0AE0C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016340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5FED28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437B3B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2168BE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人数大于500人且小于或等于5000人的居民点边缘、职工总数小于或等于5000人的企业围墙</w:t>
                  </w:r>
                </w:p>
              </w:tc>
              <w:tc>
                <w:tcPr>
                  <w:tcW w:w="543" w:type="pct"/>
                  <w:tcBorders>
                    <w:tl2br w:val="nil"/>
                    <w:tr2bl w:val="nil"/>
                  </w:tcBorders>
                  <w:vAlign w:val="center"/>
                </w:tcPr>
                <w:p w14:paraId="32837E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450m</w:t>
                  </w:r>
                </w:p>
              </w:tc>
              <w:tc>
                <w:tcPr>
                  <w:tcW w:w="609" w:type="pct"/>
                  <w:tcBorders>
                    <w:tl2br w:val="nil"/>
                    <w:tr2bl w:val="nil"/>
                  </w:tcBorders>
                  <w:vAlign w:val="center"/>
                </w:tcPr>
                <w:p w14:paraId="7FE398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62" w:type="pct"/>
                  <w:tcBorders>
                    <w:tl2br w:val="nil"/>
                    <w:tr2bl w:val="nil"/>
                  </w:tcBorders>
                  <w:vAlign w:val="center"/>
                </w:tcPr>
                <w:p w14:paraId="6C9FDD19">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边无其他相关项目。</w:t>
                  </w:r>
                </w:p>
              </w:tc>
              <w:tc>
                <w:tcPr>
                  <w:tcW w:w="263" w:type="pct"/>
                  <w:tcBorders>
                    <w:tl2br w:val="nil"/>
                    <w:tr2bl w:val="nil"/>
                  </w:tcBorders>
                  <w:vAlign w:val="center"/>
                </w:tcPr>
                <w:p w14:paraId="1C1B03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15B5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39D3B8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2D025B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5D1216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614FF0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44B4CD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110kV区域变电站围墙，220kV架空输电线路</w:t>
                  </w:r>
                </w:p>
              </w:tc>
              <w:tc>
                <w:tcPr>
                  <w:tcW w:w="543" w:type="pct"/>
                  <w:tcBorders>
                    <w:tl2br w:val="nil"/>
                    <w:tr2bl w:val="nil"/>
                  </w:tcBorders>
                  <w:vAlign w:val="center"/>
                </w:tcPr>
                <w:p w14:paraId="4219A6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480m</w:t>
                  </w:r>
                </w:p>
              </w:tc>
              <w:tc>
                <w:tcPr>
                  <w:tcW w:w="609" w:type="pct"/>
                  <w:tcBorders>
                    <w:tl2br w:val="nil"/>
                    <w:tr2bl w:val="nil"/>
                  </w:tcBorders>
                  <w:vAlign w:val="center"/>
                </w:tcPr>
                <w:p w14:paraId="507F50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680</w:t>
                  </w:r>
                </w:p>
              </w:tc>
              <w:tc>
                <w:tcPr>
                  <w:tcW w:w="1162" w:type="pct"/>
                  <w:tcBorders>
                    <w:tl2br w:val="nil"/>
                    <w:tr2bl w:val="nil"/>
                  </w:tcBorders>
                  <w:vAlign w:val="center"/>
                </w:tcPr>
                <w:p w14:paraId="25A9E8E7">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南面有220kV架空输电线路</w:t>
                  </w:r>
                </w:p>
              </w:tc>
              <w:tc>
                <w:tcPr>
                  <w:tcW w:w="263" w:type="pct"/>
                  <w:tcBorders>
                    <w:tl2br w:val="nil"/>
                    <w:tr2bl w:val="nil"/>
                  </w:tcBorders>
                  <w:vAlign w:val="center"/>
                </w:tcPr>
                <w:p w14:paraId="0CF99F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573D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1D802C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28ED64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339DFC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784CA6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42BAEEE9">
                  <w:pPr>
                    <w:keepNext w:val="0"/>
                    <w:keepLines w:val="0"/>
                    <w:widowControl/>
                    <w:suppressLineNumbers w:val="0"/>
                    <w:jc w:val="left"/>
                    <w:rPr>
                      <w:color w:val="auto"/>
                      <w:sz w:val="21"/>
                      <w:szCs w:val="21"/>
                    </w:rPr>
                  </w:pPr>
                  <w:r>
                    <w:rPr>
                      <w:rFonts w:hint="default" w:ascii="Times New Roman" w:hAnsi="Times New Roman" w:eastAsia="宋体" w:cs="Times New Roman"/>
                      <w:color w:val="auto"/>
                      <w:sz w:val="21"/>
                      <w:szCs w:val="21"/>
                      <w:highlight w:val="none"/>
                    </w:rPr>
                    <w:t>城镇规划边缘</w:t>
                  </w:r>
                  <w:r>
                    <w:rPr>
                      <w:rFonts w:hint="eastAsia" w:cs="Times New Roman"/>
                      <w:color w:val="auto"/>
                      <w:sz w:val="21"/>
                      <w:szCs w:val="21"/>
                      <w:highlight w:val="none"/>
                      <w:lang w:eastAsia="zh-CN"/>
                    </w:rPr>
                    <w:t>、</w:t>
                  </w:r>
                  <w:r>
                    <w:rPr>
                      <w:rFonts w:hint="eastAsia" w:ascii="宋体" w:hAnsi="宋体" w:eastAsia="宋体" w:cs="宋体"/>
                      <w:color w:val="auto"/>
                      <w:kern w:val="0"/>
                      <w:sz w:val="21"/>
                      <w:szCs w:val="21"/>
                      <w:lang w:val="en-US" w:eastAsia="zh-CN" w:bidi="ar"/>
                    </w:rPr>
                    <w:t>学校、</w:t>
                  </w:r>
                </w:p>
                <w:p w14:paraId="68D823B4">
                  <w:pPr>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220kV及以上的区域变电站围墙，220kV以上的架空输电线路</w:t>
                  </w:r>
                </w:p>
              </w:tc>
              <w:tc>
                <w:tcPr>
                  <w:tcW w:w="543" w:type="pct"/>
                  <w:tcBorders>
                    <w:tl2br w:val="nil"/>
                    <w:tr2bl w:val="nil"/>
                  </w:tcBorders>
                  <w:vAlign w:val="center"/>
                </w:tcPr>
                <w:p w14:paraId="7EDB40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740m</w:t>
                  </w:r>
                </w:p>
              </w:tc>
              <w:tc>
                <w:tcPr>
                  <w:tcW w:w="609" w:type="pct"/>
                  <w:tcBorders>
                    <w:tl2br w:val="nil"/>
                    <w:tr2bl w:val="nil"/>
                  </w:tcBorders>
                  <w:vAlign w:val="center"/>
                </w:tcPr>
                <w:p w14:paraId="32FE83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3080</w:t>
                  </w:r>
                </w:p>
              </w:tc>
              <w:tc>
                <w:tcPr>
                  <w:tcW w:w="1162" w:type="pct"/>
                  <w:tcBorders>
                    <w:tl2br w:val="nil"/>
                    <w:tr2bl w:val="nil"/>
                  </w:tcBorders>
                  <w:vAlign w:val="center"/>
                </w:tcPr>
                <w:p w14:paraId="171B3D78">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南面有城镇规划边缘、学校（寻甸县、寻甸第</w:t>
                  </w:r>
                </w:p>
                <w:p w14:paraId="1FA4CE56">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一中学、仁德二小）。</w:t>
                  </w:r>
                </w:p>
              </w:tc>
              <w:tc>
                <w:tcPr>
                  <w:tcW w:w="263" w:type="pct"/>
                  <w:tcBorders>
                    <w:tl2br w:val="nil"/>
                    <w:tr2bl w:val="nil"/>
                  </w:tcBorders>
                  <w:vAlign w:val="center"/>
                </w:tcPr>
                <w:p w14:paraId="0D411B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47125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63328A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7FD9F9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0E6265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75EE2D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restart"/>
                  <w:tcBorders>
                    <w:tl2br w:val="nil"/>
                    <w:tr2bl w:val="nil"/>
                  </w:tcBorders>
                  <w:vAlign w:val="center"/>
                </w:tcPr>
                <w:p w14:paraId="07E314C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铁路线、二级及以上公路路边、通航的河流航道边缘</w:t>
                  </w:r>
                </w:p>
              </w:tc>
              <w:tc>
                <w:tcPr>
                  <w:tcW w:w="543" w:type="pct"/>
                  <w:vMerge w:val="restart"/>
                  <w:tcBorders>
                    <w:tl2br w:val="nil"/>
                    <w:tr2bl w:val="nil"/>
                  </w:tcBorders>
                  <w:vAlign w:val="center"/>
                </w:tcPr>
                <w:p w14:paraId="33F4D5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270m</w:t>
                  </w:r>
                </w:p>
              </w:tc>
              <w:tc>
                <w:tcPr>
                  <w:tcW w:w="609" w:type="pct"/>
                  <w:tcBorders>
                    <w:tl2br w:val="nil"/>
                    <w:tr2bl w:val="nil"/>
                  </w:tcBorders>
                  <w:vAlign w:val="center"/>
                </w:tcPr>
                <w:p w14:paraId="4E3775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340</w:t>
                  </w:r>
                </w:p>
              </w:tc>
              <w:tc>
                <w:tcPr>
                  <w:tcW w:w="1162" w:type="pct"/>
                  <w:tcBorders>
                    <w:tl2br w:val="nil"/>
                    <w:tr2bl w:val="nil"/>
                  </w:tcBorders>
                  <w:vAlign w:val="center"/>
                </w:tcPr>
                <w:p w14:paraId="2A4D3C87">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周边有国道、省道（西北面有G85银昆高速、</w:t>
                  </w:r>
                </w:p>
                <w:p w14:paraId="6D63655C">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东面有G85银昆高速引线、西面有S256寻白线、南面有S30滇中环线）。</w:t>
                  </w:r>
                </w:p>
              </w:tc>
              <w:tc>
                <w:tcPr>
                  <w:tcW w:w="263" w:type="pct"/>
                  <w:tcBorders>
                    <w:tl2br w:val="nil"/>
                    <w:tr2bl w:val="nil"/>
                  </w:tcBorders>
                  <w:vAlign w:val="center"/>
                </w:tcPr>
                <w:p w14:paraId="40C285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05153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155846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76D00D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06764F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44C968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vMerge w:val="continue"/>
                  <w:tcBorders>
                    <w:tl2br w:val="nil"/>
                    <w:tr2bl w:val="nil"/>
                  </w:tcBorders>
                  <w:vAlign w:val="center"/>
                </w:tcPr>
                <w:p w14:paraId="377E4D86">
                  <w:pPr>
                    <w:jc w:val="center"/>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vAlign w:val="center"/>
                </w:tcPr>
                <w:p w14:paraId="3C8681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val="en-US" w:eastAsia="zh-CN"/>
                    </w:rPr>
                  </w:pPr>
                </w:p>
              </w:tc>
              <w:tc>
                <w:tcPr>
                  <w:tcW w:w="609" w:type="pct"/>
                  <w:tcBorders>
                    <w:tl2br w:val="nil"/>
                    <w:tr2bl w:val="nil"/>
                  </w:tcBorders>
                  <w:vAlign w:val="center"/>
                </w:tcPr>
                <w:p w14:paraId="3E2971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440</w:t>
                  </w:r>
                </w:p>
              </w:tc>
              <w:tc>
                <w:tcPr>
                  <w:tcW w:w="1162" w:type="pct"/>
                  <w:tcBorders>
                    <w:tl2br w:val="nil"/>
                    <w:tr2bl w:val="nil"/>
                  </w:tcBorders>
                  <w:vAlign w:val="center"/>
                </w:tcPr>
                <w:p w14:paraId="15A59EAD">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西面有东川铁路支线。</w:t>
                  </w:r>
                </w:p>
              </w:tc>
              <w:tc>
                <w:tcPr>
                  <w:tcW w:w="263" w:type="pct"/>
                  <w:tcBorders>
                    <w:tl2br w:val="nil"/>
                    <w:tr2bl w:val="nil"/>
                  </w:tcBorders>
                  <w:vAlign w:val="center"/>
                </w:tcPr>
                <w:p w14:paraId="105B4E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09F3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0A5502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5A6677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6CFE39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0494EC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669EB13E">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非本厂的工厂铁路支线、县级公路用地外缘、35kV架空输电线路。</w:t>
                  </w:r>
                </w:p>
              </w:tc>
              <w:tc>
                <w:tcPr>
                  <w:tcW w:w="543" w:type="pct"/>
                  <w:tcBorders>
                    <w:tl2br w:val="nil"/>
                    <w:tr2bl w:val="nil"/>
                  </w:tcBorders>
                  <w:vAlign w:val="center"/>
                </w:tcPr>
                <w:p w14:paraId="17A1CE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190</w:t>
                  </w:r>
                </w:p>
              </w:tc>
              <w:tc>
                <w:tcPr>
                  <w:tcW w:w="609" w:type="pct"/>
                  <w:tcBorders>
                    <w:tl2br w:val="nil"/>
                    <w:tr2bl w:val="nil"/>
                  </w:tcBorders>
                  <w:vAlign w:val="center"/>
                </w:tcPr>
                <w:p w14:paraId="7E7147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cs="Times New Roman"/>
                      <w:color w:val="auto"/>
                      <w:sz w:val="21"/>
                      <w:szCs w:val="21"/>
                      <w:highlight w:val="none"/>
                      <w:lang w:val="en-US" w:eastAsia="zh-CN"/>
                    </w:rPr>
                  </w:pPr>
                </w:p>
              </w:tc>
              <w:tc>
                <w:tcPr>
                  <w:tcW w:w="1162" w:type="pct"/>
                  <w:tcBorders>
                    <w:tl2br w:val="nil"/>
                    <w:tr2bl w:val="nil"/>
                  </w:tcBorders>
                  <w:vAlign w:val="center"/>
                </w:tcPr>
                <w:p w14:paraId="66847B06">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周边无其他相关项目。</w:t>
                  </w:r>
                </w:p>
              </w:tc>
              <w:tc>
                <w:tcPr>
                  <w:tcW w:w="263" w:type="pct"/>
                  <w:tcBorders>
                    <w:tl2br w:val="nil"/>
                    <w:tr2bl w:val="nil"/>
                  </w:tcBorders>
                  <w:vAlign w:val="center"/>
                </w:tcPr>
                <w:p w14:paraId="17549BB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437B0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368E71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55D60D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7CDB5A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26768C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2619772F">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《公路安全保护条例》第18条公路用地外缘起向外100米，禁止设</w:t>
                  </w:r>
                </w:p>
                <w:p w14:paraId="2D7B75B3">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立储存易燃易爆危险品场所。</w:t>
                  </w:r>
                </w:p>
              </w:tc>
              <w:tc>
                <w:tcPr>
                  <w:tcW w:w="543" w:type="pct"/>
                  <w:tcBorders>
                    <w:tl2br w:val="nil"/>
                    <w:tr2bl w:val="nil"/>
                  </w:tcBorders>
                  <w:vAlign w:val="center"/>
                </w:tcPr>
                <w:p w14:paraId="63B225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609" w:type="pct"/>
                  <w:tcBorders>
                    <w:tl2br w:val="nil"/>
                    <w:tr2bl w:val="nil"/>
                  </w:tcBorders>
                  <w:vAlign w:val="center"/>
                </w:tcPr>
                <w:p w14:paraId="6DBF63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340</w:t>
                  </w:r>
                </w:p>
              </w:tc>
              <w:tc>
                <w:tcPr>
                  <w:tcW w:w="1162" w:type="pct"/>
                  <w:tcBorders>
                    <w:tl2br w:val="nil"/>
                    <w:tr2bl w:val="nil"/>
                  </w:tcBorders>
                  <w:vAlign w:val="center"/>
                </w:tcPr>
                <w:p w14:paraId="3CC4C560">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周边有国道、省道（西北面有G85银昆高速、</w:t>
                  </w:r>
                </w:p>
                <w:p w14:paraId="0E1067B7">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东面有G85银昆高速引线、西面有S256寻白线</w:t>
                  </w:r>
                </w:p>
                <w:p w14:paraId="6BD81E66">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、南面有S30滇中环线）。</w:t>
                  </w:r>
                </w:p>
              </w:tc>
              <w:tc>
                <w:tcPr>
                  <w:tcW w:w="263" w:type="pct"/>
                  <w:tcBorders>
                    <w:tl2br w:val="nil"/>
                    <w:tr2bl w:val="nil"/>
                  </w:tcBorders>
                  <w:vAlign w:val="center"/>
                </w:tcPr>
                <w:p w14:paraId="4195E12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B407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75742F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5313A8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60967D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4D123A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2ED2826F">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无线通信塔（发射功率不大于50W）</w:t>
                  </w:r>
                </w:p>
              </w:tc>
              <w:tc>
                <w:tcPr>
                  <w:tcW w:w="543" w:type="pct"/>
                  <w:tcBorders>
                    <w:tl2br w:val="nil"/>
                    <w:tr2bl w:val="nil"/>
                  </w:tcBorders>
                  <w:vAlign w:val="center"/>
                </w:tcPr>
                <w:p w14:paraId="0207F4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09" w:type="pct"/>
                  <w:tcBorders>
                    <w:tl2br w:val="nil"/>
                    <w:tr2bl w:val="nil"/>
                  </w:tcBorders>
                  <w:vAlign w:val="center"/>
                </w:tcPr>
                <w:p w14:paraId="042DC9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490</w:t>
                  </w:r>
                </w:p>
              </w:tc>
              <w:tc>
                <w:tcPr>
                  <w:tcW w:w="1162" w:type="pct"/>
                  <w:tcBorders>
                    <w:tl2br w:val="nil"/>
                    <w:tr2bl w:val="nil"/>
                  </w:tcBorders>
                  <w:vAlign w:val="center"/>
                </w:tcPr>
                <w:p w14:paraId="1D82F116">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北面有无线通信塔（发射功率不大于50W）。</w:t>
                  </w:r>
                </w:p>
              </w:tc>
              <w:tc>
                <w:tcPr>
                  <w:tcW w:w="263" w:type="pct"/>
                  <w:tcBorders>
                    <w:tl2br w:val="nil"/>
                    <w:tr2bl w:val="nil"/>
                  </w:tcBorders>
                  <w:vAlign w:val="center"/>
                </w:tcPr>
                <w:p w14:paraId="1B13E3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65091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top"/>
                </w:tcPr>
                <w:p w14:paraId="1F0D6E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65" w:type="pct"/>
                  <w:vMerge w:val="continue"/>
                  <w:tcBorders>
                    <w:tl2br w:val="nil"/>
                    <w:tr2bl w:val="nil"/>
                  </w:tcBorders>
                  <w:vAlign w:val="top"/>
                </w:tcPr>
                <w:p w14:paraId="7C3794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74" w:type="pct"/>
                  <w:vMerge w:val="continue"/>
                  <w:tcBorders>
                    <w:tl2br w:val="nil"/>
                    <w:tr2bl w:val="nil"/>
                  </w:tcBorders>
                  <w:vAlign w:val="top"/>
                </w:tcPr>
                <w:p w14:paraId="381653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97" w:type="pct"/>
                  <w:vMerge w:val="continue"/>
                  <w:tcBorders>
                    <w:tl2br w:val="nil"/>
                    <w:tr2bl w:val="nil"/>
                  </w:tcBorders>
                  <w:vAlign w:val="top"/>
                </w:tcPr>
                <w:p w14:paraId="00A86B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423" w:type="pct"/>
                  <w:tcBorders>
                    <w:tl2br w:val="nil"/>
                    <w:tr2bl w:val="nil"/>
                  </w:tcBorders>
                  <w:vAlign w:val="center"/>
                </w:tcPr>
                <w:p w14:paraId="48F58700">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库区围墙外，20KV及以下电力架空线路和通信架空线路。</w:t>
                  </w:r>
                </w:p>
              </w:tc>
              <w:tc>
                <w:tcPr>
                  <w:tcW w:w="543" w:type="pct"/>
                  <w:tcBorders>
                    <w:tl2br w:val="nil"/>
                    <w:tr2bl w:val="nil"/>
                  </w:tcBorders>
                  <w:vAlign w:val="center"/>
                </w:tcPr>
                <w:p w14:paraId="6462D3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609" w:type="pct"/>
                  <w:tcBorders>
                    <w:tl2br w:val="nil"/>
                    <w:tr2bl w:val="nil"/>
                  </w:tcBorders>
                  <w:vAlign w:val="center"/>
                </w:tcPr>
                <w:p w14:paraId="4473A5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350</w:t>
                  </w:r>
                </w:p>
              </w:tc>
              <w:tc>
                <w:tcPr>
                  <w:tcW w:w="1162" w:type="pct"/>
                  <w:tcBorders>
                    <w:tl2br w:val="nil"/>
                    <w:tr2bl w:val="nil"/>
                  </w:tcBorders>
                  <w:vAlign w:val="center"/>
                </w:tcPr>
                <w:p w14:paraId="3788CBA9">
                  <w:pPr>
                    <w:keepNext w:val="0"/>
                    <w:keepLines w:val="0"/>
                    <w:widowControl/>
                    <w:suppressLineNumbers w:val="0"/>
                    <w:jc w:val="left"/>
                    <w:rPr>
                      <w:rFonts w:hint="default" w:ascii="Times New Roman" w:hAnsi="Times New Roman" w:eastAsia="Times New Roman" w:cs="Times New Roman"/>
                      <w:color w:val="auto"/>
                      <w:spacing w:val="2"/>
                      <w:position w:val="1"/>
                      <w:sz w:val="21"/>
                      <w:szCs w:val="21"/>
                      <w:highlight w:val="none"/>
                    </w:rPr>
                  </w:pPr>
                  <w:r>
                    <w:rPr>
                      <w:rFonts w:hint="eastAsia" w:ascii="宋体" w:hAnsi="宋体" w:eastAsia="宋体" w:cs="宋体"/>
                      <w:color w:val="auto"/>
                      <w:kern w:val="0"/>
                      <w:sz w:val="21"/>
                      <w:szCs w:val="21"/>
                      <w:lang w:val="en-US" w:eastAsia="zh-CN" w:bidi="ar"/>
                    </w:rPr>
                    <w:t>北面有10kV架空输电线路和架空通信线路。</w:t>
                  </w:r>
                </w:p>
              </w:tc>
              <w:tc>
                <w:tcPr>
                  <w:tcW w:w="263" w:type="pct"/>
                  <w:tcBorders>
                    <w:tl2br w:val="nil"/>
                    <w:tr2bl w:val="nil"/>
                  </w:tcBorders>
                  <w:vAlign w:val="center"/>
                </w:tcPr>
                <w:p w14:paraId="5A2963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bl>
          <w:p w14:paraId="5433B059">
            <w:pPr>
              <w:adjustRightInd w:val="0"/>
              <w:spacing w:line="360" w:lineRule="auto"/>
              <w:ind w:firstLine="480" w:firstLineChars="200"/>
              <w:rPr>
                <w:color w:val="auto"/>
                <w:sz w:val="24"/>
                <w:szCs w:val="24"/>
                <w:highlight w:val="none"/>
              </w:rPr>
            </w:pPr>
            <w:r>
              <w:rPr>
                <w:color w:val="auto"/>
                <w:sz w:val="24"/>
                <w:szCs w:val="24"/>
                <w:highlight w:val="none"/>
              </w:rPr>
              <w:t>根据《烟花爆竹工程设计安全规范》(GB50161-20</w:t>
            </w:r>
            <w:r>
              <w:rPr>
                <w:rFonts w:hint="eastAsia"/>
                <w:color w:val="auto"/>
                <w:sz w:val="24"/>
                <w:szCs w:val="24"/>
                <w:highlight w:val="none"/>
                <w:lang w:val="en-US" w:eastAsia="zh-CN"/>
              </w:rPr>
              <w:t>22</w:t>
            </w:r>
            <w:r>
              <w:rPr>
                <w:color w:val="auto"/>
                <w:sz w:val="24"/>
                <w:szCs w:val="24"/>
                <w:highlight w:val="none"/>
              </w:rPr>
              <w:t>)表5.3.4危险品总仓库内1.3级</w:t>
            </w:r>
            <w:r>
              <w:rPr>
                <w:rFonts w:hint="eastAsia"/>
                <w:color w:val="auto"/>
                <w:sz w:val="24"/>
                <w:szCs w:val="24"/>
                <w:highlight w:val="none"/>
                <w:lang w:eastAsia="zh-CN"/>
              </w:rPr>
              <w:t>、</w:t>
            </w:r>
            <w:r>
              <w:rPr>
                <w:rFonts w:hint="eastAsia"/>
                <w:color w:val="auto"/>
                <w:sz w:val="24"/>
                <w:szCs w:val="24"/>
                <w:highlight w:val="none"/>
                <w:lang w:val="en-US" w:eastAsia="zh-CN"/>
              </w:rPr>
              <w:t>1.1级</w:t>
            </w:r>
            <w:r>
              <w:rPr>
                <w:color w:val="auto"/>
                <w:sz w:val="24"/>
                <w:szCs w:val="24"/>
                <w:highlight w:val="none"/>
              </w:rPr>
              <w:t>仓库与邻近危险品仓库的内部最小允许距离（m）、5.3.6-21.3级仓库与库区值班室的内部最小允许距离（m）的相关要求，危险品仓库选址的内部距离检查情况如下表所示。</w:t>
            </w:r>
            <w:bookmarkEnd w:id="9"/>
            <w:bookmarkEnd w:id="10"/>
          </w:p>
          <w:p w14:paraId="5335A707">
            <w:pPr>
              <w:spacing w:line="360" w:lineRule="auto"/>
              <w:jc w:val="left"/>
              <w:rPr>
                <w:b/>
                <w:bCs/>
                <w:color w:val="auto"/>
                <w:szCs w:val="21"/>
                <w:highlight w:val="none"/>
              </w:rPr>
            </w:pPr>
            <w:bookmarkStart w:id="11" w:name="_Toc21208"/>
            <w:bookmarkStart w:id="12" w:name="_Toc5016"/>
            <w:r>
              <w:rPr>
                <w:b/>
                <w:bCs/>
                <w:color w:val="auto"/>
                <w:szCs w:val="21"/>
                <w:highlight w:val="none"/>
              </w:rPr>
              <w:t>表1-5  危险品总仓库内仓库与邻近危险品仓库的内部距离核算明细表</w:t>
            </w:r>
            <w:bookmarkEnd w:id="11"/>
            <w:bookmarkEnd w:id="12"/>
          </w:p>
          <w:tbl>
            <w:tblPr>
              <w:tblStyle w:val="60"/>
              <w:tblW w:w="68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8"/>
              <w:gridCol w:w="238"/>
              <w:gridCol w:w="654"/>
              <w:gridCol w:w="386"/>
              <w:gridCol w:w="1605"/>
              <w:gridCol w:w="1131"/>
              <w:gridCol w:w="1854"/>
              <w:gridCol w:w="699"/>
            </w:tblGrid>
            <w:tr w14:paraId="4476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05" w:type="pct"/>
                  <w:tcBorders>
                    <w:tl2br w:val="nil"/>
                    <w:tr2bl w:val="nil"/>
                  </w:tcBorders>
                  <w:vAlign w:val="center"/>
                </w:tcPr>
                <w:p w14:paraId="3F68ACB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地块</w:t>
                  </w:r>
                </w:p>
              </w:tc>
              <w:tc>
                <w:tcPr>
                  <w:tcW w:w="176" w:type="pct"/>
                  <w:tcBorders>
                    <w:tl2br w:val="nil"/>
                    <w:tr2bl w:val="nil"/>
                  </w:tcBorders>
                  <w:vAlign w:val="center"/>
                </w:tcPr>
                <w:p w14:paraId="516CC4B1">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仓库</w:t>
                  </w:r>
                </w:p>
              </w:tc>
              <w:tc>
                <w:tcPr>
                  <w:tcW w:w="467" w:type="pct"/>
                  <w:tcBorders>
                    <w:tl2br w:val="nil"/>
                    <w:tr2bl w:val="nil"/>
                  </w:tcBorders>
                  <w:vAlign w:val="center"/>
                </w:tcPr>
                <w:p w14:paraId="23CA78C7">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计算药量（</w:t>
                  </w:r>
                  <w:r>
                    <w:rPr>
                      <w:rFonts w:hint="default" w:ascii="Times New Roman" w:hAnsi="Times New Roman" w:eastAsia="Times New Roman" w:cs="Times New Roman"/>
                      <w:b/>
                      <w:bCs/>
                      <w:color w:val="auto"/>
                      <w:spacing w:val="0"/>
                      <w:sz w:val="21"/>
                      <w:szCs w:val="21"/>
                      <w:highlight w:val="none"/>
                    </w:rPr>
                    <w:t>kg</w:t>
                  </w:r>
                  <w:r>
                    <w:rPr>
                      <w:rFonts w:hint="default" w:ascii="Times New Roman" w:hAnsi="Times New Roman" w:cs="Times New Roman"/>
                      <w:b/>
                      <w:bCs/>
                      <w:color w:val="auto"/>
                      <w:spacing w:val="0"/>
                      <w:sz w:val="21"/>
                      <w:szCs w:val="21"/>
                      <w:highlight w:val="none"/>
                    </w:rPr>
                    <w:t>）</w:t>
                  </w:r>
                </w:p>
              </w:tc>
              <w:tc>
                <w:tcPr>
                  <w:tcW w:w="281" w:type="pct"/>
                  <w:tcBorders>
                    <w:tl2br w:val="nil"/>
                    <w:tr2bl w:val="nil"/>
                  </w:tcBorders>
                  <w:vAlign w:val="center"/>
                </w:tcPr>
                <w:p w14:paraId="5F6FD008">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危险等级</w:t>
                  </w:r>
                </w:p>
              </w:tc>
              <w:tc>
                <w:tcPr>
                  <w:tcW w:w="1174" w:type="pct"/>
                  <w:tcBorders>
                    <w:tl2br w:val="nil"/>
                    <w:tr2bl w:val="nil"/>
                  </w:tcBorders>
                  <w:vAlign w:val="center"/>
                </w:tcPr>
                <w:p w14:paraId="2D1C560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项目</w:t>
                  </w:r>
                </w:p>
              </w:tc>
              <w:tc>
                <w:tcPr>
                  <w:tcW w:w="827" w:type="pct"/>
                  <w:tcBorders>
                    <w:tl2br w:val="nil"/>
                    <w:tr2bl w:val="nil"/>
                  </w:tcBorders>
                  <w:vAlign w:val="center"/>
                </w:tcPr>
                <w:p w14:paraId="60E635D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规范规定距离</w:t>
                  </w:r>
                </w:p>
              </w:tc>
              <w:tc>
                <w:tcPr>
                  <w:tcW w:w="1355" w:type="pct"/>
                  <w:tcBorders>
                    <w:tl2br w:val="nil"/>
                    <w:tr2bl w:val="nil"/>
                  </w:tcBorders>
                  <w:vAlign w:val="center"/>
                </w:tcPr>
                <w:p w14:paraId="4DC06A5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本项目实际距离</w:t>
                  </w:r>
                </w:p>
              </w:tc>
              <w:tc>
                <w:tcPr>
                  <w:tcW w:w="512" w:type="pct"/>
                  <w:tcBorders>
                    <w:tl2br w:val="nil"/>
                    <w:tr2bl w:val="nil"/>
                  </w:tcBorders>
                  <w:vAlign w:val="center"/>
                </w:tcPr>
                <w:p w14:paraId="025BBF2F">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olor w:val="auto"/>
                      <w:spacing w:val="2"/>
                      <w:sz w:val="21"/>
                      <w:szCs w:val="21"/>
                      <w:highlight w:val="none"/>
                      <w:lang w:val="en-US" w:eastAsia="zh-CN"/>
                    </w:rPr>
                  </w:pPr>
                  <w:r>
                    <w:rPr>
                      <w:rFonts w:hint="eastAsia" w:ascii="Times New Roman" w:hAnsi="Times New Roman" w:cs="Times New Roman"/>
                      <w:b/>
                      <w:bCs/>
                      <w:color w:val="auto"/>
                      <w:spacing w:val="2"/>
                      <w:sz w:val="21"/>
                      <w:szCs w:val="21"/>
                      <w:highlight w:val="none"/>
                      <w:lang w:val="en-US" w:eastAsia="zh-CN"/>
                    </w:rPr>
                    <w:t>符合性</w:t>
                  </w:r>
                </w:p>
              </w:tc>
            </w:tr>
            <w:tr w14:paraId="208B1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trPr>
              <w:tc>
                <w:tcPr>
                  <w:tcW w:w="205" w:type="pct"/>
                  <w:vMerge w:val="restart"/>
                  <w:tcBorders>
                    <w:tl2br w:val="nil"/>
                    <w:tr2bl w:val="nil"/>
                  </w:tcBorders>
                  <w:vAlign w:val="center"/>
                </w:tcPr>
                <w:p w14:paraId="2A72D76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地块一</w:t>
                  </w:r>
                </w:p>
              </w:tc>
              <w:tc>
                <w:tcPr>
                  <w:tcW w:w="176" w:type="pct"/>
                  <w:vMerge w:val="restart"/>
                  <w:tcBorders>
                    <w:tl2br w:val="nil"/>
                    <w:tr2bl w:val="nil"/>
                  </w:tcBorders>
                  <w:vAlign w:val="center"/>
                </w:tcPr>
                <w:p w14:paraId="03AE9B5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lang w:val="en-US" w:eastAsia="zh-CN"/>
                    </w:rPr>
                    <w:t>①</w:t>
                  </w:r>
                  <w:r>
                    <w:rPr>
                      <w:rFonts w:hint="default" w:ascii="Times New Roman" w:hAnsi="Times New Roman" w:cs="Times New Roman"/>
                      <w:color w:val="auto"/>
                      <w:spacing w:val="4"/>
                      <w:sz w:val="21"/>
                      <w:szCs w:val="21"/>
                      <w:highlight w:val="none"/>
                    </w:rPr>
                    <w:t>烟花爆竹仓库</w:t>
                  </w:r>
                </w:p>
              </w:tc>
              <w:tc>
                <w:tcPr>
                  <w:tcW w:w="467" w:type="pct"/>
                  <w:vMerge w:val="restart"/>
                  <w:tcBorders>
                    <w:tl2br w:val="nil"/>
                    <w:tr2bl w:val="nil"/>
                  </w:tcBorders>
                  <w:vAlign w:val="center"/>
                </w:tcPr>
                <w:p w14:paraId="7F99DD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20000</w:t>
                  </w:r>
                </w:p>
              </w:tc>
              <w:tc>
                <w:tcPr>
                  <w:tcW w:w="281" w:type="pct"/>
                  <w:vMerge w:val="restart"/>
                  <w:tcBorders>
                    <w:tl2br w:val="nil"/>
                    <w:tr2bl w:val="nil"/>
                  </w:tcBorders>
                  <w:vAlign w:val="center"/>
                </w:tcPr>
                <w:p w14:paraId="3090E0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1174" w:type="pct"/>
                  <w:vMerge w:val="restart"/>
                  <w:tcBorders>
                    <w:tl2br w:val="nil"/>
                    <w:tr2bl w:val="nil"/>
                  </w:tcBorders>
                  <w:vAlign w:val="top"/>
                </w:tcPr>
                <w:p w14:paraId="22EA98F3">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仓库与邻近危险品仓库的</w:t>
                  </w:r>
                  <w:r>
                    <w:rPr>
                      <w:rFonts w:hint="eastAsia" w:ascii="宋体" w:hAnsi="宋体" w:eastAsia="宋体" w:cs="宋体"/>
                      <w:color w:val="auto"/>
                      <w:sz w:val="21"/>
                      <w:szCs w:val="21"/>
                      <w:highlight w:val="none"/>
                      <w:lang w:val="en-US" w:eastAsia="zh-CN"/>
                    </w:rPr>
                    <w:t>内部距离</w:t>
                  </w:r>
                </w:p>
              </w:tc>
              <w:tc>
                <w:tcPr>
                  <w:tcW w:w="827" w:type="pct"/>
                  <w:vMerge w:val="restart"/>
                  <w:tcBorders>
                    <w:tl2br w:val="nil"/>
                    <w:tr2bl w:val="nil"/>
                  </w:tcBorders>
                  <w:vAlign w:val="center"/>
                </w:tcPr>
                <w:p w14:paraId="139B9F7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40m</w:t>
                  </w:r>
                </w:p>
              </w:tc>
              <w:tc>
                <w:tcPr>
                  <w:tcW w:w="1355" w:type="pct"/>
                  <w:tcBorders>
                    <w:bottom w:val="single" w:color="auto" w:sz="4" w:space="0"/>
                    <w:tl2br w:val="nil"/>
                    <w:tr2bl w:val="nil"/>
                  </w:tcBorders>
                  <w:vAlign w:val="center"/>
                </w:tcPr>
                <w:p w14:paraId="5763FE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与②仓库距离41.5m</w:t>
                  </w:r>
                </w:p>
              </w:tc>
              <w:tc>
                <w:tcPr>
                  <w:tcW w:w="512" w:type="pct"/>
                  <w:tcBorders>
                    <w:bottom w:val="single" w:color="auto" w:sz="4" w:space="0"/>
                    <w:tl2br w:val="nil"/>
                    <w:tr2bl w:val="nil"/>
                  </w:tcBorders>
                  <w:vAlign w:val="center"/>
                </w:tcPr>
                <w:p w14:paraId="3E2CD6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14575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205" w:type="pct"/>
                  <w:vMerge w:val="continue"/>
                  <w:tcBorders>
                    <w:tl2br w:val="nil"/>
                    <w:tr2bl w:val="nil"/>
                  </w:tcBorders>
                  <w:vAlign w:val="center"/>
                </w:tcPr>
                <w:p w14:paraId="3D4486DD">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lang w:val="en-US" w:eastAsia="zh-CN"/>
                    </w:rPr>
                  </w:pPr>
                </w:p>
              </w:tc>
              <w:tc>
                <w:tcPr>
                  <w:tcW w:w="176" w:type="pct"/>
                  <w:vMerge w:val="continue"/>
                  <w:tcBorders>
                    <w:tl2br w:val="nil"/>
                    <w:tr2bl w:val="nil"/>
                  </w:tcBorders>
                  <w:vAlign w:val="center"/>
                </w:tcPr>
                <w:p w14:paraId="2341F5A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67" w:type="pct"/>
                  <w:vMerge w:val="continue"/>
                  <w:tcBorders>
                    <w:tl2br w:val="nil"/>
                    <w:tr2bl w:val="nil"/>
                  </w:tcBorders>
                  <w:vAlign w:val="center"/>
                </w:tcPr>
                <w:p w14:paraId="242DA8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281" w:type="pct"/>
                  <w:vMerge w:val="continue"/>
                  <w:tcBorders>
                    <w:tl2br w:val="nil"/>
                    <w:tr2bl w:val="nil"/>
                  </w:tcBorders>
                  <w:vAlign w:val="center"/>
                </w:tcPr>
                <w:p w14:paraId="206197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74" w:type="pct"/>
                  <w:vMerge w:val="continue"/>
                  <w:tcBorders>
                    <w:bottom w:val="single" w:color="auto" w:sz="4" w:space="0"/>
                    <w:tl2br w:val="nil"/>
                    <w:tr2bl w:val="nil"/>
                  </w:tcBorders>
                  <w:vAlign w:val="top"/>
                </w:tcPr>
                <w:p w14:paraId="076A7A77">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color w:val="auto"/>
                      <w:sz w:val="21"/>
                      <w:szCs w:val="21"/>
                      <w:highlight w:val="none"/>
                    </w:rPr>
                  </w:pPr>
                </w:p>
              </w:tc>
              <w:tc>
                <w:tcPr>
                  <w:tcW w:w="827" w:type="pct"/>
                  <w:vMerge w:val="continue"/>
                  <w:tcBorders>
                    <w:bottom w:val="single" w:color="auto" w:sz="4" w:space="0"/>
                    <w:tl2br w:val="nil"/>
                    <w:tr2bl w:val="nil"/>
                  </w:tcBorders>
                  <w:vAlign w:val="center"/>
                </w:tcPr>
                <w:p w14:paraId="75F6A7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val="en-US" w:eastAsia="zh-CN"/>
                    </w:rPr>
                  </w:pPr>
                </w:p>
              </w:tc>
              <w:tc>
                <w:tcPr>
                  <w:tcW w:w="1355" w:type="pct"/>
                  <w:tcBorders>
                    <w:top w:val="single" w:color="auto" w:sz="4" w:space="0"/>
                    <w:bottom w:val="single" w:color="auto" w:sz="4" w:space="0"/>
                    <w:tl2br w:val="nil"/>
                    <w:tr2bl w:val="nil"/>
                  </w:tcBorders>
                  <w:vAlign w:val="center"/>
                </w:tcPr>
                <w:p w14:paraId="539E43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与地块一现有仓库最近距离41.04m</w:t>
                  </w:r>
                </w:p>
              </w:tc>
              <w:tc>
                <w:tcPr>
                  <w:tcW w:w="512" w:type="pct"/>
                  <w:tcBorders>
                    <w:top w:val="single" w:color="auto" w:sz="4" w:space="0"/>
                    <w:bottom w:val="single" w:color="auto" w:sz="4" w:space="0"/>
                    <w:tl2br w:val="nil"/>
                    <w:tr2bl w:val="nil"/>
                  </w:tcBorders>
                  <w:vAlign w:val="center"/>
                </w:tcPr>
                <w:p w14:paraId="082048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30E0D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trPr>
              <w:tc>
                <w:tcPr>
                  <w:tcW w:w="205" w:type="pct"/>
                  <w:vMerge w:val="continue"/>
                  <w:tcBorders>
                    <w:tl2br w:val="nil"/>
                    <w:tr2bl w:val="nil"/>
                  </w:tcBorders>
                  <w:vAlign w:val="center"/>
                </w:tcPr>
                <w:p w14:paraId="4A1F2D40">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lang w:val="en-US" w:eastAsia="zh-CN"/>
                    </w:rPr>
                  </w:pPr>
                </w:p>
              </w:tc>
              <w:tc>
                <w:tcPr>
                  <w:tcW w:w="176" w:type="pct"/>
                  <w:vMerge w:val="continue"/>
                  <w:tcBorders>
                    <w:tl2br w:val="nil"/>
                    <w:tr2bl w:val="nil"/>
                  </w:tcBorders>
                  <w:vAlign w:val="center"/>
                </w:tcPr>
                <w:p w14:paraId="5279883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67" w:type="pct"/>
                  <w:vMerge w:val="continue"/>
                  <w:tcBorders>
                    <w:tl2br w:val="nil"/>
                    <w:tr2bl w:val="nil"/>
                  </w:tcBorders>
                  <w:vAlign w:val="center"/>
                </w:tcPr>
                <w:p w14:paraId="6A235F7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281" w:type="pct"/>
                  <w:vMerge w:val="continue"/>
                  <w:tcBorders>
                    <w:tl2br w:val="nil"/>
                    <w:tr2bl w:val="nil"/>
                  </w:tcBorders>
                  <w:vAlign w:val="center"/>
                </w:tcPr>
                <w:p w14:paraId="6A044D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74" w:type="pct"/>
                  <w:tcBorders>
                    <w:top w:val="single" w:color="auto" w:sz="4" w:space="0"/>
                    <w:tl2br w:val="nil"/>
                    <w:tr2bl w:val="nil"/>
                  </w:tcBorders>
                  <w:vAlign w:val="top"/>
                </w:tcPr>
                <w:p w14:paraId="5865BFD6">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仓库与危险品总仓库区值班室</w:t>
                  </w:r>
                  <w:r>
                    <w:rPr>
                      <w:rFonts w:hint="eastAsia" w:ascii="宋体" w:hAnsi="宋体" w:eastAsia="宋体" w:cs="宋体"/>
                      <w:color w:val="auto"/>
                      <w:sz w:val="21"/>
                      <w:szCs w:val="21"/>
                      <w:highlight w:val="none"/>
                      <w:lang w:val="en-US" w:eastAsia="zh-CN"/>
                    </w:rPr>
                    <w:t>距离</w:t>
                  </w:r>
                </w:p>
              </w:tc>
              <w:tc>
                <w:tcPr>
                  <w:tcW w:w="827" w:type="pct"/>
                  <w:tcBorders>
                    <w:top w:val="single" w:color="auto" w:sz="4" w:space="0"/>
                    <w:tl2br w:val="nil"/>
                    <w:tr2bl w:val="nil"/>
                  </w:tcBorders>
                  <w:vAlign w:val="center"/>
                </w:tcPr>
                <w:p w14:paraId="1FD4DD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50m</w:t>
                  </w:r>
                </w:p>
              </w:tc>
              <w:tc>
                <w:tcPr>
                  <w:tcW w:w="1355" w:type="pct"/>
                  <w:tcBorders>
                    <w:top w:val="single" w:color="auto" w:sz="4" w:space="0"/>
                    <w:bottom w:val="single" w:color="auto" w:sz="4" w:space="0"/>
                    <w:tl2br w:val="nil"/>
                    <w:tr2bl w:val="nil"/>
                  </w:tcBorders>
                  <w:vAlign w:val="center"/>
                </w:tcPr>
                <w:p w14:paraId="45F9961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值班室距离157m</w:t>
                  </w:r>
                </w:p>
              </w:tc>
              <w:tc>
                <w:tcPr>
                  <w:tcW w:w="512" w:type="pct"/>
                  <w:tcBorders>
                    <w:top w:val="single" w:color="auto" w:sz="4" w:space="0"/>
                    <w:bottom w:val="single" w:color="auto" w:sz="4" w:space="0"/>
                    <w:tl2br w:val="nil"/>
                    <w:tr2bl w:val="nil"/>
                  </w:tcBorders>
                  <w:vAlign w:val="center"/>
                </w:tcPr>
                <w:p w14:paraId="6430F3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78444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205" w:type="pct"/>
                  <w:vMerge w:val="continue"/>
                  <w:tcBorders>
                    <w:tl2br w:val="nil"/>
                    <w:tr2bl w:val="nil"/>
                  </w:tcBorders>
                  <w:vAlign w:val="center"/>
                </w:tcPr>
                <w:p w14:paraId="2192258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76" w:type="pct"/>
                  <w:vMerge w:val="restart"/>
                  <w:tcBorders>
                    <w:tl2br w:val="nil"/>
                    <w:tr2bl w:val="nil"/>
                  </w:tcBorders>
                  <w:vAlign w:val="center"/>
                </w:tcPr>
                <w:p w14:paraId="27515D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pacing w:val="1"/>
                      <w:sz w:val="21"/>
                      <w:szCs w:val="21"/>
                      <w:highlight w:val="none"/>
                      <w:lang w:val="en-US" w:eastAsia="zh-CN"/>
                    </w:rPr>
                    <w:t>②</w:t>
                  </w:r>
                  <w:r>
                    <w:rPr>
                      <w:rFonts w:hint="default" w:ascii="Times New Roman" w:hAnsi="Times New Roman" w:cs="Times New Roman"/>
                      <w:color w:val="auto"/>
                      <w:spacing w:val="4"/>
                      <w:sz w:val="21"/>
                      <w:szCs w:val="21"/>
                      <w:highlight w:val="none"/>
                    </w:rPr>
                    <w:t>烟花爆竹仓库</w:t>
                  </w:r>
                </w:p>
              </w:tc>
              <w:tc>
                <w:tcPr>
                  <w:tcW w:w="467" w:type="pct"/>
                  <w:vMerge w:val="restart"/>
                  <w:tcBorders>
                    <w:tl2br w:val="nil"/>
                    <w:tr2bl w:val="nil"/>
                  </w:tcBorders>
                  <w:vAlign w:val="center"/>
                </w:tcPr>
                <w:p w14:paraId="2247494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20000</w:t>
                  </w:r>
                </w:p>
              </w:tc>
              <w:tc>
                <w:tcPr>
                  <w:tcW w:w="281" w:type="pct"/>
                  <w:vMerge w:val="restart"/>
                  <w:tcBorders>
                    <w:tl2br w:val="nil"/>
                    <w:tr2bl w:val="nil"/>
                  </w:tcBorders>
                  <w:vAlign w:val="center"/>
                </w:tcPr>
                <w:p w14:paraId="1695CC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1.3</w:t>
                  </w:r>
                </w:p>
              </w:tc>
              <w:tc>
                <w:tcPr>
                  <w:tcW w:w="1174" w:type="pct"/>
                  <w:vMerge w:val="restart"/>
                  <w:tcBorders>
                    <w:tl2br w:val="nil"/>
                    <w:tr2bl w:val="nil"/>
                  </w:tcBorders>
                  <w:vAlign w:val="top"/>
                </w:tcPr>
                <w:p w14:paraId="2E100E4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仓库与邻近危险品仓库的</w:t>
                  </w:r>
                  <w:r>
                    <w:rPr>
                      <w:rFonts w:hint="eastAsia" w:ascii="宋体" w:hAnsi="宋体" w:eastAsia="宋体" w:cs="宋体"/>
                      <w:color w:val="auto"/>
                      <w:sz w:val="21"/>
                      <w:szCs w:val="21"/>
                      <w:highlight w:val="none"/>
                      <w:lang w:val="en-US" w:eastAsia="zh-CN"/>
                    </w:rPr>
                    <w:t>内部距离</w:t>
                  </w:r>
                </w:p>
              </w:tc>
              <w:tc>
                <w:tcPr>
                  <w:tcW w:w="827" w:type="pct"/>
                  <w:vMerge w:val="restart"/>
                  <w:tcBorders>
                    <w:tl2br w:val="nil"/>
                    <w:tr2bl w:val="nil"/>
                  </w:tcBorders>
                  <w:vAlign w:val="center"/>
                </w:tcPr>
                <w:p w14:paraId="25AB10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40m</w:t>
                  </w:r>
                </w:p>
              </w:tc>
              <w:tc>
                <w:tcPr>
                  <w:tcW w:w="1355" w:type="pct"/>
                  <w:tcBorders>
                    <w:bottom w:val="single" w:color="auto" w:sz="4" w:space="0"/>
                    <w:tl2br w:val="nil"/>
                    <w:tr2bl w:val="nil"/>
                  </w:tcBorders>
                  <w:vAlign w:val="center"/>
                </w:tcPr>
                <w:p w14:paraId="674DEF7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与①仓库距离41.5m</w:t>
                  </w:r>
                </w:p>
              </w:tc>
              <w:tc>
                <w:tcPr>
                  <w:tcW w:w="512" w:type="pct"/>
                  <w:tcBorders>
                    <w:bottom w:val="single" w:color="auto" w:sz="4" w:space="0"/>
                    <w:tl2br w:val="nil"/>
                    <w:tr2bl w:val="nil"/>
                  </w:tcBorders>
                  <w:vAlign w:val="center"/>
                </w:tcPr>
                <w:p w14:paraId="52A5FA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2"/>
                      <w:position w:val="1"/>
                      <w:sz w:val="21"/>
                      <w:szCs w:val="21"/>
                      <w:highlight w:val="none"/>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08F9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05" w:type="pct"/>
                  <w:vMerge w:val="continue"/>
                  <w:tcBorders>
                    <w:tl2br w:val="nil"/>
                    <w:tr2bl w:val="nil"/>
                  </w:tcBorders>
                  <w:vAlign w:val="center"/>
                </w:tcPr>
                <w:p w14:paraId="73EAD0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76" w:type="pct"/>
                  <w:vMerge w:val="continue"/>
                  <w:tcBorders>
                    <w:tl2br w:val="nil"/>
                    <w:tr2bl w:val="nil"/>
                  </w:tcBorders>
                  <w:vAlign w:val="center"/>
                </w:tcPr>
                <w:p w14:paraId="478C05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67" w:type="pct"/>
                  <w:vMerge w:val="continue"/>
                  <w:tcBorders>
                    <w:tl2br w:val="nil"/>
                    <w:tr2bl w:val="nil"/>
                  </w:tcBorders>
                  <w:vAlign w:val="center"/>
                </w:tcPr>
                <w:p w14:paraId="1399DB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281" w:type="pct"/>
                  <w:vMerge w:val="continue"/>
                  <w:tcBorders>
                    <w:tl2br w:val="nil"/>
                    <w:tr2bl w:val="nil"/>
                  </w:tcBorders>
                  <w:vAlign w:val="center"/>
                </w:tcPr>
                <w:p w14:paraId="605CAB0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74" w:type="pct"/>
                  <w:vMerge w:val="continue"/>
                  <w:tcBorders>
                    <w:bottom w:val="single" w:color="auto" w:sz="4" w:space="0"/>
                    <w:tl2br w:val="nil"/>
                    <w:tr2bl w:val="nil"/>
                  </w:tcBorders>
                  <w:vAlign w:val="top"/>
                </w:tcPr>
                <w:p w14:paraId="1DD8E9D9">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eastAsia" w:ascii="宋体" w:hAnsi="宋体" w:eastAsia="宋体" w:cs="宋体"/>
                      <w:color w:val="auto"/>
                      <w:sz w:val="21"/>
                      <w:szCs w:val="21"/>
                      <w:highlight w:val="none"/>
                    </w:rPr>
                  </w:pPr>
                </w:p>
              </w:tc>
              <w:tc>
                <w:tcPr>
                  <w:tcW w:w="827" w:type="pct"/>
                  <w:vMerge w:val="continue"/>
                  <w:tcBorders>
                    <w:bottom w:val="single" w:color="auto" w:sz="4" w:space="0"/>
                    <w:tl2br w:val="nil"/>
                    <w:tr2bl w:val="nil"/>
                  </w:tcBorders>
                  <w:vAlign w:val="center"/>
                </w:tcPr>
                <w:p w14:paraId="3257D01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z w:val="21"/>
                      <w:szCs w:val="21"/>
                      <w:highlight w:val="none"/>
                      <w:lang w:val="en-US" w:eastAsia="zh-CN"/>
                    </w:rPr>
                  </w:pPr>
                </w:p>
              </w:tc>
              <w:tc>
                <w:tcPr>
                  <w:tcW w:w="1355" w:type="pct"/>
                  <w:tcBorders>
                    <w:top w:val="single" w:color="auto" w:sz="4" w:space="0"/>
                    <w:bottom w:val="single" w:color="auto" w:sz="4" w:space="0"/>
                    <w:tl2br w:val="nil"/>
                    <w:tr2bl w:val="nil"/>
                  </w:tcBorders>
                  <w:vAlign w:val="center"/>
                </w:tcPr>
                <w:p w14:paraId="79AE2C3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与地块一现有仓库最近距离41.4m</w:t>
                  </w:r>
                </w:p>
              </w:tc>
              <w:tc>
                <w:tcPr>
                  <w:tcW w:w="512" w:type="pct"/>
                  <w:tcBorders>
                    <w:top w:val="single" w:color="auto" w:sz="4" w:space="0"/>
                    <w:bottom w:val="single" w:color="auto" w:sz="4" w:space="0"/>
                    <w:tl2br w:val="nil"/>
                    <w:tr2bl w:val="nil"/>
                  </w:tcBorders>
                  <w:vAlign w:val="center"/>
                </w:tcPr>
                <w:p w14:paraId="6B1896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2"/>
                      <w:position w:val="2"/>
                      <w:sz w:val="21"/>
                      <w:szCs w:val="21"/>
                      <w:highlight w:val="none"/>
                      <w:lang w:val="en-US" w:eastAsia="zh-CN"/>
                    </w:rPr>
                  </w:pPr>
                  <w:r>
                    <w:rPr>
                      <w:rFonts w:hint="eastAsia" w:cs="Times New Roman"/>
                      <w:color w:val="auto"/>
                      <w:spacing w:val="2"/>
                      <w:position w:val="2"/>
                      <w:sz w:val="21"/>
                      <w:szCs w:val="21"/>
                      <w:highlight w:val="none"/>
                      <w:lang w:val="en-US" w:eastAsia="zh-CN"/>
                    </w:rPr>
                    <w:t>符合</w:t>
                  </w:r>
                </w:p>
              </w:tc>
            </w:tr>
            <w:tr w14:paraId="393EF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 w:hRule="atLeast"/>
              </w:trPr>
              <w:tc>
                <w:tcPr>
                  <w:tcW w:w="205" w:type="pct"/>
                  <w:vMerge w:val="continue"/>
                  <w:tcBorders>
                    <w:tl2br w:val="nil"/>
                    <w:tr2bl w:val="nil"/>
                  </w:tcBorders>
                  <w:vAlign w:val="center"/>
                </w:tcPr>
                <w:p w14:paraId="3A0607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176" w:type="pct"/>
                  <w:vMerge w:val="continue"/>
                  <w:tcBorders>
                    <w:tl2br w:val="nil"/>
                    <w:tr2bl w:val="nil"/>
                  </w:tcBorders>
                  <w:vAlign w:val="center"/>
                </w:tcPr>
                <w:p w14:paraId="3C876A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p>
              </w:tc>
              <w:tc>
                <w:tcPr>
                  <w:tcW w:w="467" w:type="pct"/>
                  <w:vMerge w:val="continue"/>
                  <w:tcBorders>
                    <w:tl2br w:val="nil"/>
                    <w:tr2bl w:val="nil"/>
                  </w:tcBorders>
                  <w:vAlign w:val="center"/>
                </w:tcPr>
                <w:p w14:paraId="16E2DB1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281" w:type="pct"/>
                  <w:vMerge w:val="continue"/>
                  <w:tcBorders>
                    <w:tl2br w:val="nil"/>
                    <w:tr2bl w:val="nil"/>
                  </w:tcBorders>
                  <w:vAlign w:val="center"/>
                </w:tcPr>
                <w:p w14:paraId="1BBFAF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74" w:type="pct"/>
                  <w:tcBorders>
                    <w:top w:val="single" w:color="auto" w:sz="4" w:space="0"/>
                    <w:tl2br w:val="nil"/>
                    <w:tr2bl w:val="nil"/>
                  </w:tcBorders>
                  <w:vAlign w:val="top"/>
                </w:tcPr>
                <w:p w14:paraId="4422B9FB">
                  <w:pPr>
                    <w:pStyle w:val="5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仓库与危险品总仓库区值班室</w:t>
                  </w:r>
                  <w:r>
                    <w:rPr>
                      <w:rFonts w:hint="eastAsia" w:ascii="宋体" w:hAnsi="宋体" w:eastAsia="宋体" w:cs="宋体"/>
                      <w:color w:val="auto"/>
                      <w:sz w:val="21"/>
                      <w:szCs w:val="21"/>
                      <w:highlight w:val="none"/>
                      <w:lang w:val="en-US" w:eastAsia="zh-CN"/>
                    </w:rPr>
                    <w:t>距离</w:t>
                  </w:r>
                </w:p>
              </w:tc>
              <w:tc>
                <w:tcPr>
                  <w:tcW w:w="827" w:type="pct"/>
                  <w:tcBorders>
                    <w:top w:val="single" w:color="auto" w:sz="4" w:space="0"/>
                    <w:tl2br w:val="nil"/>
                    <w:tr2bl w:val="nil"/>
                  </w:tcBorders>
                  <w:vAlign w:val="center"/>
                </w:tcPr>
                <w:p w14:paraId="03640A2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50m</w:t>
                  </w:r>
                </w:p>
              </w:tc>
              <w:tc>
                <w:tcPr>
                  <w:tcW w:w="1355" w:type="pct"/>
                  <w:tcBorders>
                    <w:top w:val="single" w:color="auto" w:sz="4" w:space="0"/>
                    <w:bottom w:val="single" w:color="auto" w:sz="4" w:space="0"/>
                    <w:tl2br w:val="nil"/>
                    <w:tr2bl w:val="nil"/>
                  </w:tcBorders>
                  <w:vAlign w:val="center"/>
                </w:tcPr>
                <w:p w14:paraId="13D77AB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值班室距离189m</w:t>
                  </w:r>
                </w:p>
              </w:tc>
              <w:tc>
                <w:tcPr>
                  <w:tcW w:w="512" w:type="pct"/>
                  <w:tcBorders>
                    <w:top w:val="single" w:color="auto" w:sz="4" w:space="0"/>
                    <w:bottom w:val="single" w:color="auto" w:sz="4" w:space="0"/>
                    <w:tl2br w:val="nil"/>
                    <w:tr2bl w:val="nil"/>
                  </w:tcBorders>
                  <w:vAlign w:val="center"/>
                </w:tcPr>
                <w:p w14:paraId="7FD7A9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64847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05" w:type="pct"/>
                  <w:vMerge w:val="restart"/>
                  <w:tcBorders>
                    <w:tl2br w:val="nil"/>
                    <w:tr2bl w:val="nil"/>
                  </w:tcBorders>
                  <w:vAlign w:val="center"/>
                </w:tcPr>
                <w:p w14:paraId="2D9056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地块二</w:t>
                  </w:r>
                </w:p>
              </w:tc>
              <w:tc>
                <w:tcPr>
                  <w:tcW w:w="176" w:type="pct"/>
                  <w:vMerge w:val="restart"/>
                  <w:tcBorders>
                    <w:tl2br w:val="nil"/>
                    <w:tr2bl w:val="nil"/>
                  </w:tcBorders>
                  <w:vAlign w:val="center"/>
                </w:tcPr>
                <w:p w14:paraId="5AEC12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4"/>
                      <w:sz w:val="21"/>
                      <w:szCs w:val="21"/>
                      <w:highlight w:val="none"/>
                    </w:rPr>
                    <w:t>烟花爆竹仓库</w:t>
                  </w:r>
                </w:p>
              </w:tc>
              <w:tc>
                <w:tcPr>
                  <w:tcW w:w="467" w:type="pct"/>
                  <w:vMerge w:val="restart"/>
                  <w:tcBorders>
                    <w:tl2br w:val="nil"/>
                    <w:tr2bl w:val="nil"/>
                  </w:tcBorders>
                  <w:vAlign w:val="center"/>
                </w:tcPr>
                <w:p w14:paraId="1F166E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281" w:type="pct"/>
                  <w:vMerge w:val="restart"/>
                  <w:tcBorders>
                    <w:tl2br w:val="nil"/>
                    <w:tr2bl w:val="nil"/>
                  </w:tcBorders>
                  <w:vAlign w:val="center"/>
                </w:tcPr>
                <w:p w14:paraId="37F550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r>
                    <w:rPr>
                      <w:rFonts w:hint="eastAsia" w:ascii="Times New Roman" w:hAnsi="Times New Roman" w:eastAsia="宋体" w:cs="Times New Roman"/>
                      <w:color w:val="auto"/>
                      <w:sz w:val="21"/>
                      <w:szCs w:val="21"/>
                      <w:highlight w:val="none"/>
                      <w:vertAlign w:val="superscript"/>
                      <w:lang w:val="en-US" w:eastAsia="zh-CN"/>
                    </w:rPr>
                    <w:t>-2</w:t>
                  </w:r>
                </w:p>
              </w:tc>
              <w:tc>
                <w:tcPr>
                  <w:tcW w:w="1174" w:type="pct"/>
                  <w:vMerge w:val="restart"/>
                  <w:tcBorders>
                    <w:tl2br w:val="nil"/>
                    <w:tr2bl w:val="nil"/>
                  </w:tcBorders>
                  <w:vAlign w:val="center"/>
                </w:tcPr>
                <w:p w14:paraId="4EEB69F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仓库与邻近危险品仓库的</w:t>
                  </w:r>
                  <w:r>
                    <w:rPr>
                      <w:rFonts w:hint="eastAsia" w:ascii="宋体" w:hAnsi="宋体" w:eastAsia="宋体" w:cs="宋体"/>
                      <w:color w:val="auto"/>
                      <w:sz w:val="21"/>
                      <w:szCs w:val="21"/>
                      <w:highlight w:val="none"/>
                      <w:lang w:val="en-US" w:eastAsia="zh-CN"/>
                    </w:rPr>
                    <w:t>内部距离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单有屏障</w:t>
                  </w:r>
                  <w:r>
                    <w:rPr>
                      <w:rFonts w:hint="eastAsia" w:ascii="宋体" w:hAnsi="宋体" w:eastAsia="宋体" w:cs="宋体"/>
                      <w:color w:val="auto"/>
                      <w:sz w:val="21"/>
                      <w:szCs w:val="21"/>
                      <w:highlight w:val="none"/>
                      <w:lang w:eastAsia="zh-CN"/>
                    </w:rPr>
                    <w:t>）</w:t>
                  </w:r>
                </w:p>
              </w:tc>
              <w:tc>
                <w:tcPr>
                  <w:tcW w:w="827" w:type="pct"/>
                  <w:vMerge w:val="restart"/>
                  <w:tcBorders>
                    <w:tl2br w:val="nil"/>
                    <w:tr2bl w:val="nil"/>
                  </w:tcBorders>
                  <w:vAlign w:val="center"/>
                </w:tcPr>
                <w:p w14:paraId="5233BD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52m</w:t>
                  </w:r>
                </w:p>
              </w:tc>
              <w:tc>
                <w:tcPr>
                  <w:tcW w:w="1355" w:type="pct"/>
                  <w:tcBorders>
                    <w:bottom w:val="single" w:color="auto" w:sz="4" w:space="0"/>
                    <w:tl2br w:val="nil"/>
                    <w:tr2bl w:val="nil"/>
                  </w:tcBorders>
                  <w:vAlign w:val="center"/>
                </w:tcPr>
                <w:p w14:paraId="7D154C4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与地块一现有仓库最近距离545m</w:t>
                  </w:r>
                </w:p>
              </w:tc>
              <w:tc>
                <w:tcPr>
                  <w:tcW w:w="512" w:type="pct"/>
                  <w:tcBorders>
                    <w:bottom w:val="single" w:color="auto" w:sz="4" w:space="0"/>
                    <w:tl2br w:val="nil"/>
                    <w:tr2bl w:val="nil"/>
                  </w:tcBorders>
                  <w:vAlign w:val="center"/>
                </w:tcPr>
                <w:p w14:paraId="378921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2"/>
                      <w:position w:val="1"/>
                      <w:sz w:val="21"/>
                      <w:szCs w:val="21"/>
                      <w:highlight w:val="none"/>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3B478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05" w:type="pct"/>
                  <w:vMerge w:val="continue"/>
                  <w:tcBorders>
                    <w:tl2br w:val="nil"/>
                    <w:tr2bl w:val="nil"/>
                  </w:tcBorders>
                  <w:vAlign w:val="center"/>
                </w:tcPr>
                <w:p w14:paraId="341DD3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76" w:type="pct"/>
                  <w:vMerge w:val="continue"/>
                  <w:tcBorders>
                    <w:tl2br w:val="nil"/>
                    <w:tr2bl w:val="nil"/>
                  </w:tcBorders>
                  <w:vAlign w:val="center"/>
                </w:tcPr>
                <w:p w14:paraId="306592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highlight w:val="none"/>
                    </w:rPr>
                  </w:pPr>
                </w:p>
              </w:tc>
              <w:tc>
                <w:tcPr>
                  <w:tcW w:w="467" w:type="pct"/>
                  <w:vMerge w:val="continue"/>
                  <w:tcBorders>
                    <w:tl2br w:val="nil"/>
                    <w:tr2bl w:val="nil"/>
                  </w:tcBorders>
                  <w:vAlign w:val="center"/>
                </w:tcPr>
                <w:p w14:paraId="79CCF9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281" w:type="pct"/>
                  <w:vMerge w:val="continue"/>
                  <w:tcBorders>
                    <w:tl2br w:val="nil"/>
                    <w:tr2bl w:val="nil"/>
                  </w:tcBorders>
                  <w:vAlign w:val="center"/>
                </w:tcPr>
                <w:p w14:paraId="2D1A1D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1174" w:type="pct"/>
                  <w:vMerge w:val="continue"/>
                  <w:tcBorders>
                    <w:tl2br w:val="nil"/>
                    <w:tr2bl w:val="nil"/>
                  </w:tcBorders>
                  <w:vAlign w:val="center"/>
                </w:tcPr>
                <w:p w14:paraId="710073FE">
                  <w:pPr>
                    <w:jc w:val="center"/>
                    <w:rPr>
                      <w:rFonts w:hint="eastAsia" w:ascii="宋体" w:hAnsi="宋体" w:eastAsia="宋体" w:cs="宋体"/>
                      <w:color w:val="auto"/>
                      <w:sz w:val="21"/>
                      <w:szCs w:val="21"/>
                      <w:highlight w:val="none"/>
                    </w:rPr>
                  </w:pPr>
                </w:p>
              </w:tc>
              <w:tc>
                <w:tcPr>
                  <w:tcW w:w="827" w:type="pct"/>
                  <w:vMerge w:val="continue"/>
                  <w:tcBorders>
                    <w:tl2br w:val="nil"/>
                    <w:tr2bl w:val="nil"/>
                  </w:tcBorders>
                  <w:vAlign w:val="center"/>
                </w:tcPr>
                <w:p w14:paraId="7E0C8E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highlight w:val="none"/>
                      <w:lang w:val="en-US" w:eastAsia="zh-CN"/>
                    </w:rPr>
                  </w:pPr>
                </w:p>
              </w:tc>
              <w:tc>
                <w:tcPr>
                  <w:tcW w:w="1355" w:type="pct"/>
                  <w:tcBorders>
                    <w:top w:val="single" w:color="auto" w:sz="4" w:space="0"/>
                    <w:tl2br w:val="nil"/>
                    <w:tr2bl w:val="nil"/>
                  </w:tcBorders>
                  <w:vAlign w:val="center"/>
                </w:tcPr>
                <w:p w14:paraId="2DDDE2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与地块一扩建仓库最近距离583m</w:t>
                  </w:r>
                </w:p>
              </w:tc>
              <w:tc>
                <w:tcPr>
                  <w:tcW w:w="512" w:type="pct"/>
                  <w:tcBorders>
                    <w:top w:val="single" w:color="auto" w:sz="4" w:space="0"/>
                    <w:tl2br w:val="nil"/>
                    <w:tr2bl w:val="nil"/>
                  </w:tcBorders>
                  <w:vAlign w:val="center"/>
                </w:tcPr>
                <w:p w14:paraId="797EDC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pacing w:val="2"/>
                      <w:position w:val="2"/>
                      <w:sz w:val="21"/>
                      <w:szCs w:val="21"/>
                      <w:highlight w:val="none"/>
                      <w:lang w:val="en-US" w:eastAsia="zh-CN"/>
                    </w:rPr>
                  </w:pPr>
                  <w:r>
                    <w:rPr>
                      <w:rFonts w:hint="eastAsia" w:ascii="Times New Roman" w:hAnsi="Times New Roman" w:eastAsia="宋体" w:cs="Times New Roman"/>
                      <w:color w:val="auto"/>
                      <w:spacing w:val="2"/>
                      <w:position w:val="2"/>
                      <w:sz w:val="21"/>
                      <w:szCs w:val="21"/>
                      <w:highlight w:val="none"/>
                      <w:lang w:val="en-US" w:eastAsia="zh-CN"/>
                    </w:rPr>
                    <w:t>符合</w:t>
                  </w:r>
                </w:p>
              </w:tc>
            </w:tr>
            <w:tr w14:paraId="3F0B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05" w:type="pct"/>
                  <w:vMerge w:val="continue"/>
                  <w:tcBorders>
                    <w:tl2br w:val="nil"/>
                    <w:tr2bl w:val="nil"/>
                  </w:tcBorders>
                  <w:vAlign w:val="top"/>
                </w:tcPr>
                <w:p w14:paraId="24ECEF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76" w:type="pct"/>
                  <w:vMerge w:val="continue"/>
                  <w:tcBorders>
                    <w:tl2br w:val="nil"/>
                    <w:tr2bl w:val="nil"/>
                  </w:tcBorders>
                  <w:vAlign w:val="top"/>
                </w:tcPr>
                <w:p w14:paraId="173430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pacing w:val="1"/>
                      <w:sz w:val="21"/>
                      <w:szCs w:val="21"/>
                      <w:highlight w:val="none"/>
                      <w:lang w:val="en-US" w:eastAsia="zh-CN"/>
                    </w:rPr>
                  </w:pPr>
                </w:p>
              </w:tc>
              <w:tc>
                <w:tcPr>
                  <w:tcW w:w="467" w:type="pct"/>
                  <w:vMerge w:val="continue"/>
                  <w:tcBorders>
                    <w:tl2br w:val="nil"/>
                    <w:tr2bl w:val="nil"/>
                  </w:tcBorders>
                  <w:vAlign w:val="top"/>
                </w:tcPr>
                <w:p w14:paraId="120416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281" w:type="pct"/>
                  <w:vMerge w:val="continue"/>
                  <w:tcBorders>
                    <w:tl2br w:val="nil"/>
                    <w:tr2bl w:val="nil"/>
                  </w:tcBorders>
                  <w:vAlign w:val="top"/>
                </w:tcPr>
                <w:p w14:paraId="5A9F86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cs="Times New Roman"/>
                      <w:color w:val="auto"/>
                      <w:sz w:val="21"/>
                      <w:szCs w:val="21"/>
                      <w:highlight w:val="none"/>
                    </w:rPr>
                  </w:pPr>
                </w:p>
              </w:tc>
              <w:tc>
                <w:tcPr>
                  <w:tcW w:w="1174" w:type="pct"/>
                  <w:tcBorders>
                    <w:tl2br w:val="nil"/>
                    <w:tr2bl w:val="nil"/>
                  </w:tcBorders>
                  <w:vAlign w:val="center"/>
                </w:tcPr>
                <w:p w14:paraId="102EBE2A">
                  <w:pPr>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仓库与危险品总仓库区值班室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无防护屏障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距离</w:t>
                  </w:r>
                </w:p>
              </w:tc>
              <w:tc>
                <w:tcPr>
                  <w:tcW w:w="827" w:type="pct"/>
                  <w:tcBorders>
                    <w:tl2br w:val="nil"/>
                    <w:tr2bl w:val="nil"/>
                  </w:tcBorders>
                  <w:vAlign w:val="center"/>
                </w:tcPr>
                <w:p w14:paraId="70EF4D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112m</w:t>
                  </w:r>
                </w:p>
              </w:tc>
              <w:tc>
                <w:tcPr>
                  <w:tcW w:w="1355" w:type="pct"/>
                  <w:tcBorders>
                    <w:tl2br w:val="nil"/>
                    <w:tr2bl w:val="nil"/>
                  </w:tcBorders>
                  <w:vAlign w:val="center"/>
                </w:tcPr>
                <w:p w14:paraId="77B3CB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地块二值班室距离112.52m</w:t>
                  </w:r>
                </w:p>
              </w:tc>
              <w:tc>
                <w:tcPr>
                  <w:tcW w:w="512" w:type="pct"/>
                  <w:tcBorders>
                    <w:tl2br w:val="nil"/>
                    <w:tr2bl w:val="nil"/>
                  </w:tcBorders>
                  <w:vAlign w:val="center"/>
                </w:tcPr>
                <w:p w14:paraId="083D70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2"/>
                      <w:position w:val="1"/>
                      <w:sz w:val="21"/>
                      <w:szCs w:val="21"/>
                      <w:highlight w:val="none"/>
                    </w:rPr>
                  </w:pPr>
                  <w:r>
                    <w:rPr>
                      <w:rFonts w:hint="eastAsia" w:ascii="Times New Roman" w:hAnsi="Times New Roman" w:eastAsia="宋体" w:cs="Times New Roman"/>
                      <w:color w:val="auto"/>
                      <w:spacing w:val="2"/>
                      <w:position w:val="2"/>
                      <w:sz w:val="21"/>
                      <w:szCs w:val="21"/>
                      <w:highlight w:val="none"/>
                      <w:lang w:val="en-US" w:eastAsia="zh-CN"/>
                    </w:rPr>
                    <w:t>符合</w:t>
                  </w:r>
                </w:p>
              </w:tc>
            </w:tr>
          </w:tbl>
          <w:p w14:paraId="6C804734">
            <w:pPr>
              <w:spacing w:line="360" w:lineRule="auto"/>
              <w:ind w:firstLine="480" w:firstLineChars="200"/>
              <w:rPr>
                <w:color w:val="auto"/>
                <w:sz w:val="24"/>
                <w:szCs w:val="24"/>
                <w:highlight w:val="none"/>
              </w:rPr>
            </w:pPr>
            <w:r>
              <w:rPr>
                <w:rFonts w:hint="eastAsia"/>
                <w:color w:val="auto"/>
                <w:sz w:val="24"/>
                <w:szCs w:val="24"/>
                <w:highlight w:val="none"/>
                <w:lang w:val="en-US" w:eastAsia="zh-CN"/>
              </w:rPr>
              <w:t>2026年6月</w:t>
            </w:r>
            <w:r>
              <w:rPr>
                <w:color w:val="auto"/>
                <w:sz w:val="24"/>
                <w:szCs w:val="24"/>
                <w:highlight w:val="none"/>
              </w:rPr>
              <w:t>昆明优竹商贸有限公司烟花爆竹存储仓库</w:t>
            </w:r>
            <w:r>
              <w:rPr>
                <w:rFonts w:hint="eastAsia"/>
                <w:color w:val="auto"/>
                <w:sz w:val="24"/>
                <w:szCs w:val="24"/>
                <w:highlight w:val="none"/>
                <w:lang w:val="en-US" w:eastAsia="zh-CN"/>
              </w:rPr>
              <w:t>改扩</w:t>
            </w:r>
            <w:r>
              <w:rPr>
                <w:color w:val="auto"/>
                <w:sz w:val="24"/>
                <w:szCs w:val="24"/>
                <w:highlight w:val="none"/>
              </w:rPr>
              <w:t>建项目安全</w:t>
            </w:r>
            <w:r>
              <w:rPr>
                <w:rFonts w:hint="eastAsia"/>
                <w:color w:val="auto"/>
                <w:sz w:val="24"/>
                <w:szCs w:val="24"/>
                <w:highlight w:val="none"/>
                <w:lang w:val="en-US" w:eastAsia="zh-CN"/>
              </w:rPr>
              <w:t>预评价报告</w:t>
            </w:r>
            <w:r>
              <w:rPr>
                <w:color w:val="auto"/>
                <w:sz w:val="24"/>
                <w:szCs w:val="24"/>
                <w:highlight w:val="none"/>
              </w:rPr>
              <w:t>专家组意见（附件</w:t>
            </w:r>
            <w:r>
              <w:rPr>
                <w:rFonts w:hint="eastAsia"/>
                <w:color w:val="auto"/>
                <w:sz w:val="24"/>
                <w:szCs w:val="24"/>
                <w:highlight w:val="none"/>
                <w:lang w:val="en-US" w:eastAsia="zh-CN"/>
              </w:rPr>
              <w:t>8</w:t>
            </w:r>
            <w:r>
              <w:rPr>
                <w:color w:val="auto"/>
                <w:sz w:val="24"/>
                <w:szCs w:val="24"/>
                <w:highlight w:val="none"/>
              </w:rPr>
              <w:t>）中</w:t>
            </w:r>
            <w:r>
              <w:rPr>
                <w:rFonts w:hint="eastAsia"/>
                <w:color w:val="auto"/>
                <w:sz w:val="24"/>
                <w:szCs w:val="24"/>
                <w:highlight w:val="none"/>
                <w:lang w:val="en-US" w:eastAsia="zh-CN"/>
              </w:rPr>
              <w:t>预</w:t>
            </w:r>
            <w:r>
              <w:rPr>
                <w:rFonts w:hint="eastAsia"/>
                <w:color w:val="auto"/>
                <w:sz w:val="24"/>
                <w:szCs w:val="24"/>
                <w:highlight w:val="none"/>
              </w:rPr>
              <w:t>评价</w:t>
            </w:r>
            <w:r>
              <w:rPr>
                <w:color w:val="auto"/>
                <w:sz w:val="24"/>
                <w:szCs w:val="24"/>
                <w:highlight w:val="none"/>
              </w:rPr>
              <w:t>结论为：“昆明优竹商贸有限公司烟花爆竹存储</w:t>
            </w:r>
            <w:r>
              <w:rPr>
                <w:rFonts w:hint="eastAsia"/>
                <w:color w:val="auto"/>
                <w:sz w:val="24"/>
                <w:szCs w:val="24"/>
                <w:highlight w:val="none"/>
                <w:lang w:val="en-US" w:eastAsia="zh-CN"/>
              </w:rPr>
              <w:t>仓库改扩建</w:t>
            </w:r>
            <w:r>
              <w:rPr>
                <w:color w:val="auto"/>
                <w:sz w:val="24"/>
                <w:szCs w:val="24"/>
                <w:highlight w:val="none"/>
              </w:rPr>
              <w:t>项目</w:t>
            </w:r>
            <w:r>
              <w:rPr>
                <w:rFonts w:hint="eastAsia"/>
                <w:color w:val="auto"/>
                <w:sz w:val="24"/>
                <w:szCs w:val="24"/>
                <w:highlight w:val="none"/>
                <w:lang w:val="en-US" w:eastAsia="zh-CN"/>
              </w:rPr>
              <w:t>各建筑与周边建筑和设施的距离符合</w:t>
            </w:r>
            <w:r>
              <w:rPr>
                <w:color w:val="auto"/>
                <w:sz w:val="24"/>
                <w:szCs w:val="24"/>
                <w:highlight w:val="none"/>
              </w:rPr>
              <w:t>《烟花爆竹工程设计安全规范》(GB50161-20</w:t>
            </w:r>
            <w:r>
              <w:rPr>
                <w:rFonts w:hint="eastAsia"/>
                <w:color w:val="auto"/>
                <w:sz w:val="24"/>
                <w:szCs w:val="24"/>
                <w:highlight w:val="none"/>
                <w:lang w:val="en-US" w:eastAsia="zh-CN"/>
              </w:rPr>
              <w:t>22</w:t>
            </w:r>
            <w:r>
              <w:rPr>
                <w:color w:val="auto"/>
                <w:sz w:val="24"/>
                <w:szCs w:val="24"/>
                <w:highlight w:val="none"/>
              </w:rPr>
              <w:t>)</w:t>
            </w:r>
            <w:r>
              <w:rPr>
                <w:rFonts w:hint="eastAsia"/>
                <w:color w:val="auto"/>
                <w:sz w:val="24"/>
                <w:szCs w:val="24"/>
                <w:highlight w:val="none"/>
                <w:lang w:val="en-US" w:eastAsia="zh-CN"/>
              </w:rPr>
              <w:t>相关</w:t>
            </w:r>
            <w:r>
              <w:rPr>
                <w:color w:val="auto"/>
                <w:sz w:val="24"/>
                <w:szCs w:val="24"/>
                <w:highlight w:val="none"/>
              </w:rPr>
              <w:t>要求</w:t>
            </w:r>
            <w:r>
              <w:rPr>
                <w:rFonts w:hint="eastAsia"/>
                <w:color w:val="auto"/>
                <w:sz w:val="24"/>
                <w:szCs w:val="24"/>
                <w:highlight w:val="none"/>
                <w:lang w:eastAsia="zh-CN"/>
              </w:rPr>
              <w:t>”。</w:t>
            </w:r>
            <w:r>
              <w:rPr>
                <w:color w:val="auto"/>
                <w:sz w:val="24"/>
                <w:szCs w:val="24"/>
                <w:highlight w:val="none"/>
              </w:rPr>
              <w:t>综上所述，项目建筑物布局合理，不会相互影响。</w:t>
            </w:r>
          </w:p>
          <w:p w14:paraId="2CEACB03">
            <w:pPr>
              <w:keepNext w:val="0"/>
              <w:keepLines w:val="0"/>
              <w:pageBreakBefore w:val="0"/>
              <w:kinsoku/>
              <w:overflowPunct/>
              <w:topLinePunct w:val="0"/>
              <w:bidi w:val="0"/>
              <w:spacing w:line="360" w:lineRule="auto"/>
              <w:ind w:firstLine="482" w:firstLineChars="200"/>
              <w:rPr>
                <w:rFonts w:hint="default" w:ascii="Times New Roman" w:hAnsi="Times New Roman" w:eastAsia="宋体" w:cs="Times New Roman"/>
                <w:b/>
                <w:bCs/>
                <w:color w:val="auto"/>
                <w:sz w:val="24"/>
              </w:rPr>
            </w:pPr>
            <w:r>
              <w:rPr>
                <w:rFonts w:hint="eastAsia" w:ascii="Times New Roman" w:hAnsi="Times New Roman" w:cs="Times New Roman"/>
                <w:b/>
                <w:bCs/>
                <w:color w:val="auto"/>
                <w:sz w:val="24"/>
                <w:lang w:val="en-US" w:eastAsia="zh-CN"/>
              </w:rPr>
              <w:t>9</w:t>
            </w:r>
            <w:r>
              <w:rPr>
                <w:rFonts w:hint="default" w:ascii="Times New Roman" w:hAnsi="Times New Roman" w:eastAsia="宋体" w:cs="Times New Roman"/>
                <w:b/>
                <w:bCs/>
                <w:color w:val="auto"/>
                <w:sz w:val="24"/>
              </w:rPr>
              <w:t>、与《长江经济带发展负面清单指南（试行，2022年版）》符合性</w:t>
            </w:r>
          </w:p>
          <w:p w14:paraId="3DF9F711">
            <w:pPr>
              <w:keepNext w:val="0"/>
              <w:keepLines w:val="0"/>
              <w:pageBreakBefore w:val="0"/>
              <w:kinsoku/>
              <w:overflowPunct/>
              <w:topLine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项目与《长江经济带发展负面清单指南（试行，2022年版）》符合性分析见表1-</w:t>
            </w:r>
            <w:r>
              <w:rPr>
                <w:rFonts w:hint="eastAsia" w:ascii="Times New Roman" w:hAnsi="Times New Roman" w:cs="Times New Roman"/>
                <w:color w:val="auto"/>
                <w:kern w:val="0"/>
                <w:sz w:val="24"/>
                <w:lang w:val="en-US" w:eastAsia="zh-CN"/>
              </w:rPr>
              <w:t>6</w:t>
            </w:r>
            <w:r>
              <w:rPr>
                <w:rFonts w:hint="default" w:ascii="Times New Roman" w:hAnsi="Times New Roman" w:eastAsia="宋体" w:cs="Times New Roman"/>
                <w:color w:val="auto"/>
                <w:kern w:val="0"/>
                <w:sz w:val="24"/>
              </w:rPr>
              <w:t>。</w:t>
            </w:r>
          </w:p>
          <w:p w14:paraId="15E934D2">
            <w:pPr>
              <w:pStyle w:val="12"/>
              <w:keepNext w:val="0"/>
              <w:keepLines w:val="0"/>
              <w:pageBreakBefore w:val="0"/>
              <w:kinsoku/>
              <w:overflowPunct/>
              <w:topLinePunct w:val="0"/>
              <w:bidi w:val="0"/>
              <w:spacing w:before="120" w:beforeLines="50" w:line="240" w:lineRule="auto"/>
              <w:jc w:val="center"/>
              <w:rPr>
                <w:rFonts w:hint="default" w:ascii="Times New Roman" w:hAnsi="Times New Roman" w:eastAsia="宋体" w:cs="Times New Roman"/>
                <w:b/>
                <w:bCs/>
                <w:color w:val="auto"/>
                <w:w w:val="90"/>
                <w:sz w:val="21"/>
                <w:szCs w:val="21"/>
              </w:rPr>
            </w:pPr>
            <w:r>
              <w:rPr>
                <w:rFonts w:hint="default" w:ascii="Times New Roman" w:hAnsi="Times New Roman" w:eastAsia="宋体" w:cs="Times New Roman"/>
                <w:b/>
                <w:bCs/>
                <w:color w:val="auto"/>
                <w:w w:val="90"/>
                <w:sz w:val="21"/>
                <w:szCs w:val="21"/>
              </w:rPr>
              <w:t>表1-</w:t>
            </w:r>
            <w:r>
              <w:rPr>
                <w:rFonts w:hint="eastAsia" w:ascii="Times New Roman" w:hAnsi="Times New Roman" w:cs="Times New Roman"/>
                <w:b/>
                <w:bCs/>
                <w:color w:val="auto"/>
                <w:w w:val="90"/>
                <w:sz w:val="21"/>
                <w:szCs w:val="21"/>
                <w:lang w:val="en-US" w:eastAsia="zh-CN"/>
              </w:rPr>
              <w:t>6</w:t>
            </w:r>
            <w:r>
              <w:rPr>
                <w:rFonts w:hint="default" w:ascii="Times New Roman" w:hAnsi="Times New Roman" w:eastAsia="宋体" w:cs="Times New Roman"/>
                <w:b/>
                <w:bCs/>
                <w:color w:val="auto"/>
                <w:w w:val="90"/>
                <w:sz w:val="21"/>
                <w:szCs w:val="21"/>
              </w:rPr>
              <w:t xml:space="preserve">  与《长江经济带发展负面清单指南（试行，2022年版）》的符合性分析</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3240"/>
              <w:gridCol w:w="2285"/>
              <w:gridCol w:w="674"/>
            </w:tblGrid>
            <w:tr w14:paraId="07F4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11D2CBE6">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序号</w:t>
                  </w:r>
                </w:p>
              </w:tc>
              <w:tc>
                <w:tcPr>
                  <w:tcW w:w="2341" w:type="pct"/>
                  <w:noWrap w:val="0"/>
                  <w:vAlign w:val="center"/>
                </w:tcPr>
                <w:p w14:paraId="44ACB6C8">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标准要求</w:t>
                  </w:r>
                </w:p>
              </w:tc>
              <w:tc>
                <w:tcPr>
                  <w:tcW w:w="1651" w:type="pct"/>
                  <w:noWrap w:val="0"/>
                  <w:vAlign w:val="center"/>
                </w:tcPr>
                <w:p w14:paraId="6749E3FA">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项目建设条件</w:t>
                  </w:r>
                </w:p>
              </w:tc>
              <w:tc>
                <w:tcPr>
                  <w:tcW w:w="487" w:type="pct"/>
                  <w:noWrap w:val="0"/>
                  <w:vAlign w:val="center"/>
                </w:tcPr>
                <w:p w14:paraId="0EC45824">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符合性</w:t>
                  </w:r>
                </w:p>
              </w:tc>
            </w:tr>
            <w:tr w14:paraId="10B1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40606FC5">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w:t>
                  </w:r>
                </w:p>
              </w:tc>
              <w:tc>
                <w:tcPr>
                  <w:tcW w:w="2341" w:type="pct"/>
                  <w:noWrap w:val="0"/>
                  <w:vAlign w:val="center"/>
                </w:tcPr>
                <w:p w14:paraId="0D9705A0">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禁止建设不符合全国和省级港口布局规划以及港口总体</w:t>
                  </w:r>
                  <w:r>
                    <w:rPr>
                      <w:rFonts w:hint="default" w:ascii="Times New Roman" w:hAnsi="Times New Roman" w:eastAsia="宋体" w:cs="Times New Roman"/>
                      <w:bCs/>
                      <w:color w:val="auto"/>
                      <w:kern w:val="0"/>
                      <w:lang w:val="en-US" w:eastAsia="zh-CN"/>
                    </w:rPr>
                    <w:t>规划</w:t>
                  </w:r>
                  <w:r>
                    <w:rPr>
                      <w:rFonts w:hint="default" w:ascii="Times New Roman" w:hAnsi="Times New Roman" w:eastAsia="宋体" w:cs="Times New Roman"/>
                      <w:bCs/>
                      <w:color w:val="auto"/>
                      <w:kern w:val="0"/>
                    </w:rPr>
                    <w:t>的码头项目，禁止建设不符合《长江干线过江通道布局规划》的过长江通道项目。</w:t>
                  </w:r>
                </w:p>
              </w:tc>
              <w:tc>
                <w:tcPr>
                  <w:tcW w:w="1651" w:type="pct"/>
                  <w:noWrap w:val="0"/>
                  <w:vAlign w:val="center"/>
                </w:tcPr>
                <w:p w14:paraId="4074F0E5">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本项目为</w:t>
                  </w:r>
                  <w:r>
                    <w:rPr>
                      <w:rFonts w:hint="eastAsia" w:ascii="Times New Roman" w:hAnsi="Times New Roman" w:cs="Times New Roman"/>
                      <w:bCs/>
                      <w:color w:val="auto"/>
                      <w:kern w:val="0"/>
                      <w:lang w:val="en-US" w:eastAsia="zh-CN"/>
                    </w:rPr>
                    <w:t>仓储</w:t>
                  </w:r>
                  <w:r>
                    <w:rPr>
                      <w:rFonts w:hint="default" w:ascii="Times New Roman" w:hAnsi="Times New Roman" w:eastAsia="宋体" w:cs="Times New Roman"/>
                      <w:bCs/>
                      <w:color w:val="auto"/>
                      <w:kern w:val="0"/>
                    </w:rPr>
                    <w:t>项目，不属于码头项目及长江通道项目。</w:t>
                  </w:r>
                </w:p>
              </w:tc>
              <w:tc>
                <w:tcPr>
                  <w:tcW w:w="487" w:type="pct"/>
                  <w:noWrap w:val="0"/>
                  <w:vAlign w:val="center"/>
                </w:tcPr>
                <w:p w14:paraId="0132C309">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5449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0FD24446">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2</w:t>
                  </w:r>
                </w:p>
              </w:tc>
              <w:tc>
                <w:tcPr>
                  <w:tcW w:w="2341" w:type="pct"/>
                  <w:noWrap w:val="0"/>
                  <w:vAlign w:val="center"/>
                </w:tcPr>
                <w:p w14:paraId="584D669C">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禁止在自然保护区核心区、缓冲区的岸线和河段范围内投资建设旅游和生产经营项目。禁止在风景名胜区核心景区的岸线和河段范围内投资建设与风景名胜资源保护无关的项目。</w:t>
                  </w:r>
                </w:p>
              </w:tc>
              <w:tc>
                <w:tcPr>
                  <w:tcW w:w="1651" w:type="pct"/>
                  <w:noWrap w:val="0"/>
                  <w:vAlign w:val="center"/>
                </w:tcPr>
                <w:p w14:paraId="31D74517">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本项目不涉及自然保护区核心区、缓冲区、风景名胜区核心景区。</w:t>
                  </w:r>
                </w:p>
              </w:tc>
              <w:tc>
                <w:tcPr>
                  <w:tcW w:w="487" w:type="pct"/>
                  <w:noWrap w:val="0"/>
                  <w:vAlign w:val="center"/>
                </w:tcPr>
                <w:p w14:paraId="6552797A">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604D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77E3FD6C">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3</w:t>
                  </w:r>
                </w:p>
              </w:tc>
              <w:tc>
                <w:tcPr>
                  <w:tcW w:w="2341" w:type="pct"/>
                  <w:noWrap w:val="0"/>
                  <w:vAlign w:val="center"/>
                </w:tcPr>
                <w:p w14:paraId="50903142">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饮用水水源一级保护区的岸线和河段范围内新建、改建、扩建与供水设施和保护水源无关的项目，以及网箱养殖、旅游等可能污染饮用水水体的投资建设项目。禁止在饮用水水源二级保护区的岸线和河段范围内新建、改建、扩建排放污染物的投资建设项目。</w:t>
                  </w:r>
                </w:p>
              </w:tc>
              <w:tc>
                <w:tcPr>
                  <w:tcW w:w="1651" w:type="pct"/>
                  <w:noWrap w:val="0"/>
                  <w:vAlign w:val="center"/>
                </w:tcPr>
                <w:p w14:paraId="1D88A0A7">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本项目不涉及饮用水水源一级保护区、饮用水水源二级保护区。</w:t>
                  </w:r>
                </w:p>
              </w:tc>
              <w:tc>
                <w:tcPr>
                  <w:tcW w:w="487" w:type="pct"/>
                  <w:noWrap w:val="0"/>
                  <w:vAlign w:val="center"/>
                </w:tcPr>
                <w:p w14:paraId="69E4FADD">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1D67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73F00089">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4</w:t>
                  </w:r>
                </w:p>
              </w:tc>
              <w:tc>
                <w:tcPr>
                  <w:tcW w:w="2341" w:type="pct"/>
                  <w:noWrap w:val="0"/>
                  <w:vAlign w:val="center"/>
                </w:tcPr>
                <w:p w14:paraId="4D6F850F">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水产种质水源保护区的岸线和河段范围内新建排污口，以及围湖造田、围海造地或围填海等投资建设项目。禁止在国家湿地公园的岸线和河段范围内挖沙、采矿，以及任何不符合主体功能定位的投资建设项目。</w:t>
                  </w:r>
                </w:p>
              </w:tc>
              <w:tc>
                <w:tcPr>
                  <w:tcW w:w="1651" w:type="pct"/>
                  <w:noWrap w:val="0"/>
                  <w:vAlign w:val="center"/>
                </w:tcPr>
                <w:p w14:paraId="5D27C2CC">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本项目不涉及在水源保护区的岸线和河段范围内新建排污口，不涉及在国家湿地公园的岸线和河段范围内挖沙、采矿，项目是符合主体功能定位的投资建设项目。</w:t>
                  </w:r>
                </w:p>
              </w:tc>
              <w:tc>
                <w:tcPr>
                  <w:tcW w:w="487" w:type="pct"/>
                  <w:noWrap w:val="0"/>
                  <w:vAlign w:val="center"/>
                </w:tcPr>
                <w:p w14:paraId="4A1F7954">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63A3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4D7FF26A">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5</w:t>
                  </w:r>
                </w:p>
              </w:tc>
              <w:tc>
                <w:tcPr>
                  <w:tcW w:w="2341" w:type="pct"/>
                  <w:noWrap w:val="0"/>
                  <w:vAlign w:val="center"/>
                </w:tcPr>
                <w:p w14:paraId="6E55F2BF">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14:paraId="4FAAF6CB">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禁止在《全国重要江河湖泊水功能区划》划定的河段及湖泊保护区、保留区内投资建设不利于水资源及自然生态保护的项目。</w:t>
                  </w:r>
                </w:p>
              </w:tc>
              <w:tc>
                <w:tcPr>
                  <w:tcW w:w="1651" w:type="pct"/>
                  <w:noWrap w:val="0"/>
                  <w:vAlign w:val="center"/>
                </w:tcPr>
                <w:p w14:paraId="45B49F81">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lang w:val="en-US" w:eastAsia="zh-CN"/>
                    </w:rPr>
                    <w:t>项目</w:t>
                  </w:r>
                  <w:r>
                    <w:rPr>
                      <w:rFonts w:hint="default" w:ascii="Times New Roman" w:hAnsi="Times New Roman" w:eastAsia="宋体" w:cs="Times New Roman"/>
                      <w:bCs/>
                      <w:color w:val="auto"/>
                      <w:kern w:val="0"/>
                    </w:rPr>
                    <w:t>不涉及。</w:t>
                  </w:r>
                </w:p>
              </w:tc>
              <w:tc>
                <w:tcPr>
                  <w:tcW w:w="487" w:type="pct"/>
                  <w:noWrap w:val="0"/>
                  <w:vAlign w:val="center"/>
                </w:tcPr>
                <w:p w14:paraId="31865F35">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56CD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70943C36">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6</w:t>
                  </w:r>
                </w:p>
              </w:tc>
              <w:tc>
                <w:tcPr>
                  <w:tcW w:w="2341" w:type="pct"/>
                  <w:noWrap w:val="0"/>
                  <w:vAlign w:val="center"/>
                </w:tcPr>
                <w:p w14:paraId="743D7180">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禁止未经许可在长江干支流及湖泊新设、改设或扩大排污口</w:t>
                  </w:r>
                </w:p>
              </w:tc>
              <w:tc>
                <w:tcPr>
                  <w:tcW w:w="1651" w:type="pct"/>
                  <w:noWrap w:val="0"/>
                  <w:vAlign w:val="center"/>
                </w:tcPr>
                <w:p w14:paraId="3AD4ECE1">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w:t>
                  </w:r>
                </w:p>
              </w:tc>
              <w:tc>
                <w:tcPr>
                  <w:tcW w:w="487" w:type="pct"/>
                  <w:noWrap w:val="0"/>
                  <w:vAlign w:val="center"/>
                </w:tcPr>
                <w:p w14:paraId="5B7F5886">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65D4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5BEBFA51">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7</w:t>
                  </w:r>
                </w:p>
              </w:tc>
              <w:tc>
                <w:tcPr>
                  <w:tcW w:w="2341" w:type="pct"/>
                  <w:noWrap w:val="0"/>
                  <w:vAlign w:val="center"/>
                </w:tcPr>
                <w:p w14:paraId="6A63ABF5">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禁止在“一江一口两湖七河”和332个水生生物保护区开展生产性捕捞。</w:t>
                  </w:r>
                </w:p>
              </w:tc>
              <w:tc>
                <w:tcPr>
                  <w:tcW w:w="1651" w:type="pct"/>
                  <w:noWrap w:val="0"/>
                  <w:vAlign w:val="center"/>
                </w:tcPr>
                <w:p w14:paraId="08F9E9DA">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w:t>
                  </w:r>
                </w:p>
              </w:tc>
              <w:tc>
                <w:tcPr>
                  <w:tcW w:w="487" w:type="pct"/>
                  <w:noWrap w:val="0"/>
                  <w:vAlign w:val="center"/>
                </w:tcPr>
                <w:p w14:paraId="03550390">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0FE2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5C44F9FB">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8</w:t>
                  </w:r>
                </w:p>
              </w:tc>
              <w:tc>
                <w:tcPr>
                  <w:tcW w:w="2341" w:type="pct"/>
                  <w:noWrap w:val="0"/>
                  <w:vAlign w:val="center"/>
                </w:tcPr>
                <w:p w14:paraId="71EFA883">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651" w:type="pct"/>
                  <w:noWrap w:val="0"/>
                  <w:vAlign w:val="center"/>
                </w:tcPr>
                <w:p w14:paraId="51CCA61D">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本项目不涉及。</w:t>
                  </w:r>
                </w:p>
              </w:tc>
              <w:tc>
                <w:tcPr>
                  <w:tcW w:w="487" w:type="pct"/>
                  <w:noWrap w:val="0"/>
                  <w:vAlign w:val="center"/>
                </w:tcPr>
                <w:p w14:paraId="1AC01BAC">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1DBE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2FC3A7E4">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9</w:t>
                  </w:r>
                </w:p>
              </w:tc>
              <w:tc>
                <w:tcPr>
                  <w:tcW w:w="2341" w:type="pct"/>
                  <w:noWrap w:val="0"/>
                  <w:vAlign w:val="center"/>
                </w:tcPr>
                <w:p w14:paraId="00963C8F">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禁止在合规园区外新建、扩建钢铁、石化、化工、焦化、建材、有色、制浆造纸等高污染项目</w:t>
                  </w:r>
                </w:p>
              </w:tc>
              <w:tc>
                <w:tcPr>
                  <w:tcW w:w="1651" w:type="pct"/>
                  <w:noWrap w:val="0"/>
                  <w:vAlign w:val="center"/>
                </w:tcPr>
                <w:p w14:paraId="3FA1B330">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项目为</w:t>
                  </w:r>
                  <w:r>
                    <w:rPr>
                      <w:rFonts w:hint="eastAsia" w:ascii="Times New Roman" w:hAnsi="Times New Roman" w:cs="Times New Roman"/>
                      <w:color w:val="auto"/>
                      <w:sz w:val="21"/>
                      <w:szCs w:val="21"/>
                      <w:lang w:val="en-US" w:eastAsia="zh-CN"/>
                    </w:rPr>
                    <w:t>烟花爆竹仓库</w:t>
                  </w:r>
                  <w:r>
                    <w:rPr>
                      <w:rFonts w:hint="default" w:ascii="Times New Roman" w:hAnsi="Times New Roman" w:eastAsia="宋体" w:cs="Times New Roman"/>
                      <w:bCs/>
                      <w:color w:val="auto"/>
                      <w:kern w:val="0"/>
                    </w:rPr>
                    <w:t>，不属于新建、扩建钢铁、石化、化工、焦化、建材、有色、制浆造纸等高污染项目。</w:t>
                  </w:r>
                </w:p>
              </w:tc>
              <w:tc>
                <w:tcPr>
                  <w:tcW w:w="487" w:type="pct"/>
                  <w:noWrap w:val="0"/>
                  <w:vAlign w:val="center"/>
                </w:tcPr>
                <w:p w14:paraId="7E9DF292">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1374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0D22B2CF">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10</w:t>
                  </w:r>
                </w:p>
              </w:tc>
              <w:tc>
                <w:tcPr>
                  <w:tcW w:w="2341" w:type="pct"/>
                  <w:noWrap w:val="0"/>
                  <w:vAlign w:val="center"/>
                </w:tcPr>
                <w:p w14:paraId="7BC508E0">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禁止新建、扩建不符合国家石化、现代煤化工等产业布局规划的项目</w:t>
                  </w:r>
                </w:p>
              </w:tc>
              <w:tc>
                <w:tcPr>
                  <w:tcW w:w="1651" w:type="pct"/>
                  <w:noWrap w:val="0"/>
                  <w:vAlign w:val="center"/>
                </w:tcPr>
                <w:p w14:paraId="6D523897">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项目为</w:t>
                  </w:r>
                  <w:r>
                    <w:rPr>
                      <w:rFonts w:hint="eastAsia" w:ascii="Times New Roman" w:hAnsi="Times New Roman" w:cs="Times New Roman"/>
                      <w:color w:val="auto"/>
                      <w:sz w:val="21"/>
                      <w:szCs w:val="21"/>
                      <w:lang w:val="en-US" w:eastAsia="zh-CN"/>
                    </w:rPr>
                    <w:t>烟花爆竹仓库</w:t>
                  </w:r>
                  <w:r>
                    <w:rPr>
                      <w:rFonts w:hint="default" w:ascii="Times New Roman" w:hAnsi="Times New Roman" w:eastAsia="宋体" w:cs="Times New Roman"/>
                      <w:bCs/>
                      <w:color w:val="auto"/>
                      <w:kern w:val="0"/>
                    </w:rPr>
                    <w:t>。</w:t>
                  </w:r>
                </w:p>
              </w:tc>
              <w:tc>
                <w:tcPr>
                  <w:tcW w:w="487" w:type="pct"/>
                  <w:noWrap w:val="0"/>
                  <w:vAlign w:val="center"/>
                </w:tcPr>
                <w:p w14:paraId="6D4504D5">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r w14:paraId="219C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8" w:type="pct"/>
                  <w:noWrap w:val="0"/>
                  <w:vAlign w:val="center"/>
                </w:tcPr>
                <w:p w14:paraId="74DDD4A8">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11</w:t>
                  </w:r>
                </w:p>
              </w:tc>
              <w:tc>
                <w:tcPr>
                  <w:tcW w:w="2341" w:type="pct"/>
                  <w:noWrap w:val="0"/>
                  <w:vAlign w:val="center"/>
                </w:tcPr>
                <w:p w14:paraId="2A003A78">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禁止新建、扩建法律法规和相关政策</w:t>
                  </w:r>
                  <w:r>
                    <w:rPr>
                      <w:rFonts w:hint="default" w:ascii="Times New Roman" w:hAnsi="Times New Roman" w:eastAsia="宋体" w:cs="Times New Roman"/>
                      <w:bCs/>
                      <w:color w:val="auto"/>
                      <w:kern w:val="0"/>
                      <w:lang w:val="en-US" w:eastAsia="zh-CN"/>
                    </w:rPr>
                    <w:t>明令</w:t>
                  </w:r>
                  <w:r>
                    <w:rPr>
                      <w:rFonts w:hint="default" w:ascii="Times New Roman" w:hAnsi="Times New Roman" w:eastAsia="宋体" w:cs="Times New Roman"/>
                      <w:bCs/>
                      <w:color w:val="auto"/>
                      <w:kern w:val="0"/>
                    </w:rPr>
                    <w:t>禁止的落后产能项目。禁止新建、扩建不符合国家产能置换要求的严重过剩产能行业的项目。禁止新建、扩建不符合要求的高耗能高排放项目。</w:t>
                  </w:r>
                </w:p>
              </w:tc>
              <w:tc>
                <w:tcPr>
                  <w:tcW w:w="1651" w:type="pct"/>
                  <w:noWrap w:val="0"/>
                  <w:vAlign w:val="center"/>
                </w:tcPr>
                <w:p w14:paraId="29A25D81">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项目符合国家产业政策，不属于不符合国家产能置换要求的严重过剩产能行业的项目，不属于高耗能排放项目。</w:t>
                  </w:r>
                </w:p>
              </w:tc>
              <w:tc>
                <w:tcPr>
                  <w:tcW w:w="487" w:type="pct"/>
                  <w:noWrap w:val="0"/>
                  <w:vAlign w:val="center"/>
                </w:tcPr>
                <w:p w14:paraId="14E36D94">
                  <w:pPr>
                    <w:keepNext w:val="0"/>
                    <w:keepLines w:val="0"/>
                    <w:pageBreakBefore w:val="0"/>
                    <w:kinsoku/>
                    <w:overflowPunct/>
                    <w:topLinePunct w:val="0"/>
                    <w:bidi w:val="0"/>
                    <w:adjustRightInd w:val="0"/>
                    <w:snapToGrid w:val="0"/>
                    <w:jc w:val="center"/>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符合</w:t>
                  </w:r>
                </w:p>
              </w:tc>
            </w:tr>
          </w:tbl>
          <w:p w14:paraId="49A15928">
            <w:pPr>
              <w:keepNext w:val="0"/>
              <w:keepLines w:val="0"/>
              <w:pageBreakBefore w:val="0"/>
              <w:kinsoku/>
              <w:overflowPunct/>
              <w:topLinePunct w:val="0"/>
              <w:autoSpaceDE w:val="0"/>
              <w:autoSpaceDN w:val="0"/>
              <w:bidi w:val="0"/>
              <w:adjustRightInd w:val="0"/>
              <w:snapToGrid w:val="0"/>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根据上表1-</w:t>
            </w:r>
            <w:r>
              <w:rPr>
                <w:rFonts w:hint="eastAsia" w:ascii="Times New Roman" w:hAnsi="Times New Roman" w:cs="Times New Roman"/>
                <w:bCs/>
                <w:color w:val="auto"/>
                <w:kern w:val="0"/>
                <w:sz w:val="24"/>
                <w:lang w:val="en-US" w:eastAsia="zh-CN"/>
              </w:rPr>
              <w:t>6</w:t>
            </w:r>
            <w:r>
              <w:rPr>
                <w:rFonts w:hint="default" w:ascii="Times New Roman" w:hAnsi="Times New Roman" w:eastAsia="宋体" w:cs="Times New Roman"/>
                <w:bCs/>
                <w:color w:val="auto"/>
                <w:kern w:val="0"/>
                <w:sz w:val="24"/>
              </w:rPr>
              <w:t>可知，本项目建设与《长江经济带发展负面清单指南（试行，2022年版）》相符。</w:t>
            </w:r>
          </w:p>
          <w:p w14:paraId="61A37971">
            <w:pPr>
              <w:keepNext w:val="0"/>
              <w:keepLines w:val="0"/>
              <w:pageBreakBefore w:val="0"/>
              <w:kinsoku/>
              <w:overflowPunct/>
              <w:topLinePunct w:val="0"/>
              <w:bidi w:val="0"/>
              <w:spacing w:line="360" w:lineRule="auto"/>
              <w:ind w:firstLine="482" w:firstLineChars="200"/>
              <w:rPr>
                <w:rFonts w:hint="default" w:ascii="Times New Roman" w:hAnsi="Times New Roman" w:eastAsia="宋体" w:cs="Times New Roman"/>
                <w:b/>
                <w:bCs/>
                <w:color w:val="auto"/>
                <w:sz w:val="24"/>
              </w:rPr>
            </w:pPr>
            <w:r>
              <w:rPr>
                <w:rFonts w:hint="eastAsia" w:ascii="Times New Roman" w:hAnsi="Times New Roman" w:cs="Times New Roman"/>
                <w:b/>
                <w:bCs/>
                <w:color w:val="auto"/>
                <w:sz w:val="24"/>
                <w:lang w:val="en-US" w:eastAsia="zh-CN"/>
              </w:rPr>
              <w:t>10</w:t>
            </w:r>
            <w:r>
              <w:rPr>
                <w:rFonts w:hint="default" w:ascii="Times New Roman" w:hAnsi="Times New Roman" w:eastAsia="宋体" w:cs="Times New Roman"/>
                <w:b/>
                <w:bCs/>
                <w:color w:val="auto"/>
                <w:sz w:val="24"/>
              </w:rPr>
              <w:t>、与</w:t>
            </w:r>
            <w:r>
              <w:rPr>
                <w:rFonts w:hint="default" w:ascii="Times New Roman" w:hAnsi="Times New Roman" w:eastAsia="宋体" w:cs="Times New Roman"/>
                <w:b/>
                <w:bCs/>
                <w:color w:val="auto"/>
                <w:sz w:val="24"/>
                <w:lang w:val="en-US" w:eastAsia="zh-CN"/>
              </w:rPr>
              <w:t>《昆明市生态环境分区管控动态更新方案（2023年）》</w:t>
            </w:r>
            <w:r>
              <w:rPr>
                <w:rFonts w:hint="default" w:ascii="Times New Roman" w:hAnsi="Times New Roman" w:eastAsia="宋体" w:cs="Times New Roman"/>
                <w:b/>
                <w:bCs/>
                <w:color w:val="auto"/>
                <w:sz w:val="24"/>
              </w:rPr>
              <w:t>符合性分析</w:t>
            </w:r>
          </w:p>
          <w:p w14:paraId="2E923A3E">
            <w:pPr>
              <w:pStyle w:val="12"/>
              <w:keepNext w:val="0"/>
              <w:keepLines w:val="0"/>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lang w:val="zh-CN" w:eastAsia="zh-CN" w:bidi="ar-SA"/>
              </w:rPr>
              <w:t>本项目位于云南省昆明市</w:t>
            </w:r>
            <w:r>
              <w:rPr>
                <w:rFonts w:hint="eastAsia"/>
                <w:color w:val="auto"/>
                <w:sz w:val="24"/>
                <w:szCs w:val="24"/>
                <w:highlight w:val="none"/>
              </w:rPr>
              <w:t>寻甸回族彝族自治县</w:t>
            </w:r>
            <w:r>
              <w:rPr>
                <w:color w:val="auto"/>
                <w:sz w:val="24"/>
                <w:szCs w:val="24"/>
                <w:highlight w:val="none"/>
                <w:lang w:val="zh-CN"/>
              </w:rPr>
              <w:t>仁德</w:t>
            </w:r>
            <w:r>
              <w:rPr>
                <w:color w:val="auto"/>
                <w:sz w:val="24"/>
                <w:szCs w:val="24"/>
                <w:highlight w:val="none"/>
              </w:rPr>
              <w:t>（街道）北观社区打鹰坡</w:t>
            </w:r>
            <w:r>
              <w:rPr>
                <w:rFonts w:hint="default" w:ascii="Times New Roman" w:hAnsi="Times New Roman" w:eastAsia="宋体" w:cs="Times New Roman"/>
                <w:color w:val="auto"/>
                <w:kern w:val="2"/>
                <w:sz w:val="24"/>
                <w:szCs w:val="24"/>
                <w:lang w:val="zh-CN" w:eastAsia="zh-CN" w:bidi="ar-SA"/>
              </w:rPr>
              <w:t>，</w:t>
            </w:r>
            <w:r>
              <w:rPr>
                <w:rFonts w:hint="default" w:ascii="Times New Roman" w:hAnsi="Times New Roman" w:eastAsia="宋体" w:cs="Times New Roman"/>
                <w:color w:val="auto"/>
                <w:kern w:val="2"/>
                <w:sz w:val="24"/>
                <w:szCs w:val="24"/>
                <w:lang w:val="en-US" w:eastAsia="zh-CN" w:bidi="ar-SA"/>
              </w:rPr>
              <w:t>根据云南省环保厅网站查询报告（附件</w:t>
            </w:r>
            <w:r>
              <w:rPr>
                <w:rFonts w:hint="eastAsia" w:ascii="Times New Roman" w:hAnsi="Times New Roman" w:cs="Times New Roman"/>
                <w:color w:val="auto"/>
                <w:kern w:val="2"/>
                <w:sz w:val="24"/>
                <w:szCs w:val="24"/>
                <w:lang w:val="en-US" w:eastAsia="zh-CN" w:bidi="ar-SA"/>
              </w:rPr>
              <w:t>22</w:t>
            </w:r>
            <w:r>
              <w:rPr>
                <w:rFonts w:hint="default" w:ascii="Times New Roman" w:hAnsi="Times New Roman" w:eastAsia="宋体" w:cs="Times New Roman"/>
                <w:color w:val="auto"/>
                <w:kern w:val="2"/>
                <w:sz w:val="24"/>
                <w:szCs w:val="24"/>
                <w:lang w:val="en-US" w:eastAsia="zh-CN" w:bidi="ar-SA"/>
              </w:rPr>
              <w:t>），项目</w:t>
            </w:r>
            <w:r>
              <w:rPr>
                <w:rFonts w:hint="eastAsia" w:ascii="Times New Roman" w:hAnsi="Times New Roman" w:cs="Times New Roman"/>
                <w:color w:val="auto"/>
                <w:kern w:val="2"/>
                <w:sz w:val="24"/>
                <w:szCs w:val="24"/>
                <w:lang w:val="en-US" w:eastAsia="zh-CN" w:bidi="ar-SA"/>
              </w:rPr>
              <w:t>地块一、地块二、地块三属于</w:t>
            </w:r>
            <w:r>
              <w:rPr>
                <w:color w:val="auto"/>
                <w:sz w:val="24"/>
                <w:szCs w:val="24"/>
              </w:rPr>
              <w:t>寻甸回族彝族自治县一般管控单元</w:t>
            </w:r>
            <w:r>
              <w:rPr>
                <w:rFonts w:hint="eastAsia"/>
                <w:color w:val="auto"/>
                <w:sz w:val="24"/>
                <w:szCs w:val="24"/>
                <w:lang w:eastAsia="zh-CN"/>
              </w:rPr>
              <w:t>，</w:t>
            </w:r>
            <w:r>
              <w:rPr>
                <w:rFonts w:hint="default" w:ascii="Times New Roman" w:hAnsi="Times New Roman" w:eastAsia="宋体" w:cs="Times New Roman"/>
                <w:color w:val="auto"/>
                <w:sz w:val="24"/>
                <w:szCs w:val="24"/>
              </w:rPr>
              <w:t>详见下表。</w:t>
            </w:r>
          </w:p>
          <w:p w14:paraId="03A679A5">
            <w:pPr>
              <w:pStyle w:val="12"/>
              <w:keepNext w:val="0"/>
              <w:keepLines w:val="0"/>
              <w:pageBreakBefore w:val="0"/>
              <w:kinsoku/>
              <w:overflowPunct/>
              <w:topLinePunct w:val="0"/>
              <w:bidi w:val="0"/>
              <w:spacing w:before="120" w:beforeLines="50" w:line="240" w:lineRule="auto"/>
              <w:jc w:val="center"/>
              <w:rPr>
                <w:rFonts w:hint="default" w:ascii="Times New Roman" w:hAnsi="Times New Roman" w:eastAsia="宋体" w:cs="Times New Roman"/>
                <w:b/>
                <w:bCs/>
                <w:color w:val="auto"/>
                <w:w w:val="90"/>
                <w:sz w:val="21"/>
                <w:szCs w:val="21"/>
              </w:rPr>
            </w:pPr>
            <w:r>
              <w:rPr>
                <w:rFonts w:hint="default" w:ascii="Times New Roman" w:hAnsi="Times New Roman" w:eastAsia="宋体" w:cs="Times New Roman"/>
                <w:b/>
                <w:bCs/>
                <w:color w:val="auto"/>
                <w:w w:val="90"/>
                <w:sz w:val="21"/>
                <w:szCs w:val="21"/>
              </w:rPr>
              <w:t>表1-7  与</w:t>
            </w:r>
            <w:r>
              <w:rPr>
                <w:rFonts w:hint="default" w:ascii="Times New Roman" w:hAnsi="Times New Roman" w:eastAsia="宋体" w:cs="Times New Roman"/>
                <w:b/>
                <w:bCs/>
                <w:color w:val="auto"/>
                <w:sz w:val="21"/>
                <w:szCs w:val="21"/>
                <w:lang w:val="en-US" w:eastAsia="zh-CN"/>
              </w:rPr>
              <w:t>《昆明市生态环境分区管控动态更新方案（2023年）》</w:t>
            </w:r>
            <w:r>
              <w:rPr>
                <w:rFonts w:hint="default" w:ascii="Times New Roman" w:hAnsi="Times New Roman" w:eastAsia="宋体" w:cs="Times New Roman"/>
                <w:b/>
                <w:bCs/>
                <w:color w:val="auto"/>
                <w:w w:val="90"/>
                <w:sz w:val="21"/>
                <w:szCs w:val="21"/>
              </w:rPr>
              <w:t>符合性分析表</w:t>
            </w:r>
          </w:p>
          <w:tbl>
            <w:tblPr>
              <w:tblStyle w:val="23"/>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6"/>
              <w:gridCol w:w="2870"/>
              <w:gridCol w:w="2426"/>
              <w:gridCol w:w="763"/>
            </w:tblGrid>
            <w:tr w14:paraId="3C708E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noWrap w:val="0"/>
                  <w:vAlign w:val="center"/>
                </w:tcPr>
                <w:p w14:paraId="1EA48815">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2870" w:type="dxa"/>
                  <w:noWrap w:val="0"/>
                  <w:vAlign w:val="center"/>
                </w:tcPr>
                <w:p w14:paraId="321C4BB0">
                  <w:pPr>
                    <w:pStyle w:val="9"/>
                    <w:keepNext w:val="0"/>
                    <w:keepLines w:val="0"/>
                    <w:pageBreakBefore w:val="0"/>
                    <w:widowControl w:val="0"/>
                    <w:kinsoku/>
                    <w:wordWrap w:val="0"/>
                    <w:overflowPunct/>
                    <w:topLinePunct w:val="0"/>
                    <w:autoSpaceDE/>
                    <w:autoSpaceDN/>
                    <w:bidi w:val="0"/>
                    <w:adjustRightInd/>
                    <w:snapToGrid/>
                    <w:spacing w:before="0" w:line="240" w:lineRule="auto"/>
                    <w:ind w:right="0"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要求</w:t>
                  </w:r>
                </w:p>
              </w:tc>
              <w:tc>
                <w:tcPr>
                  <w:tcW w:w="2426" w:type="dxa"/>
                  <w:noWrap w:val="0"/>
                  <w:vAlign w:val="center"/>
                </w:tcPr>
                <w:p w14:paraId="60B55B7A">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项目情况</w:t>
                  </w:r>
                </w:p>
              </w:tc>
              <w:tc>
                <w:tcPr>
                  <w:tcW w:w="763" w:type="dxa"/>
                  <w:noWrap w:val="0"/>
                  <w:vAlign w:val="center"/>
                </w:tcPr>
                <w:p w14:paraId="3719BD6D">
                  <w:pPr>
                    <w:keepNext w:val="0"/>
                    <w:keepLines w:val="0"/>
                    <w:pageBreakBefore w:val="0"/>
                    <w:kinsoku/>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1ED3D0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noWrap w:val="0"/>
                  <w:vAlign w:val="center"/>
                </w:tcPr>
                <w:p w14:paraId="6866FCBD">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生态保护红线</w:t>
                  </w:r>
                </w:p>
              </w:tc>
              <w:tc>
                <w:tcPr>
                  <w:tcW w:w="2870" w:type="dxa"/>
                  <w:noWrap w:val="0"/>
                  <w:vAlign w:val="center"/>
                </w:tcPr>
                <w:p w14:paraId="455B5D0E">
                  <w:pPr>
                    <w:pStyle w:val="68"/>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val="0"/>
                      <w:bCs w:val="0"/>
                      <w:color w:val="auto"/>
                    </w:rPr>
                    <w:t>生态保护红线全面与《昆明市国土空间总体规划（2021-2035年）》衔接，全市生态保护红线面积4274.70平方公里，占全市国土面积的20.34%，较原有面积占比减少1.85%。全市一般生态空间面积5151.56km</w:t>
                  </w:r>
                  <w:r>
                    <w:rPr>
                      <w:rFonts w:hint="default" w:ascii="Times New Roman" w:hAnsi="Times New Roman" w:eastAsia="宋体" w:cs="Times New Roman"/>
                      <w:b w:val="0"/>
                      <w:bCs w:val="0"/>
                      <w:color w:val="auto"/>
                      <w:vertAlign w:val="superscript"/>
                    </w:rPr>
                    <w:t>2</w:t>
                  </w:r>
                  <w:r>
                    <w:rPr>
                      <w:rFonts w:hint="default" w:ascii="Times New Roman" w:hAnsi="Times New Roman" w:eastAsia="宋体" w:cs="Times New Roman"/>
                      <w:b w:val="0"/>
                      <w:bCs w:val="0"/>
                      <w:color w:val="auto"/>
                    </w:rPr>
                    <w:t>，占国土空间面积的24.37%，较原有面积占比增加2.45%。</w:t>
                  </w:r>
                </w:p>
              </w:tc>
              <w:tc>
                <w:tcPr>
                  <w:tcW w:w="2426" w:type="dxa"/>
                  <w:noWrap w:val="0"/>
                  <w:vAlign w:val="center"/>
                </w:tcPr>
                <w:p w14:paraId="3C8B691F">
                  <w:pPr>
                    <w:spacing w:line="240" w:lineRule="auto"/>
                    <w:rPr>
                      <w:rFonts w:hint="default" w:ascii="Times New Roman" w:hAnsi="Times New Roman" w:eastAsia="宋体" w:cs="Times New Roman"/>
                      <w:b/>
                      <w:bCs/>
                      <w:color w:val="auto"/>
                      <w:sz w:val="21"/>
                      <w:szCs w:val="21"/>
                    </w:rPr>
                  </w:pPr>
                  <w:r>
                    <w:rPr>
                      <w:color w:val="auto"/>
                      <w:sz w:val="21"/>
                      <w:szCs w:val="21"/>
                      <w:highlight w:val="none"/>
                      <w:lang w:val="zh-CN"/>
                    </w:rPr>
                    <w:t>项目选址于昆明市寻甸县仁德</w:t>
                  </w:r>
                  <w:r>
                    <w:rPr>
                      <w:color w:val="auto"/>
                      <w:sz w:val="21"/>
                      <w:szCs w:val="21"/>
                      <w:highlight w:val="none"/>
                    </w:rPr>
                    <w:t>街道北观社区打鹰坡</w:t>
                  </w:r>
                  <w:r>
                    <w:rPr>
                      <w:rFonts w:hint="eastAsia"/>
                      <w:color w:val="auto"/>
                      <w:sz w:val="21"/>
                      <w:szCs w:val="21"/>
                      <w:highlight w:val="none"/>
                      <w:lang w:eastAsia="zh-CN"/>
                    </w:rPr>
                    <w:t>，</w:t>
                  </w:r>
                  <w:r>
                    <w:rPr>
                      <w:b w:val="0"/>
                      <w:bCs w:val="0"/>
                      <w:color w:val="auto"/>
                      <w:sz w:val="21"/>
                      <w:szCs w:val="21"/>
                      <w:highlight w:val="none"/>
                    </w:rPr>
                    <w:t>根据202</w:t>
                  </w:r>
                  <w:r>
                    <w:rPr>
                      <w:rFonts w:hint="eastAsia"/>
                      <w:b w:val="0"/>
                      <w:bCs w:val="0"/>
                      <w:color w:val="auto"/>
                      <w:sz w:val="21"/>
                      <w:szCs w:val="21"/>
                      <w:highlight w:val="none"/>
                      <w:lang w:val="en-US" w:eastAsia="zh-CN"/>
                    </w:rPr>
                    <w:t>6</w:t>
                  </w:r>
                  <w:r>
                    <w:rPr>
                      <w:b w:val="0"/>
                      <w:bCs w:val="0"/>
                      <w:color w:val="auto"/>
                      <w:sz w:val="21"/>
                      <w:szCs w:val="21"/>
                      <w:highlight w:val="none"/>
                    </w:rPr>
                    <w:t>年</w:t>
                  </w:r>
                  <w:r>
                    <w:rPr>
                      <w:rFonts w:hint="eastAsia"/>
                      <w:b w:val="0"/>
                      <w:bCs w:val="0"/>
                      <w:color w:val="auto"/>
                      <w:sz w:val="21"/>
                      <w:szCs w:val="21"/>
                      <w:highlight w:val="none"/>
                      <w:lang w:val="en-US" w:eastAsia="zh-CN"/>
                    </w:rPr>
                    <w:t>3</w:t>
                  </w:r>
                  <w:r>
                    <w:rPr>
                      <w:b w:val="0"/>
                      <w:bCs w:val="0"/>
                      <w:color w:val="auto"/>
                      <w:sz w:val="21"/>
                      <w:szCs w:val="21"/>
                      <w:highlight w:val="none"/>
                    </w:rPr>
                    <w:t>月</w:t>
                  </w:r>
                  <w:r>
                    <w:rPr>
                      <w:rFonts w:hint="eastAsia"/>
                      <w:b w:val="0"/>
                      <w:bCs w:val="0"/>
                      <w:color w:val="auto"/>
                      <w:sz w:val="21"/>
                      <w:szCs w:val="21"/>
                      <w:highlight w:val="none"/>
                      <w:lang w:val="en-US" w:eastAsia="zh-CN"/>
                    </w:rPr>
                    <w:t>23</w:t>
                  </w:r>
                  <w:r>
                    <w:rPr>
                      <w:b w:val="0"/>
                      <w:bCs w:val="0"/>
                      <w:color w:val="auto"/>
                      <w:sz w:val="21"/>
                      <w:szCs w:val="21"/>
                      <w:highlight w:val="none"/>
                    </w:rPr>
                    <w:t>日《寻甸回族彝族自治县</w:t>
                  </w:r>
                  <w:r>
                    <w:rPr>
                      <w:rFonts w:hint="eastAsia"/>
                      <w:b w:val="0"/>
                      <w:bCs w:val="0"/>
                      <w:color w:val="auto"/>
                      <w:sz w:val="21"/>
                      <w:szCs w:val="21"/>
                      <w:highlight w:val="none"/>
                      <w:lang w:val="en-US" w:eastAsia="zh-CN"/>
                    </w:rPr>
                    <w:t>自然资源局</w:t>
                  </w:r>
                  <w:r>
                    <w:rPr>
                      <w:rFonts w:hint="default" w:ascii="Times New Roman" w:hAnsi="Times New Roman" w:cs="Times New Roman"/>
                      <w:b w:val="0"/>
                      <w:bCs w:val="0"/>
                      <w:color w:val="auto"/>
                      <w:sz w:val="21"/>
                      <w:szCs w:val="21"/>
                      <w:highlight w:val="none"/>
                      <w:lang w:val="en-US" w:eastAsia="zh-CN"/>
                    </w:rPr>
                    <w:t>关于昆明优竹商贸有限公司烟花爆竹储存仓库改扩建项目是否涉及永久基本农田的说明》（附件</w:t>
                  </w:r>
                  <w:r>
                    <w:rPr>
                      <w:rFonts w:hint="eastAsia" w:ascii="Times New Roman" w:hAnsi="Times New Roman" w:cs="Times New Roman"/>
                      <w:b w:val="0"/>
                      <w:bCs w:val="0"/>
                      <w:color w:val="auto"/>
                      <w:sz w:val="21"/>
                      <w:szCs w:val="21"/>
                      <w:highlight w:val="none"/>
                      <w:lang w:val="en-US" w:eastAsia="zh-CN"/>
                    </w:rPr>
                    <w:t>1</w:t>
                  </w:r>
                  <w:r>
                    <w:rPr>
                      <w:rFonts w:hint="default" w:ascii="Times New Roman" w:hAnsi="Times New Roman" w:cs="Times New Roman"/>
                      <w:b w:val="0"/>
                      <w:bCs w:val="0"/>
                      <w:color w:val="auto"/>
                      <w:sz w:val="21"/>
                      <w:szCs w:val="21"/>
                      <w:highlight w:val="none"/>
                      <w:lang w:val="en-US" w:eastAsia="zh-CN"/>
                    </w:rPr>
                    <w:t>6）及《关于昆明</w:t>
                  </w:r>
                  <w:r>
                    <w:rPr>
                      <w:rFonts w:ascii="Times New Roman" w:hAnsi="Times New Roman" w:cs="Times New Roman"/>
                      <w:b w:val="0"/>
                      <w:bCs w:val="0"/>
                      <w:color w:val="auto"/>
                      <w:sz w:val="21"/>
                      <w:szCs w:val="21"/>
                      <w:highlight w:val="none"/>
                      <w:lang w:val="en-US" w:eastAsia="zh-CN"/>
                    </w:rPr>
                    <w:t>优竹商贸有限公司烟花爆竹储存仓库</w:t>
                  </w:r>
                  <w:r>
                    <w:rPr>
                      <w:rFonts w:hint="default" w:ascii="Times New Roman" w:hAnsi="Times New Roman" w:cs="Times New Roman"/>
                      <w:b w:val="0"/>
                      <w:bCs w:val="0"/>
                      <w:color w:val="auto"/>
                      <w:sz w:val="21"/>
                      <w:szCs w:val="21"/>
                      <w:highlight w:val="none"/>
                      <w:lang w:val="en-US" w:eastAsia="zh-CN"/>
                    </w:rPr>
                    <w:t>改扩建项目用地范围是否涉及生态保护红线及城镇开发边界的情况说明</w:t>
                  </w:r>
                  <w:r>
                    <w:rPr>
                      <w:rFonts w:ascii="Times New Roman" w:hAnsi="Times New Roman" w:cs="Times New Roman"/>
                      <w:b w:val="0"/>
                      <w:bCs w:val="0"/>
                      <w:color w:val="auto"/>
                      <w:sz w:val="21"/>
                      <w:szCs w:val="21"/>
                      <w:highlight w:val="none"/>
                    </w:rPr>
                    <w:t>》（附件</w:t>
                  </w:r>
                  <w:r>
                    <w:rPr>
                      <w:rFonts w:hint="eastAsia" w:ascii="Times New Roman" w:hAnsi="Times New Roman" w:cs="Times New Roman"/>
                      <w:b w:val="0"/>
                      <w:bCs w:val="0"/>
                      <w:color w:val="auto"/>
                      <w:sz w:val="21"/>
                      <w:szCs w:val="21"/>
                      <w:highlight w:val="none"/>
                      <w:lang w:val="en-US" w:eastAsia="zh-CN"/>
                    </w:rPr>
                    <w:t>16</w:t>
                  </w:r>
                  <w:r>
                    <w:rPr>
                      <w:rFonts w:ascii="Times New Roman" w:hAnsi="Times New Roman" w:cs="Times New Roman"/>
                      <w:b w:val="0"/>
                      <w:bCs w:val="0"/>
                      <w:color w:val="auto"/>
                      <w:sz w:val="21"/>
                      <w:szCs w:val="21"/>
                      <w:highlight w:val="none"/>
                    </w:rPr>
                    <w:t>）</w:t>
                  </w:r>
                  <w:r>
                    <w:rPr>
                      <w:color w:val="auto"/>
                      <w:sz w:val="21"/>
                      <w:szCs w:val="21"/>
                      <w:highlight w:val="none"/>
                    </w:rPr>
                    <w:t>，项目不占用规划永久基本农田及寻甸县生态红线，符合寻甸县土地利用总体规划。项目占地现状利用性质主要是</w:t>
                  </w:r>
                  <w:r>
                    <w:rPr>
                      <w:rFonts w:hint="eastAsia"/>
                      <w:color w:val="auto"/>
                      <w:sz w:val="21"/>
                      <w:szCs w:val="21"/>
                      <w:highlight w:val="none"/>
                      <w:lang w:val="en-US" w:eastAsia="zh-CN"/>
                    </w:rPr>
                    <w:t>林</w:t>
                  </w:r>
                  <w:r>
                    <w:rPr>
                      <w:color w:val="auto"/>
                      <w:sz w:val="21"/>
                      <w:szCs w:val="21"/>
                      <w:highlight w:val="none"/>
                    </w:rPr>
                    <w:t>地</w:t>
                  </w:r>
                  <w:r>
                    <w:rPr>
                      <w:rFonts w:hint="eastAsia"/>
                      <w:color w:val="auto"/>
                      <w:sz w:val="21"/>
                      <w:szCs w:val="21"/>
                      <w:lang w:eastAsia="zh-CN"/>
                    </w:rPr>
                    <w:t>、</w:t>
                  </w:r>
                  <w:r>
                    <w:rPr>
                      <w:rFonts w:hint="eastAsia"/>
                      <w:color w:val="auto"/>
                      <w:sz w:val="21"/>
                      <w:szCs w:val="21"/>
                      <w:lang w:val="en-US" w:eastAsia="zh-CN"/>
                    </w:rPr>
                    <w:t>草地</w:t>
                  </w:r>
                  <w:r>
                    <w:rPr>
                      <w:color w:val="auto"/>
                      <w:sz w:val="21"/>
                      <w:szCs w:val="21"/>
                      <w:highlight w:val="none"/>
                    </w:rPr>
                    <w:t>，项目不占用耕地，不影响区域农业发展</w:t>
                  </w:r>
                  <w:r>
                    <w:rPr>
                      <w:rFonts w:hint="eastAsia"/>
                      <w:color w:val="auto"/>
                      <w:sz w:val="21"/>
                      <w:szCs w:val="21"/>
                      <w:highlight w:val="none"/>
                      <w:lang w:val="en-US" w:eastAsia="zh-CN"/>
                    </w:rPr>
                    <w:t>且项目不占用公益林地</w:t>
                  </w:r>
                  <w:r>
                    <w:rPr>
                      <w:color w:val="auto"/>
                      <w:sz w:val="21"/>
                      <w:szCs w:val="21"/>
                      <w:highlight w:val="none"/>
                    </w:rPr>
                    <w:t>。因此，项目的建设符合</w:t>
                  </w:r>
                  <w:r>
                    <w:rPr>
                      <w:rFonts w:hint="default" w:ascii="Times New Roman" w:hAnsi="Times New Roman" w:eastAsia="宋体" w:cs="Times New Roman"/>
                      <w:color w:val="auto"/>
                      <w:sz w:val="21"/>
                      <w:szCs w:val="21"/>
                      <w:highlight w:val="none"/>
                    </w:rPr>
                    <w:t>《昆明市国土空间总体规划（2021-2035年）》</w:t>
                  </w:r>
                  <w:r>
                    <w:rPr>
                      <w:rFonts w:ascii="Times New Roman" w:hAnsi="Times New Roman" w:eastAsia="宋体" w:cs="Times New Roman"/>
                      <w:color w:val="auto"/>
                      <w:sz w:val="21"/>
                      <w:szCs w:val="21"/>
                      <w:highlight w:val="none"/>
                    </w:rPr>
                    <w:t>要求。</w:t>
                  </w:r>
                </w:p>
              </w:tc>
              <w:tc>
                <w:tcPr>
                  <w:tcW w:w="763" w:type="dxa"/>
                  <w:noWrap w:val="0"/>
                  <w:vAlign w:val="center"/>
                </w:tcPr>
                <w:p w14:paraId="07009B2E">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符合</w:t>
                  </w:r>
                </w:p>
              </w:tc>
            </w:tr>
            <w:tr w14:paraId="22C5A8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noWrap w:val="0"/>
                  <w:vAlign w:val="center"/>
                </w:tcPr>
                <w:p w14:paraId="58E8FD9C">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环境质量底线</w:t>
                  </w:r>
                </w:p>
              </w:tc>
              <w:tc>
                <w:tcPr>
                  <w:tcW w:w="2870" w:type="dxa"/>
                  <w:noWrap w:val="0"/>
                  <w:vAlign w:val="center"/>
                </w:tcPr>
                <w:p w14:paraId="64C208EB">
                  <w:pPr>
                    <w:pStyle w:val="68"/>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val="0"/>
                      <w:bCs w:val="0"/>
                      <w:color w:val="auto"/>
                    </w:rPr>
                    <w:t>到2025年，昆明市地表水国控断面达到或好于Ⅲ类水体比例应达到81.5%，45个省控断面达到或好于Ⅲ类水体比例应达到80%，劣Ⅴ类水体全面消除，县级及以上集中式饮用水水源地水质达标率100%；空气质量优良天数比率达99.1%，细颗粒物（PM2.5）浓度不高于24微克/立方米，重污染天数为0；全市土壤环境质量总体保持稳定，局部稳中向好，受污染耕地安全利用率不低于90%，重点建设用地安全利用得到有效保障。</w:t>
                  </w:r>
                </w:p>
              </w:tc>
              <w:tc>
                <w:tcPr>
                  <w:tcW w:w="2426" w:type="dxa"/>
                  <w:noWrap w:val="0"/>
                  <w:vAlign w:val="center"/>
                </w:tcPr>
                <w:p w14:paraId="3EB0C6CA">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bCs/>
                      <w:color w:val="auto"/>
                      <w:sz w:val="21"/>
                      <w:szCs w:val="21"/>
                    </w:rPr>
                  </w:pPr>
                  <w:r>
                    <w:rPr>
                      <w:color w:val="auto"/>
                      <w:sz w:val="21"/>
                      <w:szCs w:val="21"/>
                      <w:highlight w:val="none"/>
                      <w:lang w:val="zh-CN"/>
                    </w:rPr>
                    <w:t>项目选址于昆明市寻甸县仁德</w:t>
                  </w:r>
                  <w:r>
                    <w:rPr>
                      <w:color w:val="auto"/>
                      <w:sz w:val="21"/>
                      <w:szCs w:val="21"/>
                      <w:highlight w:val="none"/>
                    </w:rPr>
                    <w:t>街道北观社区打鹰坡</w:t>
                  </w:r>
                  <w:r>
                    <w:rPr>
                      <w:rFonts w:hint="eastAsia"/>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项目</w:t>
                  </w:r>
                  <w:r>
                    <w:rPr>
                      <w:rFonts w:hint="default" w:ascii="Times New Roman" w:hAnsi="Times New Roman" w:eastAsia="宋体" w:cs="Times New Roman"/>
                      <w:b w:val="0"/>
                      <w:bCs w:val="0"/>
                      <w:color w:val="auto"/>
                      <w:sz w:val="21"/>
                      <w:szCs w:val="21"/>
                      <w:highlight w:val="none"/>
                    </w:rPr>
                    <w:t>运营期产生的废水主要是员工生活污水</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员工生活污水排入化粪池后，委托寻甸县环卫部门</w:t>
                  </w:r>
                  <w:r>
                    <w:rPr>
                      <w:rFonts w:hint="default" w:ascii="Times New Roman" w:hAnsi="Times New Roman" w:eastAsia="宋体" w:cs="Times New Roman"/>
                      <w:b w:val="0"/>
                      <w:bCs w:val="0"/>
                      <w:color w:val="auto"/>
                      <w:sz w:val="21"/>
                      <w:szCs w:val="21"/>
                      <w:highlight w:val="none"/>
                      <w:lang w:val="en-US" w:eastAsia="zh-CN"/>
                    </w:rPr>
                    <w:t>15天</w:t>
                  </w:r>
                  <w:r>
                    <w:rPr>
                      <w:rFonts w:hint="default" w:ascii="Times New Roman" w:hAnsi="Times New Roman" w:eastAsia="宋体" w:cs="Times New Roman"/>
                      <w:b w:val="0"/>
                      <w:bCs w:val="0"/>
                      <w:color w:val="auto"/>
                      <w:sz w:val="21"/>
                      <w:szCs w:val="21"/>
                      <w:highlight w:val="none"/>
                    </w:rPr>
                    <w:t>抽运一次，运输到寻甸县污水处理厂处理，不外排</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lang w:val="zh-CN"/>
                    </w:rPr>
                    <w:t>符合地表水环境质量底线要求</w:t>
                  </w:r>
                  <w:r>
                    <w:rPr>
                      <w:rFonts w:hint="default" w:ascii="Times New Roman" w:hAnsi="Times New Roman" w:eastAsia="宋体" w:cs="Times New Roman"/>
                      <w:b w:val="0"/>
                      <w:bCs w:val="0"/>
                      <w:color w:val="auto"/>
                    </w:rPr>
                    <w:t>。项目无废水向地表水体排放，不会降低地表水功能。项目无土壤污染途径，符合土壤环境风险防控底线。</w:t>
                  </w:r>
                </w:p>
              </w:tc>
              <w:tc>
                <w:tcPr>
                  <w:tcW w:w="763" w:type="dxa"/>
                  <w:noWrap w:val="0"/>
                  <w:vAlign w:val="center"/>
                </w:tcPr>
                <w:p w14:paraId="52AF1172">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符合</w:t>
                  </w:r>
                </w:p>
              </w:tc>
            </w:tr>
            <w:tr w14:paraId="713681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noWrap w:val="0"/>
                  <w:vAlign w:val="center"/>
                </w:tcPr>
                <w:p w14:paraId="6A19E2A9">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资源利用上线</w:t>
                  </w:r>
                </w:p>
              </w:tc>
              <w:tc>
                <w:tcPr>
                  <w:tcW w:w="2870" w:type="dxa"/>
                  <w:noWrap w:val="0"/>
                  <w:vAlign w:val="center"/>
                </w:tcPr>
                <w:p w14:paraId="7E527756">
                  <w:pPr>
                    <w:pStyle w:val="68"/>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val="0"/>
                      <w:bCs w:val="0"/>
                      <w:color w:val="auto"/>
                    </w:rPr>
                    <w:t>到2025年，按照国家、省、市有关要求和规划，按时完成全市用水总量、用水效率、限制纳污“三条红线”水资源上限控制指标；按时完成耕地保有量、基本农田保护面积、建设用地总规模等土地资源利用上限控制指标；按时完成单位GDP能耗下降率、能源消费总量等能源控制指标；矿产资源开采与保护达到预期目标；河湖岸线资源管控达到相关要求。</w:t>
                  </w:r>
                </w:p>
              </w:tc>
              <w:tc>
                <w:tcPr>
                  <w:tcW w:w="2426" w:type="dxa"/>
                  <w:noWrap w:val="0"/>
                  <w:vAlign w:val="center"/>
                </w:tcPr>
                <w:p w14:paraId="1B7674CA">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项目用水由自来水管网提供，本项目</w:t>
                  </w:r>
                  <w:r>
                    <w:rPr>
                      <w:rFonts w:hint="eastAsia" w:ascii="Times New Roman" w:hAnsi="Times New Roman" w:eastAsia="宋体" w:cs="Times New Roman"/>
                      <w:b w:val="0"/>
                      <w:bCs w:val="0"/>
                      <w:color w:val="auto"/>
                      <w:lang w:val="en-US" w:eastAsia="zh-CN"/>
                    </w:rPr>
                    <w:t>运营过程中不使用水</w:t>
                  </w:r>
                  <w:r>
                    <w:rPr>
                      <w:rFonts w:hint="default" w:ascii="Times New Roman" w:hAnsi="Times New Roman" w:eastAsia="宋体" w:cs="Times New Roman"/>
                      <w:b w:val="0"/>
                      <w:bCs w:val="0"/>
                      <w:color w:val="auto"/>
                      <w:lang w:val="en-US" w:eastAsia="zh-CN"/>
                    </w:rPr>
                    <w:t>，</w:t>
                  </w:r>
                  <w:r>
                    <w:rPr>
                      <w:rFonts w:hint="eastAsia" w:ascii="Times New Roman" w:hAnsi="Times New Roman" w:eastAsia="宋体" w:cs="Times New Roman"/>
                      <w:b w:val="0"/>
                      <w:bCs w:val="0"/>
                      <w:color w:val="auto"/>
                      <w:lang w:val="en-US" w:eastAsia="zh-CN"/>
                    </w:rPr>
                    <w:t>用水主要是生活用水</w:t>
                  </w:r>
                  <w:r>
                    <w:rPr>
                      <w:rFonts w:hint="default" w:ascii="Times New Roman" w:hAnsi="Times New Roman" w:eastAsia="宋体" w:cs="Times New Roman"/>
                      <w:b w:val="0"/>
                      <w:bCs w:val="0"/>
                      <w:color w:val="auto"/>
                    </w:rPr>
                    <w:t>，</w:t>
                  </w:r>
                  <w:r>
                    <w:rPr>
                      <w:rFonts w:hint="eastAsia" w:ascii="Times New Roman" w:hAnsi="Times New Roman" w:eastAsia="宋体" w:cs="Times New Roman"/>
                      <w:b w:val="0"/>
                      <w:bCs w:val="0"/>
                      <w:color w:val="auto"/>
                      <w:lang w:val="en-US" w:eastAsia="zh-CN"/>
                    </w:rPr>
                    <w:t>生活</w:t>
                  </w:r>
                  <w:r>
                    <w:rPr>
                      <w:rFonts w:hint="default" w:ascii="Times New Roman" w:hAnsi="Times New Roman" w:eastAsia="宋体" w:cs="Times New Roman"/>
                      <w:b w:val="0"/>
                      <w:bCs w:val="0"/>
                      <w:color w:val="auto"/>
                    </w:rPr>
                    <w:t>用水量较小，</w:t>
                  </w:r>
                  <w:r>
                    <w:rPr>
                      <w:rFonts w:hint="default" w:ascii="Times New Roman" w:hAnsi="Times New Roman" w:eastAsia="宋体" w:cs="Times New Roman"/>
                      <w:b w:val="0"/>
                      <w:bCs w:val="0"/>
                      <w:color w:val="auto"/>
                      <w:lang w:val="zh-CN"/>
                    </w:rPr>
                    <w:t>资源消耗量相对区域资源利用总量较少，</w:t>
                  </w:r>
                  <w:r>
                    <w:rPr>
                      <w:rFonts w:hint="default" w:ascii="Times New Roman" w:hAnsi="Times New Roman" w:eastAsia="宋体" w:cs="Times New Roman"/>
                      <w:b w:val="0"/>
                      <w:bCs w:val="0"/>
                      <w:color w:val="auto"/>
                    </w:rPr>
                    <w:t>不会对当地资源利用上线造成较大影响。</w:t>
                  </w:r>
                </w:p>
              </w:tc>
              <w:tc>
                <w:tcPr>
                  <w:tcW w:w="763" w:type="dxa"/>
                  <w:noWrap w:val="0"/>
                  <w:vAlign w:val="center"/>
                </w:tcPr>
                <w:p w14:paraId="4AC42872">
                  <w:pPr>
                    <w:pStyle w:val="68"/>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val="0"/>
                      <w:bCs w:val="0"/>
                      <w:color w:val="auto"/>
                    </w:rPr>
                    <w:t>符合</w:t>
                  </w:r>
                </w:p>
              </w:tc>
            </w:tr>
            <w:tr w14:paraId="6F36D7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restart"/>
                  <w:noWrap w:val="0"/>
                  <w:vAlign w:val="center"/>
                </w:tcPr>
                <w:p w14:paraId="399671E6">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rPr>
                    <w:t>昆明市</w:t>
                  </w:r>
                  <w:r>
                    <w:rPr>
                      <w:rFonts w:hint="eastAsia" w:ascii="Times New Roman" w:hAnsi="Times New Roman" w:cs="Times New Roman"/>
                      <w:b w:val="0"/>
                      <w:bCs w:val="0"/>
                      <w:color w:val="auto"/>
                      <w:sz w:val="21"/>
                      <w:szCs w:val="21"/>
                      <w:lang w:val="en-US" w:eastAsia="zh-CN"/>
                    </w:rPr>
                    <w:t>总体管控要求</w:t>
                  </w:r>
                </w:p>
              </w:tc>
              <w:tc>
                <w:tcPr>
                  <w:tcW w:w="2870" w:type="dxa"/>
                  <w:noWrap w:val="0"/>
                  <w:vAlign w:val="center"/>
                </w:tcPr>
                <w:p w14:paraId="5497EB06">
                  <w:pPr>
                    <w:pStyle w:val="9"/>
                    <w:keepNext w:val="0"/>
                    <w:keepLines w:val="0"/>
                    <w:pageBreakBefore w:val="0"/>
                    <w:widowControl w:val="0"/>
                    <w:kinsoku/>
                    <w:wordWrap w:val="0"/>
                    <w:overflowPunct/>
                    <w:topLinePunct w:val="0"/>
                    <w:autoSpaceDE/>
                    <w:autoSpaceDN/>
                    <w:bidi w:val="0"/>
                    <w:adjustRightInd/>
                    <w:snapToGri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（一）空间布局约束</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1.根据《昆明市国土空间总体规划（2021—2035年）》进行空间管控。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2.牛栏江流域内，严格按照《云南省牛栏江保护条例》相关要求对水环境进行分区管控。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3.滇池流域内，严格按照《云南省滇池湖滨生态红线及湖泊生态黄线“两线”划定方案》相关要求进行分区管控。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4.阳宗海流域内，严格按照《云南省阳宗海湖滨生态红线及湖泊生态黄线“两线”划定方案》相关要求进行分区管控。</w:t>
                  </w:r>
                </w:p>
              </w:tc>
              <w:tc>
                <w:tcPr>
                  <w:tcW w:w="2426" w:type="dxa"/>
                  <w:noWrap w:val="0"/>
                  <w:vAlign w:val="center"/>
                </w:tcPr>
                <w:p w14:paraId="06FFE7A2">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rPr>
                    <w:t>本项目位于寻甸县临仁德街道，根据根据202</w:t>
                  </w:r>
                  <w:r>
                    <w:rPr>
                      <w:rFonts w:hint="default" w:ascii="Times New Roman" w:hAnsi="Times New Roman" w:eastAsia="宋体" w:cs="Times New Roman"/>
                      <w:b w:val="0"/>
                      <w:bCs w:val="0"/>
                      <w:color w:val="auto"/>
                      <w:sz w:val="21"/>
                      <w:szCs w:val="21"/>
                      <w:highlight w:val="none"/>
                      <w:lang w:val="en-US" w:eastAsia="zh-CN"/>
                    </w:rPr>
                    <w:t>6</w:t>
                  </w:r>
                  <w:r>
                    <w:rPr>
                      <w:rFonts w:hint="default" w:ascii="Times New Roman" w:hAnsi="Times New Roman" w:eastAsia="宋体" w:cs="Times New Roman"/>
                      <w:b w:val="0"/>
                      <w:bCs w:val="0"/>
                      <w:color w:val="auto"/>
                      <w:sz w:val="21"/>
                      <w:szCs w:val="21"/>
                      <w:highlight w:val="none"/>
                    </w:rPr>
                    <w:t>年</w:t>
                  </w:r>
                  <w:r>
                    <w:rPr>
                      <w:rFonts w:hint="default"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rPr>
                    <w:t>月</w:t>
                  </w:r>
                  <w:r>
                    <w:rPr>
                      <w:rFonts w:hint="default" w:ascii="Times New Roman" w:hAnsi="Times New Roman" w:eastAsia="宋体" w:cs="Times New Roman"/>
                      <w:b w:val="0"/>
                      <w:bCs w:val="0"/>
                      <w:color w:val="auto"/>
                      <w:sz w:val="21"/>
                      <w:szCs w:val="21"/>
                      <w:highlight w:val="none"/>
                      <w:lang w:val="en-US" w:eastAsia="zh-CN"/>
                    </w:rPr>
                    <w:t>23</w:t>
                  </w:r>
                  <w:r>
                    <w:rPr>
                      <w:rFonts w:hint="default" w:ascii="Times New Roman" w:hAnsi="Times New Roman" w:eastAsia="宋体" w:cs="Times New Roman"/>
                      <w:b w:val="0"/>
                      <w:bCs w:val="0"/>
                      <w:color w:val="auto"/>
                      <w:sz w:val="21"/>
                      <w:szCs w:val="21"/>
                      <w:highlight w:val="none"/>
                    </w:rPr>
                    <w:t>日《寻甸回族彝族自治县</w:t>
                  </w:r>
                  <w:r>
                    <w:rPr>
                      <w:rFonts w:hint="default" w:ascii="Times New Roman" w:hAnsi="Times New Roman" w:eastAsia="宋体" w:cs="Times New Roman"/>
                      <w:b w:val="0"/>
                      <w:bCs w:val="0"/>
                      <w:color w:val="auto"/>
                      <w:sz w:val="21"/>
                      <w:szCs w:val="21"/>
                      <w:highlight w:val="none"/>
                      <w:lang w:val="en-US" w:eastAsia="zh-CN"/>
                    </w:rPr>
                    <w:t>自然资源局关于昆明优竹商贸有限公司烟花爆竹储存仓库改扩建项目是否涉及永久基本农田的说明》（附件16）及《关于昆明优竹商贸有限公司烟花爆竹储存仓库改扩建项目用地范围是否涉及生态保护红线及城镇开发边界的情况说明</w:t>
                  </w:r>
                  <w:r>
                    <w:rPr>
                      <w:rFonts w:hint="default" w:ascii="Times New Roman" w:hAnsi="Times New Roman" w:eastAsia="宋体" w:cs="Times New Roman"/>
                      <w:b w:val="0"/>
                      <w:bCs w:val="0"/>
                      <w:color w:val="auto"/>
                      <w:sz w:val="21"/>
                      <w:szCs w:val="21"/>
                      <w:highlight w:val="none"/>
                    </w:rPr>
                    <w:t>》（附件</w:t>
                  </w:r>
                  <w:r>
                    <w:rPr>
                      <w:rFonts w:hint="default" w:ascii="Times New Roman" w:hAnsi="Times New Roman" w:eastAsia="宋体" w:cs="Times New Roman"/>
                      <w:b w:val="0"/>
                      <w:bCs w:val="0"/>
                      <w:color w:val="auto"/>
                      <w:sz w:val="21"/>
                      <w:szCs w:val="21"/>
                      <w:highlight w:val="none"/>
                      <w:lang w:val="en-US" w:eastAsia="zh-CN"/>
                    </w:rPr>
                    <w:t>16</w:t>
                  </w:r>
                  <w:r>
                    <w:rPr>
                      <w:rFonts w:hint="default" w:ascii="Times New Roman" w:hAnsi="Times New Roman" w:eastAsia="宋体" w:cs="Times New Roman"/>
                      <w:b w:val="0"/>
                      <w:bCs w:val="0"/>
                      <w:color w:val="auto"/>
                      <w:sz w:val="21"/>
                      <w:szCs w:val="21"/>
                      <w:highlight w:val="none"/>
                    </w:rPr>
                    <w:t>），项目不占用规划永久基本农田及寻甸县生态红线，</w:t>
                  </w:r>
                  <w:r>
                    <w:rPr>
                      <w:rFonts w:hint="default" w:ascii="Times New Roman" w:hAnsi="Times New Roman" w:eastAsia="宋体" w:cs="Times New Roman"/>
                      <w:b w:val="0"/>
                      <w:bCs w:val="0"/>
                      <w:color w:val="auto"/>
                      <w:sz w:val="21"/>
                      <w:szCs w:val="21"/>
                      <w:highlight w:val="none"/>
                      <w:lang w:val="en-US" w:eastAsia="zh-CN"/>
                    </w:rPr>
                    <w:t>不在城镇开发边界内</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符合寻甸县土地利用总体规划。</w:t>
                  </w:r>
                </w:p>
                <w:p w14:paraId="3F3DF308">
                  <w:pPr>
                    <w:keepNext w:val="0"/>
                    <w:keepLines w:val="0"/>
                    <w:pageBreakBefore w:val="0"/>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项目位于云南省昆明市寻甸县</w:t>
                  </w:r>
                  <w:r>
                    <w:rPr>
                      <w:rFonts w:hint="default" w:ascii="Times New Roman" w:hAnsi="Times New Roman" w:eastAsia="宋体" w:cs="Times New Roman"/>
                      <w:b w:val="0"/>
                      <w:bCs w:val="0"/>
                      <w:color w:val="auto"/>
                      <w:sz w:val="21"/>
                      <w:szCs w:val="21"/>
                      <w:highlight w:val="none"/>
                      <w:lang w:val="zh-CN"/>
                    </w:rPr>
                    <w:t>仁德</w:t>
                  </w:r>
                  <w:r>
                    <w:rPr>
                      <w:rFonts w:hint="default" w:ascii="Times New Roman" w:hAnsi="Times New Roman" w:eastAsia="宋体" w:cs="Times New Roman"/>
                      <w:b w:val="0"/>
                      <w:bCs w:val="0"/>
                      <w:color w:val="auto"/>
                      <w:sz w:val="21"/>
                      <w:szCs w:val="21"/>
                      <w:highlight w:val="none"/>
                    </w:rPr>
                    <w:t>街道北观社区打鹰坡，根据牛栏江水系功能规划图（附图4），项目区属于水源涵养区，项目在不涉及烟花爆竹的工艺生产，只进行烟花爆竹的存储，项目建设符合《牛栏江流域（云南部分）水环境保护规划（2009~2030）》的相关要求</w:t>
                  </w:r>
                  <w:r>
                    <w:rPr>
                      <w:rFonts w:hint="default" w:ascii="Times New Roman" w:hAnsi="Times New Roman" w:eastAsia="宋体" w:cs="Times New Roman"/>
                      <w:b w:val="0"/>
                      <w:bCs w:val="0"/>
                      <w:color w:val="auto"/>
                      <w:sz w:val="21"/>
                      <w:szCs w:val="21"/>
                      <w:highlight w:val="none"/>
                      <w:lang w:eastAsia="zh-CN"/>
                    </w:rPr>
                    <w:t>。</w:t>
                  </w:r>
                </w:p>
                <w:p w14:paraId="59332A4A">
                  <w:pPr>
                    <w:keepNext w:val="0"/>
                    <w:keepLines w:val="0"/>
                    <w:pageBreakBefore w:val="0"/>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3、项目不在</w:t>
                  </w:r>
                  <w:r>
                    <w:rPr>
                      <w:rFonts w:hint="default" w:ascii="Times New Roman" w:hAnsi="Times New Roman" w:eastAsia="宋体" w:cs="Times New Roman"/>
                      <w:b w:val="0"/>
                      <w:bCs w:val="0"/>
                      <w:color w:val="auto"/>
                      <w:sz w:val="21"/>
                      <w:szCs w:val="21"/>
                    </w:rPr>
                    <w:t>滇池流域内</w:t>
                  </w:r>
                  <w:r>
                    <w:rPr>
                      <w:rFonts w:hint="default" w:ascii="Times New Roman" w:hAnsi="Times New Roman" w:eastAsia="宋体" w:cs="Times New Roman"/>
                      <w:b w:val="0"/>
                      <w:bCs w:val="0"/>
                      <w:color w:val="auto"/>
                      <w:sz w:val="21"/>
                      <w:szCs w:val="21"/>
                      <w:lang w:eastAsia="zh-CN"/>
                    </w:rPr>
                    <w:t>。</w:t>
                  </w:r>
                </w:p>
                <w:p w14:paraId="2488571C">
                  <w:pPr>
                    <w:pStyle w:val="3"/>
                    <w:keepNext w:val="0"/>
                    <w:keepLines w:val="0"/>
                    <w:pageBreakBefore w:val="0"/>
                    <w:kinsoku/>
                    <w:overflowPunct/>
                    <w:topLinePunct w:val="0"/>
                    <w:autoSpaceDE/>
                    <w:autoSpaceDN/>
                    <w:bidi w:val="0"/>
                    <w:adjustRightInd/>
                    <w:spacing w:after="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4、项目不在</w:t>
                  </w:r>
                  <w:r>
                    <w:rPr>
                      <w:rFonts w:hint="default" w:ascii="Times New Roman" w:hAnsi="Times New Roman" w:eastAsia="宋体" w:cs="Times New Roman"/>
                      <w:b w:val="0"/>
                      <w:bCs w:val="0"/>
                      <w:color w:val="auto"/>
                      <w:sz w:val="21"/>
                      <w:szCs w:val="21"/>
                    </w:rPr>
                    <w:t>阳宗海流域内</w:t>
                  </w:r>
                  <w:r>
                    <w:rPr>
                      <w:rFonts w:hint="default" w:ascii="Times New Roman" w:hAnsi="Times New Roman" w:eastAsia="宋体" w:cs="Times New Roman"/>
                      <w:b w:val="0"/>
                      <w:bCs w:val="0"/>
                      <w:color w:val="auto"/>
                      <w:sz w:val="21"/>
                      <w:szCs w:val="21"/>
                      <w:lang w:eastAsia="zh-CN"/>
                    </w:rPr>
                    <w:t>。</w:t>
                  </w:r>
                </w:p>
              </w:tc>
              <w:tc>
                <w:tcPr>
                  <w:tcW w:w="763" w:type="dxa"/>
                  <w:noWrap w:val="0"/>
                  <w:vAlign w:val="center"/>
                </w:tcPr>
                <w:p w14:paraId="3997F3F4">
                  <w:pPr>
                    <w:keepNext w:val="0"/>
                    <w:keepLines w:val="0"/>
                    <w:pageBreakBefore w:val="0"/>
                    <w:kinsoku/>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613DA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1B1BE093">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noWrap w:val="0"/>
                  <w:vAlign w:val="center"/>
                </w:tcPr>
                <w:p w14:paraId="2ACD8AA0">
                  <w:pPr>
                    <w:pStyle w:val="9"/>
                    <w:keepNext w:val="0"/>
                    <w:keepLines w:val="0"/>
                    <w:pageBreakBefore w:val="0"/>
                    <w:widowControl w:val="0"/>
                    <w:kinsoku/>
                    <w:wordWrap w:val="0"/>
                    <w:overflowPunct/>
                    <w:topLinePunct w:val="0"/>
                    <w:autoSpaceDE/>
                    <w:autoSpaceDN/>
                    <w:bidi w:val="0"/>
                    <w:adjustRightInd/>
                    <w:snapToGri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（二）污染物排放管控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到2025年，昆明市地表水国、省控断面达到或好于III类水体比例应达到81.5%；滇池草海水质稳定达到IV类、外海水质达到IV类（COD≤40mg/L），阳宗海水质稳定达到Ⅲ类水标准，县级及以上集中式饮用水水源地水质达标率100%。化学需氧量重点工程减排量10243t，氨氮重点工程减排量1009t。</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2.到2025年，昆明市环境空气质量优良天数比例应达到99.1%，城市细颗粒物（PM2.5）平均浓度应达到24μg/m</w:t>
                  </w:r>
                  <w:r>
                    <w:rPr>
                      <w:rFonts w:hint="default" w:ascii="Times New Roman" w:hAnsi="Times New Roman" w:eastAsia="宋体" w:cs="Times New Roman"/>
                      <w:b w:val="0"/>
                      <w:bCs w:val="0"/>
                      <w:color w:val="auto"/>
                      <w:sz w:val="21"/>
                      <w:szCs w:val="21"/>
                      <w:vertAlign w:val="superscript"/>
                    </w:rPr>
                    <w:t>3</w:t>
                  </w:r>
                  <w:r>
                    <w:rPr>
                      <w:rFonts w:hint="default" w:ascii="Times New Roman" w:hAnsi="Times New Roman" w:eastAsia="宋体" w:cs="Times New Roman"/>
                      <w:b w:val="0"/>
                      <w:bCs w:val="0"/>
                      <w:color w:val="auto"/>
                      <w:sz w:val="21"/>
                      <w:szCs w:val="21"/>
                    </w:rPr>
                    <w:t>；氮氧化物重点工程减排量2237t，挥发性有机物重点工程减排量1684t。</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3.2025年底前，全面完成钢铁企业超低排放改造。持续开展燃煤锅炉整治，推进每小时65蒸吨以上的燃煤锅炉超低排放改造。燃气锅炉推行低氮燃烧，氮氧化物排放浓度不高于50毫克/立方米。重点涉气排放企业逐步取消烟气旁路，因安全生产无法取消的，安装在线监管系统。</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4.建立完善源头、过程和末端的VOCs全过程控制体系，实施VOCs排放总量控制。</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5.推进农业废弃物综合利用，2025年底前综合利用率达90%以上。</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6.滇池流域：2025年底前，完成流域内城镇雨污分流改造，城镇污水收集率达95％以上，农村生活污水收集处理率达75％以上，畜禽粪污综合利用率达90％以上，城市生活垃圾处理率达97％以上，实现农村生活垃圾分类投放、统一运输、集中处理。</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7.阳宗海流域：推进农业废弃物综合利用，2025年底前农作物综合利用率达90%以上，畜禽粪污综合利用率达96%以上，农膜回收利用率达85%以上。2025年底前，完成流域内城镇雨污分流改造，城镇污水收集率达95%以上，农村生活污水收集处理率达75%以上，畜禽粪污综合利用率达90%以上，城镇生活垃圾处理率达97%以上，实现农村生活垃圾分类投放、统一运输、集中处理。</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8.督促指导磷石膏产生企业配套建设（或委托建设）相应能力的磷石膏无害化处理设施，采用水洗、焙烧、浮选、中和等技术对磷石膏进行无害化处理，确保在2025年新产生磷石膏实现100%无害化处理，从根本上降低磷石膏污染隐患。无害化处理后暂时不能利用的磷石膏，应当按生态环境、应急管理要求依法依规安全环保分类存放。</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9.推动昆明市磷石膏综合利用率2023年达到52%，2024年达到64%，2025年确保达到73%，力争达到75%；到2025年底，中心城区污泥无害化处置率达到95%以上，县城污泥无害化处置率达到90%以上。</w:t>
                  </w:r>
                </w:p>
              </w:tc>
              <w:tc>
                <w:tcPr>
                  <w:tcW w:w="2426" w:type="dxa"/>
                  <w:noWrap w:val="0"/>
                  <w:vAlign w:val="center"/>
                </w:tcPr>
                <w:p w14:paraId="31D35B54">
                  <w:pPr>
                    <w:keepNext w:val="0"/>
                    <w:keepLines w:val="0"/>
                    <w:pageBreakBefore w:val="0"/>
                    <w:kinsoku/>
                    <w:overflowPunct/>
                    <w:topLinePunct w:val="0"/>
                    <w:autoSpaceDE/>
                    <w:autoSpaceDN/>
                    <w:bidi w:val="0"/>
                    <w:adjustRightInd/>
                    <w:spacing w:line="240" w:lineRule="auto"/>
                    <w:ind w:right="0" w:firstLine="0" w:firstLineChars="0"/>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lang w:val="en-US" w:eastAsia="zh-CN"/>
                    </w:rPr>
                    <w:t>1、项目位于</w:t>
                  </w:r>
                  <w:r>
                    <w:rPr>
                      <w:rFonts w:hint="default" w:ascii="Times New Roman" w:hAnsi="Times New Roman" w:eastAsia="宋体" w:cs="Times New Roman"/>
                      <w:b w:val="0"/>
                      <w:bCs w:val="0"/>
                      <w:color w:val="auto"/>
                      <w:sz w:val="21"/>
                      <w:szCs w:val="21"/>
                      <w:highlight w:val="none"/>
                    </w:rPr>
                    <w:t>寻甸县临仁德街道，项目区最近的地表水体为项目区</w:t>
                  </w:r>
                  <w:r>
                    <w:rPr>
                      <w:rFonts w:hint="default" w:ascii="Times New Roman" w:hAnsi="Times New Roman" w:eastAsia="宋体" w:cs="Times New Roman"/>
                      <w:b w:val="0"/>
                      <w:bCs w:val="0"/>
                      <w:color w:val="auto"/>
                      <w:sz w:val="21"/>
                      <w:szCs w:val="21"/>
                      <w:highlight w:val="none"/>
                      <w:lang w:val="en-US" w:eastAsia="zh-CN"/>
                    </w:rPr>
                    <w:t>东</w:t>
                  </w:r>
                  <w:r>
                    <w:rPr>
                      <w:rFonts w:hint="default" w:ascii="Times New Roman" w:hAnsi="Times New Roman" w:eastAsia="宋体" w:cs="Times New Roman"/>
                      <w:b w:val="0"/>
                      <w:bCs w:val="0"/>
                      <w:color w:val="auto"/>
                      <w:sz w:val="21"/>
                      <w:szCs w:val="21"/>
                      <w:highlight w:val="none"/>
                    </w:rPr>
                    <w:t>侧约</w:t>
                  </w:r>
                  <w:r>
                    <w:rPr>
                      <w:rFonts w:hint="default" w:ascii="Times New Roman" w:hAnsi="Times New Roman" w:eastAsia="宋体" w:cs="Times New Roman"/>
                      <w:b w:val="0"/>
                      <w:bCs w:val="0"/>
                      <w:color w:val="auto"/>
                      <w:sz w:val="21"/>
                      <w:szCs w:val="21"/>
                      <w:highlight w:val="none"/>
                      <w:lang w:val="en-US" w:eastAsia="zh-CN"/>
                    </w:rPr>
                    <w:t>230</w:t>
                  </w:r>
                  <w:r>
                    <w:rPr>
                      <w:rFonts w:hint="default" w:ascii="Times New Roman" w:hAnsi="Times New Roman" w:eastAsia="宋体" w:cs="Times New Roman"/>
                      <w:b w:val="0"/>
                      <w:bCs w:val="0"/>
                      <w:color w:val="auto"/>
                      <w:sz w:val="21"/>
                      <w:szCs w:val="21"/>
                      <w:highlight w:val="none"/>
                    </w:rPr>
                    <w:t>m处的兔耳河，兔耳河汇入前进河，前进河从三月三水库流入牛栏江，属于长江流域</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根据寻甸县人民政府发布的《</w:t>
                  </w:r>
                  <w:r>
                    <w:rPr>
                      <w:rFonts w:hint="default" w:ascii="Times New Roman" w:hAnsi="Times New Roman" w:eastAsia="宋体" w:cs="Times New Roman"/>
                      <w:b w:val="0"/>
                      <w:bCs w:val="0"/>
                      <w:color w:val="auto"/>
                      <w:sz w:val="21"/>
                      <w:szCs w:val="21"/>
                      <w:highlight w:val="none"/>
                      <w:lang w:val="en-US" w:eastAsia="zh-CN"/>
                    </w:rPr>
                    <w:t>寻甸县人民政府网站发布的“</w:t>
                  </w:r>
                  <w:r>
                    <w:rPr>
                      <w:rFonts w:hint="default" w:ascii="Times New Roman" w:hAnsi="Times New Roman" w:eastAsia="宋体" w:cs="Times New Roman"/>
                      <w:b w:val="0"/>
                      <w:bCs w:val="0"/>
                      <w:color w:val="auto"/>
                      <w:sz w:val="21"/>
                      <w:szCs w:val="21"/>
                      <w:highlight w:val="none"/>
                    </w:rPr>
                    <w:t>20</w:t>
                  </w:r>
                  <w:r>
                    <w:rPr>
                      <w:rFonts w:hint="default" w:ascii="Times New Roman" w:hAnsi="Times New Roman" w:eastAsia="宋体" w:cs="Times New Roman"/>
                      <w:b w:val="0"/>
                      <w:bCs w:val="0"/>
                      <w:color w:val="auto"/>
                      <w:sz w:val="21"/>
                      <w:szCs w:val="21"/>
                      <w:highlight w:val="none"/>
                      <w:lang w:val="en-US" w:eastAsia="zh-CN"/>
                    </w:rPr>
                    <w:t>26</w:t>
                  </w:r>
                  <w:r>
                    <w:rPr>
                      <w:rFonts w:hint="default" w:ascii="Times New Roman" w:hAnsi="Times New Roman" w:eastAsia="宋体" w:cs="Times New Roman"/>
                      <w:b w:val="0"/>
                      <w:bCs w:val="0"/>
                      <w:color w:val="auto"/>
                      <w:sz w:val="21"/>
                      <w:szCs w:val="21"/>
                      <w:highlight w:val="none"/>
                    </w:rPr>
                    <w:t>年</w:t>
                  </w:r>
                  <w:r>
                    <w:rPr>
                      <w:rFonts w:hint="default" w:ascii="Times New Roman" w:hAnsi="Times New Roman" w:eastAsia="宋体" w:cs="Times New Roman"/>
                      <w:b w:val="0"/>
                      <w:bCs w:val="0"/>
                      <w:color w:val="auto"/>
                      <w:sz w:val="21"/>
                      <w:szCs w:val="21"/>
                      <w:highlight w:val="none"/>
                      <w:lang w:val="en-US" w:eastAsia="zh-CN"/>
                    </w:rPr>
                    <w:t>1季度环境质量公报”</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前进河</w:t>
                  </w:r>
                  <w:r>
                    <w:rPr>
                      <w:rFonts w:hint="default" w:ascii="Times New Roman" w:hAnsi="Times New Roman" w:eastAsia="宋体" w:cs="Times New Roman"/>
                      <w:b w:val="0"/>
                      <w:bCs w:val="0"/>
                      <w:color w:val="auto"/>
                      <w:sz w:val="21"/>
                      <w:szCs w:val="21"/>
                      <w:highlight w:val="none"/>
                    </w:rPr>
                    <w:t>哦嘎电站断面水质达到《地表水环境质量标准》（GB3838-2002）Ⅲ类水质量标准，水质类别为Ⅱ类水，与2025年同期相比有所好转。</w:t>
                  </w:r>
                  <w:r>
                    <w:rPr>
                      <w:rFonts w:hint="default" w:ascii="Times New Roman" w:hAnsi="Times New Roman" w:eastAsia="宋体" w:cs="Times New Roman"/>
                      <w:b w:val="0"/>
                      <w:bCs w:val="0"/>
                      <w:color w:val="auto"/>
                      <w:sz w:val="21"/>
                      <w:szCs w:val="21"/>
                      <w:highlight w:val="none"/>
                      <w:lang w:val="en-US" w:eastAsia="zh-CN"/>
                    </w:rPr>
                    <w:t>项目</w:t>
                  </w:r>
                  <w:r>
                    <w:rPr>
                      <w:rFonts w:hint="default" w:ascii="Times New Roman" w:hAnsi="Times New Roman" w:eastAsia="宋体" w:cs="Times New Roman"/>
                      <w:b w:val="0"/>
                      <w:bCs w:val="0"/>
                      <w:color w:val="auto"/>
                      <w:sz w:val="21"/>
                      <w:szCs w:val="21"/>
                      <w:highlight w:val="none"/>
                    </w:rPr>
                    <w:t>运营期产生的废水主要是员工生活污水</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员工生活污水排入化粪池后，委托寻甸县环卫部门</w:t>
                  </w:r>
                  <w:r>
                    <w:rPr>
                      <w:rFonts w:hint="default" w:ascii="Times New Roman" w:hAnsi="Times New Roman" w:eastAsia="宋体" w:cs="Times New Roman"/>
                      <w:b w:val="0"/>
                      <w:bCs w:val="0"/>
                      <w:color w:val="auto"/>
                      <w:sz w:val="21"/>
                      <w:szCs w:val="21"/>
                      <w:highlight w:val="none"/>
                      <w:lang w:val="en-US" w:eastAsia="zh-CN"/>
                    </w:rPr>
                    <w:t>15天</w:t>
                  </w:r>
                  <w:r>
                    <w:rPr>
                      <w:rFonts w:hint="default" w:ascii="Times New Roman" w:hAnsi="Times New Roman" w:eastAsia="宋体" w:cs="Times New Roman"/>
                      <w:b w:val="0"/>
                      <w:bCs w:val="0"/>
                      <w:color w:val="auto"/>
                      <w:sz w:val="21"/>
                      <w:szCs w:val="21"/>
                      <w:highlight w:val="none"/>
                    </w:rPr>
                    <w:t>抽运一次，运输到寻甸县污水处理厂处理，不外排</w:t>
                  </w:r>
                  <w:r>
                    <w:rPr>
                      <w:rFonts w:hint="default" w:ascii="Times New Roman" w:hAnsi="Times New Roman" w:eastAsia="宋体" w:cs="Times New Roman"/>
                      <w:b w:val="0"/>
                      <w:bCs w:val="0"/>
                      <w:color w:val="auto"/>
                      <w:sz w:val="21"/>
                      <w:szCs w:val="21"/>
                      <w:highlight w:val="none"/>
                      <w:lang w:eastAsia="zh-CN"/>
                    </w:rPr>
                    <w:t>。</w:t>
                  </w:r>
                </w:p>
                <w:p w14:paraId="7ABD0D91">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项目烟花爆竹以最终包装完成的成品入库，不涉及生产过程，运营期的废气主要是在运输车辆运行过程中产生的尾气及道路扬尘</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产生量较小。</w:t>
                  </w:r>
                </w:p>
                <w:p w14:paraId="38A08C50">
                  <w:pPr>
                    <w:pStyle w:val="29"/>
                    <w:keepNext w:val="0"/>
                    <w:keepLines w:val="0"/>
                    <w:pageBreakBefore w:val="0"/>
                    <w:widowControl/>
                    <w:kinsoku/>
                    <w:wordWrap w:val="0"/>
                    <w:overflowPunct/>
                    <w:topLinePunct w:val="0"/>
                    <w:autoSpaceDE/>
                    <w:autoSpaceDN/>
                    <w:bidi w:val="0"/>
                    <w:adjustRightInd/>
                    <w:snapToGrid/>
                    <w:spacing w:before="0" w:after="0" w:line="240" w:lineRule="auto"/>
                    <w:ind w:left="0" w:right="0" w:firstLine="0" w:firstLineChars="0"/>
                    <w:jc w:val="left"/>
                    <w:textAlignment w:val="auto"/>
                    <w:rPr>
                      <w:rFonts w:hint="default" w:ascii="Times New Roman" w:hAnsi="Times New Roman" w:eastAsia="宋体" w:cs="Times New Roman"/>
                      <w:b w:val="0"/>
                      <w:bCs w:val="0"/>
                      <w:i w:val="0"/>
                      <w:iCs/>
                      <w:color w:val="auto"/>
                      <w:sz w:val="21"/>
                      <w:szCs w:val="21"/>
                      <w:highlight w:val="none"/>
                      <w:lang w:val="en-US" w:eastAsia="zh-CN"/>
                    </w:rPr>
                  </w:pPr>
                  <w:r>
                    <w:rPr>
                      <w:rFonts w:hint="default" w:ascii="Times New Roman" w:hAnsi="Times New Roman" w:eastAsia="宋体" w:cs="Times New Roman"/>
                      <w:b w:val="0"/>
                      <w:bCs w:val="0"/>
                      <w:i w:val="0"/>
                      <w:iCs/>
                      <w:color w:val="auto"/>
                      <w:sz w:val="21"/>
                      <w:szCs w:val="21"/>
                      <w:highlight w:val="none"/>
                      <w:lang w:val="en-US" w:eastAsia="zh-CN"/>
                    </w:rPr>
                    <w:t>3、项目不属于钢铁企业，不涉及燃煤锅炉、燃气锅炉等。</w:t>
                  </w:r>
                </w:p>
                <w:p w14:paraId="45F9640E">
                  <w:pPr>
                    <w:keepNext w:val="0"/>
                    <w:keepLines w:val="0"/>
                    <w:pageBreakBefore w:val="0"/>
                    <w:kinsoku/>
                    <w:overflowPunct/>
                    <w:topLinePunct w:val="0"/>
                    <w:autoSpaceDE/>
                    <w:autoSpaceDN/>
                    <w:bidi w:val="0"/>
                    <w:adjustRightInd/>
                    <w:spacing w:line="240" w:lineRule="auto"/>
                    <w:ind w:left="0"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i w:val="0"/>
                      <w:iCs/>
                      <w:color w:val="auto"/>
                      <w:sz w:val="21"/>
                      <w:szCs w:val="21"/>
                      <w:highlight w:val="none"/>
                      <w:lang w:val="en-US" w:eastAsia="zh-CN"/>
                    </w:rPr>
                    <w:t>4、项目不涉及</w:t>
                  </w:r>
                  <w:r>
                    <w:rPr>
                      <w:rFonts w:hint="default" w:ascii="Times New Roman" w:hAnsi="Times New Roman" w:eastAsia="宋体" w:cs="Times New Roman"/>
                      <w:b w:val="0"/>
                      <w:bCs w:val="0"/>
                      <w:color w:val="auto"/>
                      <w:sz w:val="21"/>
                      <w:szCs w:val="21"/>
                    </w:rPr>
                    <w:t>VOCs</w:t>
                  </w:r>
                  <w:r>
                    <w:rPr>
                      <w:rFonts w:hint="default" w:ascii="Times New Roman" w:hAnsi="Times New Roman" w:eastAsia="宋体" w:cs="Times New Roman"/>
                      <w:b w:val="0"/>
                      <w:bCs w:val="0"/>
                      <w:color w:val="auto"/>
                      <w:sz w:val="21"/>
                      <w:szCs w:val="21"/>
                      <w:lang w:val="en-US" w:eastAsia="zh-CN"/>
                    </w:rPr>
                    <w:t>产生及排放。</w:t>
                  </w:r>
                </w:p>
                <w:p w14:paraId="6B31531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w:t>
                  </w:r>
                  <w:r>
                    <w:rPr>
                      <w:rFonts w:hint="default" w:ascii="Times New Roman" w:hAnsi="Times New Roman" w:eastAsia="宋体" w:cs="Times New Roman"/>
                      <w:b w:val="0"/>
                      <w:bCs w:val="0"/>
                      <w:color w:val="auto"/>
                      <w:sz w:val="21"/>
                      <w:szCs w:val="21"/>
                    </w:rPr>
                    <w:t>项目员工</w:t>
                  </w:r>
                  <w:r>
                    <w:rPr>
                      <w:rFonts w:hint="default" w:ascii="Times New Roman" w:hAnsi="Times New Roman" w:eastAsia="宋体" w:cs="Times New Roman"/>
                      <w:b w:val="0"/>
                      <w:bCs w:val="0"/>
                      <w:color w:val="auto"/>
                      <w:sz w:val="21"/>
                      <w:szCs w:val="21"/>
                      <w:lang w:val="en-US" w:eastAsia="zh-CN"/>
                    </w:rPr>
                    <w:t>及展厅参观人员</w:t>
                  </w:r>
                  <w:r>
                    <w:rPr>
                      <w:rFonts w:hint="default" w:ascii="Times New Roman" w:hAnsi="Times New Roman" w:eastAsia="宋体" w:cs="Times New Roman"/>
                      <w:b w:val="0"/>
                      <w:bCs w:val="0"/>
                      <w:color w:val="auto"/>
                      <w:sz w:val="21"/>
                      <w:szCs w:val="21"/>
                    </w:rPr>
                    <w:t>生活垃圾通过库区内设置的垃圾箱收集后定期运至寻甸县垃圾转载点处置。过期或残损的烟花爆竹收集暂存于危废暂存间后交由公安部门组织统一销毁、处置。</w:t>
                  </w:r>
                  <w:r>
                    <w:rPr>
                      <w:rFonts w:hint="default" w:ascii="Times New Roman" w:hAnsi="Times New Roman" w:eastAsia="宋体" w:cs="Times New Roman"/>
                      <w:b w:val="0"/>
                      <w:bCs w:val="0"/>
                      <w:color w:val="auto"/>
                      <w:sz w:val="21"/>
                      <w:szCs w:val="21"/>
                      <w:lang w:val="en-US" w:eastAsia="zh-CN"/>
                    </w:rPr>
                    <w:t>固废处理率100%。</w:t>
                  </w:r>
                </w:p>
                <w:p w14:paraId="4E74199F">
                  <w:pPr>
                    <w:pStyle w:val="3"/>
                    <w:keepNext w:val="0"/>
                    <w:keepLines w:val="0"/>
                    <w:pageBreakBefore w:val="0"/>
                    <w:kinsoku/>
                    <w:overflowPunct/>
                    <w:topLinePunct w:val="0"/>
                    <w:autoSpaceDE/>
                    <w:autoSpaceDN/>
                    <w:bidi w:val="0"/>
                    <w:adjustRightInd/>
                    <w:spacing w:after="0" w:line="240" w:lineRule="auto"/>
                    <w:ind w:left="0"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6、项目不属于滇池流域。</w:t>
                  </w:r>
                </w:p>
                <w:p w14:paraId="7F21179B">
                  <w:pPr>
                    <w:pStyle w:val="29"/>
                    <w:keepNext w:val="0"/>
                    <w:keepLines w:val="0"/>
                    <w:pageBreakBefore w:val="0"/>
                    <w:widowControl/>
                    <w:kinsoku/>
                    <w:wordWrap w:val="0"/>
                    <w:overflowPunct/>
                    <w:topLinePunct w:val="0"/>
                    <w:autoSpaceDE/>
                    <w:autoSpaceDN/>
                    <w:bidi w:val="0"/>
                    <w:adjustRightInd/>
                    <w:snapToGrid/>
                    <w:spacing w:before="0" w:after="0" w:line="240" w:lineRule="auto"/>
                    <w:ind w:left="0" w:right="0" w:firstLine="0" w:firstLineChars="0"/>
                    <w:jc w:val="left"/>
                    <w:textAlignment w:val="auto"/>
                    <w:rPr>
                      <w:rFonts w:hint="default" w:ascii="Times New Roman" w:hAnsi="Times New Roman" w:eastAsia="宋体" w:cs="Times New Roman"/>
                      <w:b w:val="0"/>
                      <w:bCs w:val="0"/>
                      <w:i w:val="0"/>
                      <w:iCs/>
                      <w:color w:val="auto"/>
                      <w:sz w:val="21"/>
                      <w:szCs w:val="21"/>
                      <w:lang w:eastAsia="zh-CN"/>
                    </w:rPr>
                  </w:pPr>
                  <w:r>
                    <w:rPr>
                      <w:rFonts w:hint="default" w:ascii="Times New Roman" w:hAnsi="Times New Roman" w:eastAsia="宋体" w:cs="Times New Roman"/>
                      <w:b w:val="0"/>
                      <w:bCs w:val="0"/>
                      <w:i w:val="0"/>
                      <w:iCs/>
                      <w:color w:val="auto"/>
                      <w:sz w:val="21"/>
                      <w:szCs w:val="21"/>
                      <w:lang w:val="en-US" w:eastAsia="zh-CN"/>
                    </w:rPr>
                    <w:t>7、项目不属于</w:t>
                  </w:r>
                  <w:r>
                    <w:rPr>
                      <w:rFonts w:hint="default" w:ascii="Times New Roman" w:hAnsi="Times New Roman" w:eastAsia="宋体" w:cs="Times New Roman"/>
                      <w:b w:val="0"/>
                      <w:bCs w:val="0"/>
                      <w:i w:val="0"/>
                      <w:iCs/>
                      <w:color w:val="auto"/>
                      <w:sz w:val="21"/>
                      <w:szCs w:val="21"/>
                    </w:rPr>
                    <w:t>阳宗海流域</w:t>
                  </w:r>
                  <w:r>
                    <w:rPr>
                      <w:rFonts w:hint="default" w:ascii="Times New Roman" w:hAnsi="Times New Roman" w:eastAsia="宋体" w:cs="Times New Roman"/>
                      <w:b w:val="0"/>
                      <w:bCs w:val="0"/>
                      <w:i w:val="0"/>
                      <w:iCs/>
                      <w:color w:val="auto"/>
                      <w:sz w:val="21"/>
                      <w:szCs w:val="21"/>
                      <w:lang w:eastAsia="zh-CN"/>
                    </w:rPr>
                    <w:t>。</w:t>
                  </w:r>
                </w:p>
                <w:p w14:paraId="17A89DEC">
                  <w:pPr>
                    <w:keepNext w:val="0"/>
                    <w:keepLines w:val="0"/>
                    <w:pageBreakBefore w:val="0"/>
                    <w:kinsoku/>
                    <w:overflowPunct/>
                    <w:topLinePunct w:val="0"/>
                    <w:autoSpaceDE/>
                    <w:autoSpaceDN/>
                    <w:bidi w:val="0"/>
                    <w:adjustRightInd/>
                    <w:spacing w:line="240" w:lineRule="auto"/>
                    <w:ind w:left="0"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8、项目不属于</w:t>
                  </w:r>
                  <w:r>
                    <w:rPr>
                      <w:rFonts w:hint="default" w:ascii="Times New Roman" w:hAnsi="Times New Roman" w:eastAsia="宋体" w:cs="Times New Roman"/>
                      <w:b w:val="0"/>
                      <w:bCs w:val="0"/>
                      <w:color w:val="auto"/>
                      <w:sz w:val="21"/>
                      <w:szCs w:val="21"/>
                    </w:rPr>
                    <w:t>磷石膏产生企</w:t>
                  </w:r>
                  <w:r>
                    <w:rPr>
                      <w:rFonts w:hint="default" w:ascii="Times New Roman" w:hAnsi="Times New Roman" w:eastAsia="宋体" w:cs="Times New Roman"/>
                      <w:b w:val="0"/>
                      <w:bCs w:val="0"/>
                      <w:color w:val="auto"/>
                      <w:sz w:val="21"/>
                      <w:szCs w:val="21"/>
                      <w:lang w:val="en-US" w:eastAsia="zh-CN"/>
                    </w:rPr>
                    <w:t>。</w:t>
                  </w:r>
                </w:p>
                <w:p w14:paraId="5C00EC17">
                  <w:pPr>
                    <w:pStyle w:val="3"/>
                    <w:keepNext w:val="0"/>
                    <w:keepLines w:val="0"/>
                    <w:pageBreakBefore w:val="0"/>
                    <w:kinsoku/>
                    <w:overflowPunct/>
                    <w:topLinePunct w:val="0"/>
                    <w:autoSpaceDE/>
                    <w:autoSpaceDN/>
                    <w:bidi w:val="0"/>
                    <w:adjustRightInd/>
                    <w:spacing w:after="0" w:line="240" w:lineRule="auto"/>
                    <w:ind w:left="0"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9、项目不涉及磷石膏。</w:t>
                  </w:r>
                </w:p>
              </w:tc>
              <w:tc>
                <w:tcPr>
                  <w:tcW w:w="763" w:type="dxa"/>
                  <w:noWrap w:val="0"/>
                  <w:vAlign w:val="center"/>
                </w:tcPr>
                <w:p w14:paraId="44A7706B">
                  <w:pPr>
                    <w:keepNext w:val="0"/>
                    <w:keepLines w:val="0"/>
                    <w:pageBreakBefore w:val="0"/>
                    <w:kinsoku/>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6FB024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05B9BAB3">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noWrap w:val="0"/>
                  <w:vAlign w:val="center"/>
                </w:tcPr>
                <w:p w14:paraId="00392AD9">
                  <w:pPr>
                    <w:pStyle w:val="9"/>
                    <w:keepNext w:val="0"/>
                    <w:keepLines w:val="0"/>
                    <w:pageBreakBefore w:val="0"/>
                    <w:widowControl w:val="0"/>
                    <w:kinsoku/>
                    <w:wordWrap w:val="0"/>
                    <w:overflowPunct/>
                    <w:topLinePunct w:val="0"/>
                    <w:autoSpaceDE/>
                    <w:autoSpaceDN/>
                    <w:bidi w:val="0"/>
                    <w:adjustRightInd/>
                    <w:snapToGri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（三）环境风险防控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加大放射性物质、电磁辐射、危险废物、医疗废物、尾矿库渣场、危险化学品、重金属等风险要素防控力度，全过程监控风险要素产生、使用、储存、运输、处理处置，实现智能化预警与报警，有效降低各类环境风险。</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2.针对持久性有机污染物、内分泌干扰物等新污染物，制定实施新污染物治理行动方案，开展新污染物筛查与评估，建立清单，开展化学物质生产使用信息调查，实施调查监测和环境风险评估。</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开展重点区域、重点领域环境风险调查评估，加强源头预防、过程管控、末端治理；建设环境应急技术库和物资库，推动各地更新扩充应急物资和防护装备，提升环境应急指挥信息化水平，完善环境应急管理体系。</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4.开展“千吨万人”农村饮用水水源保护区环境风险排查整治，加强农村水源水质监测。</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5.以涉危险废物、涉重金属企业为重点，合理布设生产设施，强化应急导流槽、事故调蓄池、雨污总排口应急闸坝等事故排水收集截留设施，以及传输泵、配套管线、应急发电等事故水输送设施等建设，合理设置消防事故水池和雨水监测池。</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6.严格新（改、扩）建尾矿库环境准入，健全尾矿库环境监管清单，加强尾矿库分类分级环境监管。严格落实《云南省尾矿库专项整治工作实施方案》。</w:t>
                  </w:r>
                </w:p>
              </w:tc>
              <w:tc>
                <w:tcPr>
                  <w:tcW w:w="2426" w:type="dxa"/>
                  <w:noWrap w:val="0"/>
                  <w:vAlign w:val="center"/>
                </w:tcPr>
                <w:p w14:paraId="2EA7E42B">
                  <w:pPr>
                    <w:pStyle w:val="9"/>
                    <w:keepNext w:val="0"/>
                    <w:keepLines w:val="0"/>
                    <w:pageBreakBefore w:val="0"/>
                    <w:kinsoku/>
                    <w:wordWrap w:val="0"/>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1、项目为烟花爆竹仓库，属于危险化学品，项目区设有智能监控预警系统，项目在运输、储存过程中全程智能化预警与报警。</w:t>
                  </w:r>
                </w:p>
                <w:p w14:paraId="6DCE7D2D">
                  <w:pPr>
                    <w:keepNext w:val="0"/>
                    <w:keepLines w:val="0"/>
                    <w:pageBreakBefore w:val="0"/>
                    <w:kinsoku/>
                    <w:wordWrap w:val="0"/>
                    <w:overflowPunct/>
                    <w:topLinePunct w:val="0"/>
                    <w:autoSpaceDE/>
                    <w:autoSpaceDN/>
                    <w:bidi w:val="0"/>
                    <w:adjustRightInd/>
                    <w:spacing w:line="240" w:lineRule="auto"/>
                    <w:ind w:right="0"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2、项目不涉及</w:t>
                  </w:r>
                  <w:r>
                    <w:rPr>
                      <w:rFonts w:hint="default" w:ascii="Times New Roman" w:hAnsi="Times New Roman" w:eastAsia="宋体" w:cs="Times New Roman"/>
                      <w:b w:val="0"/>
                      <w:bCs w:val="0"/>
                      <w:color w:val="auto"/>
                      <w:sz w:val="21"/>
                      <w:szCs w:val="21"/>
                    </w:rPr>
                    <w:t>持久性有机污染物、内分泌干扰物等新污染物</w:t>
                  </w:r>
                  <w:r>
                    <w:rPr>
                      <w:rFonts w:hint="default" w:ascii="Times New Roman" w:hAnsi="Times New Roman" w:eastAsia="宋体" w:cs="Times New Roman"/>
                      <w:b w:val="0"/>
                      <w:bCs w:val="0"/>
                      <w:color w:val="auto"/>
                      <w:sz w:val="21"/>
                      <w:szCs w:val="21"/>
                      <w:lang w:eastAsia="zh-CN"/>
                    </w:rPr>
                    <w:t>。</w:t>
                  </w:r>
                </w:p>
                <w:p w14:paraId="3FEF6E81">
                  <w:pPr>
                    <w:pStyle w:val="3"/>
                    <w:keepNext w:val="0"/>
                    <w:keepLines w:val="0"/>
                    <w:pageBreakBefore w:val="0"/>
                    <w:kinsoku/>
                    <w:wordWrap w:val="0"/>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3、项目于2026年6月1日已在昆明市生态环境局寻甸分局进行应急预案备案，备案号530-129-2026-024-L，并对应急物质进行调查，</w:t>
                  </w:r>
                  <w:r>
                    <w:rPr>
                      <w:rFonts w:hint="default" w:ascii="Times New Roman" w:hAnsi="Times New Roman" w:eastAsia="宋体" w:cs="Times New Roman"/>
                      <w:b w:val="0"/>
                      <w:bCs w:val="0"/>
                      <w:color w:val="auto"/>
                      <w:sz w:val="21"/>
                      <w:szCs w:val="21"/>
                    </w:rPr>
                    <w:t>提升</w:t>
                  </w:r>
                  <w:r>
                    <w:rPr>
                      <w:rFonts w:hint="default" w:ascii="Times New Roman" w:hAnsi="Times New Roman" w:eastAsia="宋体" w:cs="Times New Roman"/>
                      <w:b w:val="0"/>
                      <w:bCs w:val="0"/>
                      <w:color w:val="auto"/>
                      <w:sz w:val="21"/>
                      <w:szCs w:val="21"/>
                      <w:lang w:val="en-US" w:eastAsia="zh-CN"/>
                    </w:rPr>
                    <w:t>了</w:t>
                  </w:r>
                  <w:r>
                    <w:rPr>
                      <w:rFonts w:hint="default" w:ascii="Times New Roman" w:hAnsi="Times New Roman" w:eastAsia="宋体" w:cs="Times New Roman"/>
                      <w:b w:val="0"/>
                      <w:bCs w:val="0"/>
                      <w:color w:val="auto"/>
                      <w:sz w:val="21"/>
                      <w:szCs w:val="21"/>
                    </w:rPr>
                    <w:t>环境应急指挥信息化水平</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完善环境应急管理体系</w:t>
                  </w:r>
                  <w:r>
                    <w:rPr>
                      <w:rFonts w:hint="default" w:ascii="Times New Roman" w:hAnsi="Times New Roman" w:eastAsia="宋体" w:cs="Times New Roman"/>
                      <w:b w:val="0"/>
                      <w:bCs w:val="0"/>
                      <w:color w:val="auto"/>
                      <w:sz w:val="21"/>
                      <w:szCs w:val="21"/>
                      <w:lang w:eastAsia="zh-CN"/>
                    </w:rPr>
                    <w:t>。</w:t>
                  </w:r>
                </w:p>
                <w:p w14:paraId="75BBF255">
                  <w:pPr>
                    <w:pStyle w:val="3"/>
                    <w:keepNext w:val="0"/>
                    <w:keepLines w:val="0"/>
                    <w:pageBreakBefore w:val="0"/>
                    <w:kinsoku/>
                    <w:wordWrap w:val="0"/>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4、项目不涉及农村饮用水水源保护区。</w:t>
                  </w:r>
                </w:p>
                <w:p w14:paraId="7F938317">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lang w:val="en-US" w:eastAsia="zh-CN"/>
                    </w:rPr>
                    <w:t>5、</w:t>
                  </w:r>
                  <w:r>
                    <w:rPr>
                      <w:rFonts w:hint="default" w:ascii="Times New Roman" w:hAnsi="Times New Roman" w:eastAsia="宋体" w:cs="Times New Roman"/>
                      <w:b w:val="0"/>
                      <w:bCs w:val="0"/>
                      <w:color w:val="auto"/>
                      <w:sz w:val="21"/>
                      <w:szCs w:val="21"/>
                    </w:rPr>
                    <w:t>过期或残损的烟花爆竹收集暂存于危废暂存间后交由公安部门组织统一销毁、处置。</w:t>
                  </w:r>
                  <w:r>
                    <w:rPr>
                      <w:rFonts w:hint="default" w:ascii="Times New Roman" w:hAnsi="Times New Roman" w:eastAsia="宋体" w:cs="Times New Roman"/>
                      <w:b w:val="0"/>
                      <w:bCs w:val="0"/>
                      <w:color w:val="auto"/>
                      <w:sz w:val="21"/>
                      <w:szCs w:val="21"/>
                      <w:lang w:val="en-US" w:eastAsia="zh-CN"/>
                    </w:rPr>
                    <w:t>项目在地块一</w:t>
                  </w:r>
                  <w:r>
                    <w:rPr>
                      <w:rFonts w:hint="default" w:ascii="Times New Roman" w:hAnsi="Times New Roman" w:eastAsia="宋体" w:cs="Times New Roman"/>
                      <w:b w:val="0"/>
                      <w:bCs w:val="0"/>
                      <w:color w:val="auto"/>
                      <w:sz w:val="21"/>
                      <w:szCs w:val="21"/>
                      <w:highlight w:val="none"/>
                      <w:lang w:val="en-US" w:eastAsia="zh-CN"/>
                    </w:rPr>
                    <w:t>新增</w:t>
                  </w:r>
                  <w:r>
                    <w:rPr>
                      <w:rFonts w:hint="default" w:ascii="Times New Roman" w:hAnsi="Times New Roman" w:eastAsia="宋体" w:cs="Times New Roman"/>
                      <w:b w:val="0"/>
                      <w:bCs w:val="0"/>
                      <w:color w:val="auto"/>
                      <w:sz w:val="21"/>
                      <w:szCs w:val="21"/>
                      <w:highlight w:val="none"/>
                    </w:rPr>
                    <w:t>1个1</w:t>
                  </w:r>
                  <w:r>
                    <w:rPr>
                      <w:rFonts w:hint="default" w:ascii="Times New Roman" w:hAnsi="Times New Roman" w:eastAsia="宋体" w:cs="Times New Roman"/>
                      <w:b w:val="0"/>
                      <w:bCs w:val="0"/>
                      <w:color w:val="auto"/>
                      <w:sz w:val="21"/>
                      <w:szCs w:val="21"/>
                      <w:highlight w:val="none"/>
                      <w:lang w:val="en-US" w:eastAsia="zh-CN"/>
                    </w:rPr>
                    <w:t>9</w:t>
                  </w:r>
                  <w:r>
                    <w:rPr>
                      <w:rFonts w:hint="default" w:ascii="Times New Roman" w:hAnsi="Times New Roman" w:eastAsia="宋体" w:cs="Times New Roman"/>
                      <w:b w:val="0"/>
                      <w:bCs w:val="0"/>
                      <w:color w:val="auto"/>
                      <w:sz w:val="21"/>
                      <w:szCs w:val="21"/>
                      <w:highlight w:val="none"/>
                    </w:rPr>
                    <w:t>0m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的事故池</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地块二新增</w:t>
                  </w:r>
                  <w:r>
                    <w:rPr>
                      <w:rFonts w:hint="default" w:ascii="Times New Roman" w:hAnsi="Times New Roman" w:eastAsia="宋体" w:cs="Times New Roman"/>
                      <w:b w:val="0"/>
                      <w:bCs w:val="0"/>
                      <w:color w:val="auto"/>
                      <w:sz w:val="21"/>
                      <w:szCs w:val="21"/>
                      <w:highlight w:val="none"/>
                    </w:rPr>
                    <w:t>1个1</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0m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的事故池</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底部和四周采用的C30抗渗混凝土进行浇筑，并在</w:t>
                  </w:r>
                  <w:r>
                    <w:rPr>
                      <w:rFonts w:hint="default" w:ascii="Times New Roman" w:hAnsi="Times New Roman" w:eastAsia="宋体" w:cs="Times New Roman"/>
                      <w:b w:val="0"/>
                      <w:bCs w:val="0"/>
                      <w:color w:val="auto"/>
                      <w:sz w:val="21"/>
                      <w:szCs w:val="21"/>
                      <w:highlight w:val="none"/>
                      <w:lang w:val="en-US" w:eastAsia="zh-CN"/>
                    </w:rPr>
                    <w:t>内部</w:t>
                  </w:r>
                  <w:r>
                    <w:rPr>
                      <w:rFonts w:hint="default" w:ascii="Times New Roman" w:hAnsi="Times New Roman" w:eastAsia="宋体" w:cs="Times New Roman"/>
                      <w:b w:val="0"/>
                      <w:bCs w:val="0"/>
                      <w:color w:val="auto"/>
                      <w:sz w:val="21"/>
                      <w:szCs w:val="21"/>
                      <w:highlight w:val="none"/>
                    </w:rPr>
                    <w:t>铺设HDPE防渗膜厚度不小于2.0mm，渗透系数小于1.0×10</w:t>
                  </w:r>
                  <w:r>
                    <w:rPr>
                      <w:rFonts w:hint="default" w:ascii="Times New Roman" w:hAnsi="Times New Roman" w:eastAsia="宋体" w:cs="Times New Roman"/>
                      <w:b w:val="0"/>
                      <w:bCs w:val="0"/>
                      <w:color w:val="auto"/>
                      <w:sz w:val="21"/>
                      <w:szCs w:val="21"/>
                      <w:highlight w:val="none"/>
                      <w:vertAlign w:val="superscript"/>
                    </w:rPr>
                    <w:t>-7</w:t>
                  </w:r>
                  <w:r>
                    <w:rPr>
                      <w:rFonts w:hint="default" w:ascii="Times New Roman" w:hAnsi="Times New Roman" w:eastAsia="宋体" w:cs="Times New Roman"/>
                      <w:b w:val="0"/>
                      <w:bCs w:val="0"/>
                      <w:color w:val="auto"/>
                      <w:sz w:val="21"/>
                      <w:szCs w:val="21"/>
                      <w:highlight w:val="none"/>
                    </w:rPr>
                    <w:t>cm/s。</w:t>
                  </w:r>
                </w:p>
                <w:p w14:paraId="08FB2D88">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6、项目不涉及</w:t>
                  </w:r>
                  <w:r>
                    <w:rPr>
                      <w:rFonts w:hint="default" w:ascii="Times New Roman" w:hAnsi="Times New Roman" w:eastAsia="宋体" w:cs="Times New Roman"/>
                      <w:b w:val="0"/>
                      <w:bCs w:val="0"/>
                      <w:color w:val="auto"/>
                      <w:sz w:val="21"/>
                      <w:szCs w:val="21"/>
                    </w:rPr>
                    <w:t>（改、扩）建尾矿库</w:t>
                  </w:r>
                  <w:r>
                    <w:rPr>
                      <w:rFonts w:hint="default" w:ascii="Times New Roman" w:hAnsi="Times New Roman" w:eastAsia="宋体" w:cs="Times New Roman"/>
                      <w:b w:val="0"/>
                      <w:bCs w:val="0"/>
                      <w:color w:val="auto"/>
                      <w:sz w:val="21"/>
                      <w:szCs w:val="21"/>
                      <w:lang w:eastAsia="zh-CN"/>
                    </w:rPr>
                    <w:t>。</w:t>
                  </w:r>
                </w:p>
              </w:tc>
              <w:tc>
                <w:tcPr>
                  <w:tcW w:w="763" w:type="dxa"/>
                  <w:noWrap w:val="0"/>
                  <w:vAlign w:val="center"/>
                </w:tcPr>
                <w:p w14:paraId="14AD6DE6">
                  <w:pPr>
                    <w:keepNext w:val="0"/>
                    <w:keepLines w:val="0"/>
                    <w:pageBreakBefore w:val="0"/>
                    <w:kinsoku/>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69ADE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53E6FF4C">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noWrap w:val="0"/>
                  <w:vAlign w:val="center"/>
                </w:tcPr>
                <w:p w14:paraId="5843B844">
                  <w:pPr>
                    <w:pStyle w:val="9"/>
                    <w:keepNext w:val="0"/>
                    <w:keepLines w:val="0"/>
                    <w:pageBreakBefore w:val="0"/>
                    <w:widowControl w:val="0"/>
                    <w:kinsoku/>
                    <w:wordWrap w:val="0"/>
                    <w:overflowPunct/>
                    <w:topLinePunct w:val="0"/>
                    <w:autoSpaceDE/>
                    <w:autoSpaceDN/>
                    <w:bidi w:val="0"/>
                    <w:adjustRightInd/>
                    <w:snapToGri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（四）资源开发效率要求</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1.到2025年，基本建成与经济社会高质量发展和生态文明建设要求相适应、与由全面建成小康社会向基本实现现代化迈进起步期相协同的水安全保障体系。</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节水型生产和生活方式初步建立，用水效率和效益显著提高，全社会节水意识明显增强，新时代节水型社会基本建成。全市用水总量控制在35.48亿m3以内，万元GDP用水量较2020年下降10%，万元工业增加值用水量较2020年下降10%，农田灌溉水有效利用系数提高到0.55以上。</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3.万元工业增加值用水量≤30（立方米/万元）。</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1.2025年底前，全市单位地区生产总值能源消耗较2020年下降14%，能源消费总量得到合理控制。</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2.单位GDP能源消耗累计下降23.6%，不低于省级下达目标。</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3.对照国家有关高耗能行业重点领域能效标杆水平，实施钢铁、有色金属、冶炼等17个高耗能行业节能降碳改造升级，加快提升重点行业、企业能效水平。</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4.加强节能监察和探索用能预算管理，实施电机、变压器等重点用能设备能效提升三年行动，推广先进节能技术。</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5.到2025年，钢铁行业全面完成超低排放改造。</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6.加快推进有色、化工、印染、烟草等行业清洁生产和工业废水资源化利用。</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7.到2025年，全市新建大型及以上数据中心绿色低碳等级达到4A以上，电源使用效率（PUE）达到1.3以下，逐步组织电源使用效率超过1.5的进行节能降碳改造。</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8.“十四五”期间，全市规模以上工业单位增加值能耗下降14.5%，万元工业增加值用水量下降12%。</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9.到2025年，通过实施节能降碳提升工程，钢铁、电解铝、水泥、平板玻璃、炼油、乙烯、合成氨、电石等重点行业产能和数据中心达到能效标杆水平的比例超过30%。</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10.公共机构单位建筑面积碳排放量比2020年下降7%。</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11.非化石能源消费占一次能源消费比重达到40%以上，完成省级下达目标。</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12.单位GDP二氧化碳排放累计下降23%，不低于省级下达目标。</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13.严把新上项目的碳排放关，严格环境影响评价审批，加强固定资产投资项目节能审查，推动新建“两高一低”项目能效水平应提尽提。</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14.以六大高耗能行业为重点，全面梳理形成拟建、在建、存量“两高一低”项目清单，实行清单管理、分类处置、动态监控。加强“两高一低”项目全过程监管，严肃查处不符合政策要求、违规审批、未批先建、批建不符、超标用能排污的“两高一低”项目。</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15.加快淘汰落后和低端低效产能退出。</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16.指导金融机构加强“两高一低”项目贷前审核。</w:t>
                  </w:r>
                </w:p>
              </w:tc>
              <w:tc>
                <w:tcPr>
                  <w:tcW w:w="2426" w:type="dxa"/>
                  <w:noWrap w:val="0"/>
                  <w:vAlign w:val="center"/>
                </w:tcPr>
                <w:p w14:paraId="0EAD0A7D">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1、本扩建项目新增员工10人，增加了当地就业，项目采取环保和风险防范措施后，对周边影响较小，符合</w:t>
                  </w:r>
                  <w:r>
                    <w:rPr>
                      <w:rFonts w:hint="default" w:ascii="Times New Roman" w:hAnsi="Times New Roman" w:eastAsia="宋体" w:cs="Times New Roman"/>
                      <w:b w:val="0"/>
                      <w:bCs w:val="0"/>
                      <w:color w:val="auto"/>
                      <w:sz w:val="21"/>
                      <w:szCs w:val="21"/>
                    </w:rPr>
                    <w:t>经济社会高质量发展和生态文明建设要求</w:t>
                  </w:r>
                  <w:r>
                    <w:rPr>
                      <w:rFonts w:hint="default" w:ascii="Times New Roman" w:hAnsi="Times New Roman" w:eastAsia="宋体" w:cs="Times New Roman"/>
                      <w:b w:val="0"/>
                      <w:bCs w:val="0"/>
                      <w:color w:val="auto"/>
                      <w:sz w:val="21"/>
                      <w:szCs w:val="21"/>
                      <w:lang w:eastAsia="zh-CN"/>
                    </w:rPr>
                    <w:t>。</w:t>
                  </w:r>
                </w:p>
                <w:p w14:paraId="51992436">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lang w:val="en-US" w:eastAsia="zh-CN"/>
                    </w:rPr>
                    <w:t>2、项目生产过程中不使用水，</w:t>
                  </w:r>
                  <w:r>
                    <w:rPr>
                      <w:rFonts w:hint="default" w:ascii="Times New Roman" w:hAnsi="Times New Roman" w:eastAsia="宋体" w:cs="Times New Roman"/>
                      <w:b w:val="0"/>
                      <w:bCs w:val="0"/>
                      <w:color w:val="auto"/>
                      <w:sz w:val="21"/>
                      <w:szCs w:val="21"/>
                      <w:highlight w:val="none"/>
                      <w:lang w:val="en-US" w:eastAsia="zh-CN"/>
                    </w:rPr>
                    <w:t>项目</w:t>
                  </w:r>
                  <w:r>
                    <w:rPr>
                      <w:rFonts w:hint="default" w:ascii="Times New Roman" w:hAnsi="Times New Roman" w:eastAsia="宋体" w:cs="Times New Roman"/>
                      <w:b w:val="0"/>
                      <w:bCs w:val="0"/>
                      <w:color w:val="auto"/>
                      <w:sz w:val="21"/>
                      <w:szCs w:val="21"/>
                      <w:highlight w:val="none"/>
                    </w:rPr>
                    <w:t>运营期产生的废水主要是员工生活污水</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展厅废水、</w:t>
                  </w:r>
                  <w:r>
                    <w:rPr>
                      <w:rFonts w:hint="default" w:ascii="Times New Roman" w:hAnsi="Times New Roman" w:eastAsia="宋体" w:cs="Times New Roman"/>
                      <w:b w:val="0"/>
                      <w:bCs w:val="0"/>
                      <w:color w:val="auto"/>
                      <w:sz w:val="21"/>
                      <w:szCs w:val="21"/>
                      <w:highlight w:val="none"/>
                    </w:rPr>
                    <w:t>员工生活污水排入化粪池后，委托寻甸县环卫部门</w:t>
                  </w:r>
                  <w:r>
                    <w:rPr>
                      <w:rFonts w:hint="default" w:ascii="Times New Roman" w:hAnsi="Times New Roman" w:eastAsia="宋体" w:cs="Times New Roman"/>
                      <w:b w:val="0"/>
                      <w:bCs w:val="0"/>
                      <w:color w:val="auto"/>
                      <w:sz w:val="21"/>
                      <w:szCs w:val="21"/>
                      <w:highlight w:val="none"/>
                      <w:lang w:val="en-US" w:eastAsia="zh-CN"/>
                    </w:rPr>
                    <w:t>15天</w:t>
                  </w:r>
                  <w:r>
                    <w:rPr>
                      <w:rFonts w:hint="default" w:ascii="Times New Roman" w:hAnsi="Times New Roman" w:eastAsia="宋体" w:cs="Times New Roman"/>
                      <w:b w:val="0"/>
                      <w:bCs w:val="0"/>
                      <w:color w:val="auto"/>
                      <w:sz w:val="21"/>
                      <w:szCs w:val="21"/>
                      <w:highlight w:val="none"/>
                    </w:rPr>
                    <w:t>抽运一次，运输到寻甸县污水处理厂处理，不外排</w:t>
                  </w:r>
                  <w:r>
                    <w:rPr>
                      <w:rFonts w:hint="default" w:ascii="Times New Roman" w:hAnsi="Times New Roman" w:eastAsia="宋体" w:cs="Times New Roman"/>
                      <w:b w:val="0"/>
                      <w:bCs w:val="0"/>
                      <w:color w:val="auto"/>
                      <w:sz w:val="21"/>
                      <w:szCs w:val="21"/>
                      <w:highlight w:val="none"/>
                      <w:lang w:eastAsia="zh-CN"/>
                    </w:rPr>
                    <w:t>。</w:t>
                  </w:r>
                </w:p>
                <w:p w14:paraId="6222267D">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3、项目生产过程中不使用水。</w:t>
                  </w:r>
                </w:p>
                <w:p w14:paraId="3C8C489E">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4、项目使用节能灯具，生活区安装了太阳能热水器等节能设施。</w:t>
                  </w:r>
                </w:p>
                <w:p w14:paraId="04750A51">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5、项目不属于钢铁行业。</w:t>
                  </w:r>
                </w:p>
                <w:p w14:paraId="6362B659">
                  <w:pPr>
                    <w:keepNext w:val="0"/>
                    <w:keepLines w:val="0"/>
                    <w:pageBreakBefore w:val="0"/>
                    <w:kinsoku/>
                    <w:overflowPunct/>
                    <w:topLinePunct w:val="0"/>
                    <w:autoSpaceDE/>
                    <w:autoSpaceDN/>
                    <w:bidi w:val="0"/>
                    <w:adjustRightInd/>
                    <w:spacing w:line="240" w:lineRule="auto"/>
                    <w:ind w:right="0"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6、项目不属于</w:t>
                  </w:r>
                  <w:r>
                    <w:rPr>
                      <w:rFonts w:hint="default" w:ascii="Times New Roman" w:hAnsi="Times New Roman" w:eastAsia="宋体" w:cs="Times New Roman"/>
                      <w:b w:val="0"/>
                      <w:bCs w:val="0"/>
                      <w:color w:val="auto"/>
                      <w:sz w:val="21"/>
                      <w:szCs w:val="21"/>
                    </w:rPr>
                    <w:t>有色、化工、印染、烟草等行业</w:t>
                  </w:r>
                  <w:r>
                    <w:rPr>
                      <w:rFonts w:hint="default" w:ascii="Times New Roman" w:hAnsi="Times New Roman" w:eastAsia="宋体" w:cs="Times New Roman"/>
                      <w:b w:val="0"/>
                      <w:bCs w:val="0"/>
                      <w:color w:val="auto"/>
                      <w:sz w:val="21"/>
                      <w:szCs w:val="21"/>
                      <w:lang w:eastAsia="zh-CN"/>
                    </w:rPr>
                    <w:t>。</w:t>
                  </w:r>
                </w:p>
                <w:p w14:paraId="71F1FF01">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7、项目不属于</w:t>
                  </w:r>
                  <w:r>
                    <w:rPr>
                      <w:rFonts w:hint="default" w:ascii="Times New Roman" w:hAnsi="Times New Roman" w:eastAsia="宋体" w:cs="Times New Roman"/>
                      <w:b w:val="0"/>
                      <w:bCs w:val="0"/>
                      <w:color w:val="auto"/>
                      <w:sz w:val="21"/>
                      <w:szCs w:val="21"/>
                    </w:rPr>
                    <w:t>数据中心</w:t>
                  </w:r>
                  <w:r>
                    <w:rPr>
                      <w:rFonts w:hint="default" w:ascii="Times New Roman" w:hAnsi="Times New Roman" w:eastAsia="宋体" w:cs="Times New Roman"/>
                      <w:b w:val="0"/>
                      <w:bCs w:val="0"/>
                      <w:color w:val="auto"/>
                      <w:sz w:val="21"/>
                      <w:szCs w:val="21"/>
                      <w:lang w:val="en-US" w:eastAsia="zh-CN"/>
                    </w:rPr>
                    <w:t>项目。</w:t>
                  </w:r>
                </w:p>
                <w:p w14:paraId="1B159E5F">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8、项目属于烟花爆竹仓库项目，生产过程不使用水。</w:t>
                  </w:r>
                </w:p>
                <w:p w14:paraId="7F315620">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9、项目不属于钢铁、电解铝、水泥、平板玻璃、炼油、乙烯、合成氨、电石等重点行业。</w:t>
                  </w:r>
                </w:p>
                <w:p w14:paraId="6C41D21B">
                  <w:pPr>
                    <w:keepNext w:val="0"/>
                    <w:keepLines w:val="0"/>
                    <w:pageBreakBefore w:val="0"/>
                    <w:kinsoku/>
                    <w:overflowPunct/>
                    <w:topLinePunct w:val="0"/>
                    <w:autoSpaceDE/>
                    <w:autoSpaceDN/>
                    <w:bidi w:val="0"/>
                    <w:adjustRightInd/>
                    <w:spacing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10、项目不涉及。</w:t>
                  </w:r>
                </w:p>
                <w:p w14:paraId="4798BE35">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11、项目生活使用电能，运输车辆为烟花爆竹专用车辆。</w:t>
                  </w:r>
                </w:p>
                <w:p w14:paraId="07F1C825">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12、项目不产生二氧化碳。</w:t>
                  </w:r>
                </w:p>
                <w:p w14:paraId="57FAC507">
                  <w:pPr>
                    <w:keepNext w:val="0"/>
                    <w:keepLines w:val="0"/>
                    <w:pageBreakBefore w:val="0"/>
                    <w:kinsoku/>
                    <w:overflowPunct/>
                    <w:topLinePunct w:val="0"/>
                    <w:autoSpaceDE/>
                    <w:autoSpaceDN/>
                    <w:bidi w:val="0"/>
                    <w:adjustRightInd/>
                    <w:spacing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13、项目不涉及碳排放。</w:t>
                  </w:r>
                </w:p>
                <w:p w14:paraId="5C8F4FCE">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14、项目不属于</w:t>
                  </w:r>
                  <w:r>
                    <w:rPr>
                      <w:rFonts w:hint="default" w:ascii="Times New Roman" w:hAnsi="Times New Roman" w:eastAsia="宋体" w:cs="Times New Roman"/>
                      <w:b w:val="0"/>
                      <w:bCs w:val="0"/>
                      <w:color w:val="auto"/>
                      <w:sz w:val="21"/>
                      <w:szCs w:val="21"/>
                    </w:rPr>
                    <w:t>六大高耗能行业</w:t>
                  </w:r>
                  <w:r>
                    <w:rPr>
                      <w:rFonts w:hint="default" w:ascii="Times New Roman" w:hAnsi="Times New Roman" w:eastAsia="宋体" w:cs="Times New Roman"/>
                      <w:b w:val="0"/>
                      <w:bCs w:val="0"/>
                      <w:color w:val="auto"/>
                      <w:sz w:val="21"/>
                      <w:szCs w:val="21"/>
                      <w:lang w:eastAsia="zh-CN"/>
                    </w:rPr>
                    <w:t>。</w:t>
                  </w:r>
                </w:p>
                <w:p w14:paraId="356B5233">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15、项目不属于落后和低端低效产能。</w:t>
                  </w:r>
                </w:p>
                <w:p w14:paraId="753EBE9C">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16、项目不属于“两高一低”项目。</w:t>
                  </w:r>
                </w:p>
              </w:tc>
              <w:tc>
                <w:tcPr>
                  <w:tcW w:w="763" w:type="dxa"/>
                  <w:noWrap w:val="0"/>
                  <w:vAlign w:val="center"/>
                </w:tcPr>
                <w:p w14:paraId="38482A39">
                  <w:pPr>
                    <w:keepNext w:val="0"/>
                    <w:keepLines w:val="0"/>
                    <w:pageBreakBefore w:val="0"/>
                    <w:kinsoku/>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485CE1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restart"/>
                  <w:noWrap w:val="0"/>
                  <w:vAlign w:val="center"/>
                </w:tcPr>
                <w:p w14:paraId="37DF2D2E">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寻甸回族彝族自治县一般管控单元</w:t>
                  </w:r>
                </w:p>
              </w:tc>
              <w:tc>
                <w:tcPr>
                  <w:tcW w:w="2870" w:type="dxa"/>
                  <w:tcBorders>
                    <w:bottom w:val="single" w:color="auto" w:sz="4" w:space="0"/>
                  </w:tcBorders>
                  <w:noWrap w:val="0"/>
                  <w:vAlign w:val="center"/>
                </w:tcPr>
                <w:p w14:paraId="4718EFAA">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（一）空间布局约束</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1.禁止在林地、河湖管理范围内新建、改建、扩建房地产开发项目。</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2.禁止围湖造田和侵占江河滩地。</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3.禁止企业向滩涂、沼泽、荒地等未利用地非法排污、倾倒有毒有害物质。</w:t>
                  </w:r>
                </w:p>
              </w:tc>
              <w:tc>
                <w:tcPr>
                  <w:tcW w:w="2426" w:type="dxa"/>
                  <w:tcBorders>
                    <w:bottom w:val="single" w:color="auto" w:sz="4" w:space="0"/>
                  </w:tcBorders>
                  <w:noWrap w:val="0"/>
                  <w:vAlign w:val="center"/>
                </w:tcPr>
                <w:p w14:paraId="283E2410">
                  <w:pPr>
                    <w:keepNext w:val="0"/>
                    <w:keepLines w:val="0"/>
                    <w:pageBreakBefore w:val="0"/>
                    <w:widowControl/>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highlight w:val="none"/>
                      <w:lang w:val="en-US" w:eastAsia="zh-CN"/>
                    </w:rPr>
                    <w:t>1、项目为</w:t>
                  </w:r>
                  <w:r>
                    <w:rPr>
                      <w:rFonts w:hint="default" w:ascii="Times New Roman" w:hAnsi="Times New Roman" w:eastAsia="宋体" w:cs="Times New Roman"/>
                      <w:b w:val="0"/>
                      <w:bCs w:val="0"/>
                      <w:color w:val="auto"/>
                      <w:sz w:val="21"/>
                      <w:szCs w:val="21"/>
                      <w:highlight w:val="none"/>
                    </w:rPr>
                    <w:t>烟花爆竹存储</w:t>
                  </w:r>
                  <w:r>
                    <w:rPr>
                      <w:rFonts w:hint="default" w:ascii="Times New Roman" w:hAnsi="Times New Roman" w:eastAsia="宋体" w:cs="Times New Roman"/>
                      <w:b w:val="0"/>
                      <w:bCs w:val="0"/>
                      <w:color w:val="auto"/>
                      <w:sz w:val="21"/>
                      <w:szCs w:val="21"/>
                      <w:highlight w:val="none"/>
                      <w:lang w:val="en-US" w:eastAsia="zh-CN"/>
                    </w:rPr>
                    <w:t>仓库，不涉及</w:t>
                  </w:r>
                  <w:r>
                    <w:rPr>
                      <w:rFonts w:hint="default" w:ascii="Times New Roman" w:hAnsi="Times New Roman" w:eastAsia="宋体" w:cs="Times New Roman"/>
                      <w:b w:val="0"/>
                      <w:bCs w:val="0"/>
                      <w:color w:val="auto"/>
                      <w:sz w:val="21"/>
                      <w:szCs w:val="21"/>
                    </w:rPr>
                    <w:t>房地产开发</w:t>
                  </w:r>
                  <w:r>
                    <w:rPr>
                      <w:rFonts w:hint="default" w:ascii="Times New Roman" w:hAnsi="Times New Roman" w:eastAsia="宋体" w:cs="Times New Roman"/>
                      <w:b w:val="0"/>
                      <w:bCs w:val="0"/>
                      <w:color w:val="auto"/>
                      <w:sz w:val="21"/>
                      <w:szCs w:val="21"/>
                      <w:lang w:eastAsia="zh-CN"/>
                    </w:rPr>
                    <w:t>。</w:t>
                  </w:r>
                </w:p>
                <w:p w14:paraId="331FD2CA">
                  <w:pPr>
                    <w:keepNext w:val="0"/>
                    <w:keepLines w:val="0"/>
                    <w:pageBreakBefore w:val="0"/>
                    <w:widowControl/>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lang w:val="en-US" w:eastAsia="zh-CN"/>
                    </w:rPr>
                    <w:t>2、项目不涉及</w:t>
                  </w:r>
                  <w:r>
                    <w:rPr>
                      <w:rFonts w:hint="default" w:ascii="Times New Roman" w:hAnsi="Times New Roman" w:eastAsia="宋体" w:cs="Times New Roman"/>
                      <w:b w:val="0"/>
                      <w:bCs w:val="0"/>
                      <w:color w:val="auto"/>
                      <w:sz w:val="21"/>
                      <w:szCs w:val="21"/>
                    </w:rPr>
                    <w:t>围湖造田和侵占江河滩地</w:t>
                  </w:r>
                  <w:r>
                    <w:rPr>
                      <w:rFonts w:hint="default" w:ascii="Times New Roman" w:hAnsi="Times New Roman" w:eastAsia="宋体" w:cs="Times New Roman"/>
                      <w:b w:val="0"/>
                      <w:bCs w:val="0"/>
                      <w:color w:val="auto"/>
                      <w:sz w:val="21"/>
                      <w:szCs w:val="21"/>
                      <w:highlight w:val="none"/>
                      <w:lang w:val="en-US" w:eastAsia="zh-CN"/>
                    </w:rPr>
                    <w:t>。</w:t>
                  </w:r>
                </w:p>
                <w:p w14:paraId="5EA94A4B">
                  <w:pPr>
                    <w:pStyle w:val="9"/>
                    <w:keepNext w:val="0"/>
                    <w:keepLines w:val="0"/>
                    <w:pageBreakBefore w:val="0"/>
                    <w:kinsoku/>
                    <w:overflowPunct/>
                    <w:topLinePunct w:val="0"/>
                    <w:autoSpaceDE/>
                    <w:autoSpaceDN/>
                    <w:bidi w:val="0"/>
                    <w:adjustRightInd/>
                    <w:spacing w:before="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3、项目生活废水</w:t>
                  </w:r>
                  <w:r>
                    <w:rPr>
                      <w:rFonts w:hint="default" w:ascii="Times New Roman" w:hAnsi="Times New Roman" w:eastAsia="宋体" w:cs="Times New Roman"/>
                      <w:b w:val="0"/>
                      <w:bCs w:val="0"/>
                      <w:color w:val="auto"/>
                      <w:sz w:val="21"/>
                      <w:szCs w:val="21"/>
                      <w:highlight w:val="none"/>
                    </w:rPr>
                    <w:t>委托寻甸县环卫部门</w:t>
                  </w:r>
                  <w:r>
                    <w:rPr>
                      <w:rFonts w:hint="default" w:ascii="Times New Roman" w:hAnsi="Times New Roman" w:eastAsia="宋体" w:cs="Times New Roman"/>
                      <w:b w:val="0"/>
                      <w:bCs w:val="0"/>
                      <w:color w:val="auto"/>
                      <w:sz w:val="21"/>
                      <w:szCs w:val="21"/>
                      <w:highlight w:val="none"/>
                      <w:lang w:val="en-US" w:eastAsia="zh-CN"/>
                    </w:rPr>
                    <w:t>15天</w:t>
                  </w:r>
                  <w:r>
                    <w:rPr>
                      <w:rFonts w:hint="default" w:ascii="Times New Roman" w:hAnsi="Times New Roman" w:eastAsia="宋体" w:cs="Times New Roman"/>
                      <w:b w:val="0"/>
                      <w:bCs w:val="0"/>
                      <w:color w:val="auto"/>
                      <w:sz w:val="21"/>
                      <w:szCs w:val="21"/>
                      <w:highlight w:val="none"/>
                    </w:rPr>
                    <w:t>抽运一次，运输到寻甸县污水处理厂处理，不外排</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生活垃圾委托环卫部门清运，过期烟花爆竹</w:t>
                  </w:r>
                  <w:r>
                    <w:rPr>
                      <w:rFonts w:hint="default" w:ascii="Times New Roman" w:hAnsi="Times New Roman" w:eastAsia="宋体" w:cs="Times New Roman"/>
                      <w:b w:val="0"/>
                      <w:bCs w:val="0"/>
                      <w:color w:val="auto"/>
                      <w:sz w:val="21"/>
                      <w:szCs w:val="21"/>
                    </w:rPr>
                    <w:t>收集于危废暂存间后交由公安部门组织统一销毁、处置</w:t>
                  </w:r>
                  <w:r>
                    <w:rPr>
                      <w:rFonts w:hint="default" w:ascii="Times New Roman" w:hAnsi="Times New Roman" w:eastAsia="宋体" w:cs="Times New Roman"/>
                      <w:b w:val="0"/>
                      <w:bCs w:val="0"/>
                      <w:color w:val="auto"/>
                      <w:sz w:val="21"/>
                      <w:szCs w:val="21"/>
                      <w:lang w:eastAsia="zh-CN"/>
                    </w:rPr>
                    <w:t>。</w:t>
                  </w:r>
                </w:p>
              </w:tc>
              <w:tc>
                <w:tcPr>
                  <w:tcW w:w="763" w:type="dxa"/>
                  <w:tcBorders>
                    <w:bottom w:val="single" w:color="auto" w:sz="4" w:space="0"/>
                  </w:tcBorders>
                  <w:noWrap w:val="0"/>
                  <w:vAlign w:val="center"/>
                </w:tcPr>
                <w:p w14:paraId="0E022BE3">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9FDC3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4BA86065">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tcBorders>
                    <w:top w:val="single" w:color="auto" w:sz="4" w:space="0"/>
                    <w:bottom w:val="single" w:color="auto" w:sz="4" w:space="0"/>
                  </w:tcBorders>
                  <w:noWrap w:val="0"/>
                  <w:vAlign w:val="center"/>
                </w:tcPr>
                <w:p w14:paraId="569B9C32">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（二）污染物排放管控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1.严格控制“两高”行业新增产能，新、改、扩建项目要实行产能等量或减量置换。</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2.严格用地准入，工业用地及商业用地供地前，自然资源部门需对拟供地块进行土壤环境状况调查，评估环境污染风险后方可供地。</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3.禁止使用炸鱼、毒鱼、电鱼等破坏渔业资源方法进行捕捞。</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4.禁止在禁渔区、禁渔期进行捕捞。禁止使用小于最小网目尺寸的网具进行捕捞，未依法取得捕捞许可证擅自捕捞。</w:t>
                  </w:r>
                </w:p>
              </w:tc>
              <w:tc>
                <w:tcPr>
                  <w:tcW w:w="2426" w:type="dxa"/>
                  <w:tcBorders>
                    <w:top w:val="single" w:color="auto" w:sz="4" w:space="0"/>
                    <w:bottom w:val="single" w:color="auto" w:sz="4" w:space="0"/>
                  </w:tcBorders>
                  <w:noWrap w:val="0"/>
                  <w:vAlign w:val="center"/>
                </w:tcPr>
                <w:p w14:paraId="59A9D6E7">
                  <w:pPr>
                    <w:keepNext w:val="0"/>
                    <w:keepLines w:val="0"/>
                    <w:pageBreakBefore w:val="0"/>
                    <w:widowControl/>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highlight w:val="none"/>
                      <w:lang w:val="en-US" w:eastAsia="zh-CN"/>
                    </w:rPr>
                    <w:t>项目为</w:t>
                  </w:r>
                  <w:r>
                    <w:rPr>
                      <w:rFonts w:hint="default" w:ascii="Times New Roman" w:hAnsi="Times New Roman" w:eastAsia="宋体" w:cs="Times New Roman"/>
                      <w:b w:val="0"/>
                      <w:bCs w:val="0"/>
                      <w:color w:val="auto"/>
                      <w:sz w:val="21"/>
                      <w:szCs w:val="21"/>
                      <w:highlight w:val="none"/>
                    </w:rPr>
                    <w:t>烟花爆竹</w:t>
                  </w:r>
                  <w:r>
                    <w:rPr>
                      <w:rFonts w:hint="default" w:ascii="Times New Roman" w:hAnsi="Times New Roman" w:eastAsia="宋体" w:cs="Times New Roman"/>
                      <w:b w:val="0"/>
                      <w:bCs w:val="0"/>
                      <w:color w:val="auto"/>
                      <w:sz w:val="21"/>
                      <w:szCs w:val="21"/>
                      <w:highlight w:val="none"/>
                      <w:lang w:val="en-US" w:eastAsia="zh-CN"/>
                    </w:rPr>
                    <w:t>仓库，不属于</w:t>
                  </w:r>
                  <w:r>
                    <w:rPr>
                      <w:rFonts w:hint="default" w:ascii="Times New Roman" w:hAnsi="Times New Roman" w:eastAsia="宋体" w:cs="Times New Roman"/>
                      <w:b w:val="0"/>
                      <w:bCs w:val="0"/>
                      <w:color w:val="auto"/>
                      <w:sz w:val="21"/>
                      <w:szCs w:val="21"/>
                    </w:rPr>
                    <w:t>“两高”行业。</w:t>
                  </w:r>
                </w:p>
                <w:p w14:paraId="0B584D0C">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2、本项目土地使用已获得寻甸回族彝族县土地储备中心用地合同（详见附件14）。</w:t>
                  </w:r>
                </w:p>
                <w:p w14:paraId="05FEE84D">
                  <w:pPr>
                    <w:keepNext w:val="0"/>
                    <w:keepLines w:val="0"/>
                    <w:pageBreakBefore w:val="0"/>
                    <w:widowControl/>
                    <w:kinsoku/>
                    <w:overflowPunct/>
                    <w:topLinePunct w:val="0"/>
                    <w:autoSpaceDE/>
                    <w:autoSpaceDN/>
                    <w:bidi w:val="0"/>
                    <w:adjustRightInd/>
                    <w:spacing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3、项目不涉及渔业资源捕捞。</w:t>
                  </w:r>
                </w:p>
                <w:p w14:paraId="075BBE0C">
                  <w:pPr>
                    <w:pStyle w:val="3"/>
                    <w:keepNext w:val="0"/>
                    <w:keepLines w:val="0"/>
                    <w:pageBreakBefore w:val="0"/>
                    <w:kinsoku/>
                    <w:overflowPunct/>
                    <w:topLinePunct w:val="0"/>
                    <w:autoSpaceDE/>
                    <w:autoSpaceDN/>
                    <w:bidi w:val="0"/>
                    <w:adjustRightInd/>
                    <w:spacing w:after="0" w:line="240" w:lineRule="auto"/>
                    <w:ind w:right="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4、项目均不涉及渔业捕捞。</w:t>
                  </w:r>
                </w:p>
              </w:tc>
              <w:tc>
                <w:tcPr>
                  <w:tcW w:w="763" w:type="dxa"/>
                  <w:tcBorders>
                    <w:top w:val="single" w:color="auto" w:sz="4" w:space="0"/>
                    <w:bottom w:val="single" w:color="auto" w:sz="4" w:space="0"/>
                  </w:tcBorders>
                  <w:noWrap w:val="0"/>
                  <w:vAlign w:val="center"/>
                </w:tcPr>
                <w:p w14:paraId="7D2A7852">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0D84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6077A544">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tcBorders>
                    <w:top w:val="single" w:color="auto" w:sz="4" w:space="0"/>
                    <w:bottom w:val="single" w:color="auto" w:sz="4" w:space="0"/>
                  </w:tcBorders>
                  <w:noWrap w:val="0"/>
                  <w:vAlign w:val="center"/>
                </w:tcPr>
                <w:p w14:paraId="6575C13A">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（三）环境风险防控</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1.严格限制《环境保护综合名录》（2021年版）中“高污染、高环境风险”产品与工艺装备。</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2.禁止使用剧毒、高残留以及可能二次中毒的农药。</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3.严格污染场地开发利用和流转审批，在影响健康地块修复达标之前，禁止建设居民区、学校、医疗和养老机构。</w:t>
                  </w:r>
                </w:p>
              </w:tc>
              <w:tc>
                <w:tcPr>
                  <w:tcW w:w="2426" w:type="dxa"/>
                  <w:tcBorders>
                    <w:top w:val="single" w:color="auto" w:sz="4" w:space="0"/>
                    <w:bottom w:val="single" w:color="auto" w:sz="4" w:space="0"/>
                  </w:tcBorders>
                  <w:noWrap w:val="0"/>
                  <w:vAlign w:val="center"/>
                </w:tcPr>
                <w:p w14:paraId="028B5B44">
                  <w:pPr>
                    <w:pStyle w:val="3"/>
                    <w:keepNext w:val="0"/>
                    <w:keepLines w:val="0"/>
                    <w:pageBreakBefore w:val="0"/>
                    <w:widowControl/>
                    <w:kinsoku/>
                    <w:wordWrap w:val="0"/>
                    <w:overflowPunct/>
                    <w:topLinePunct w:val="0"/>
                    <w:autoSpaceDE/>
                    <w:autoSpaceDN/>
                    <w:bidi w:val="0"/>
                    <w:adjustRightInd/>
                    <w:snapToGrid w:val="0"/>
                    <w:spacing w:after="0" w:line="240" w:lineRule="auto"/>
                    <w:ind w:right="0" w:firstLine="0" w:firstLineChars="0"/>
                    <w:jc w:val="left"/>
                    <w:textAlignment w:val="auto"/>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highlight w:val="none"/>
                      <w:lang w:val="en-US" w:eastAsia="zh-CN"/>
                    </w:rPr>
                    <w:t>项目为</w:t>
                  </w:r>
                  <w:r>
                    <w:rPr>
                      <w:rFonts w:hint="default" w:ascii="Times New Roman" w:hAnsi="Times New Roman" w:eastAsia="宋体" w:cs="Times New Roman"/>
                      <w:b w:val="0"/>
                      <w:bCs w:val="0"/>
                      <w:color w:val="auto"/>
                      <w:sz w:val="21"/>
                      <w:szCs w:val="21"/>
                      <w:highlight w:val="none"/>
                    </w:rPr>
                    <w:t>烟花爆竹存储</w:t>
                  </w:r>
                  <w:r>
                    <w:rPr>
                      <w:rFonts w:hint="default" w:ascii="Times New Roman" w:hAnsi="Times New Roman" w:eastAsia="宋体" w:cs="Times New Roman"/>
                      <w:b w:val="0"/>
                      <w:bCs w:val="0"/>
                      <w:color w:val="auto"/>
                      <w:sz w:val="21"/>
                      <w:szCs w:val="21"/>
                      <w:highlight w:val="none"/>
                      <w:lang w:val="en-US" w:eastAsia="zh-CN"/>
                    </w:rPr>
                    <w:t>仓库，不属于</w:t>
                  </w:r>
                  <w:r>
                    <w:rPr>
                      <w:rFonts w:hint="default" w:ascii="Times New Roman" w:hAnsi="Times New Roman" w:eastAsia="宋体" w:cs="Times New Roman"/>
                      <w:b w:val="0"/>
                      <w:bCs w:val="0"/>
                      <w:color w:val="auto"/>
                      <w:sz w:val="21"/>
                      <w:szCs w:val="21"/>
                    </w:rPr>
                    <w:t>《环境保护综合名录》（2021年版）中“高污染、高环境风险”产品与工艺装备</w:t>
                  </w:r>
                  <w:r>
                    <w:rPr>
                      <w:rFonts w:hint="default" w:ascii="Times New Roman" w:hAnsi="Times New Roman" w:eastAsia="宋体" w:cs="Times New Roman"/>
                      <w:b w:val="0"/>
                      <w:bCs w:val="0"/>
                      <w:color w:val="auto"/>
                      <w:kern w:val="2"/>
                      <w:sz w:val="21"/>
                      <w:szCs w:val="21"/>
                    </w:rPr>
                    <w:t>。</w:t>
                  </w:r>
                </w:p>
                <w:p w14:paraId="3EFD28BE">
                  <w:pPr>
                    <w:pStyle w:val="3"/>
                    <w:keepNext w:val="0"/>
                    <w:keepLines w:val="0"/>
                    <w:pageBreakBefore w:val="0"/>
                    <w:widowControl/>
                    <w:kinsoku/>
                    <w:wordWrap w:val="0"/>
                    <w:overflowPunct/>
                    <w:topLinePunct w:val="0"/>
                    <w:autoSpaceDE/>
                    <w:autoSpaceDN/>
                    <w:bidi w:val="0"/>
                    <w:adjustRightInd/>
                    <w:snapToGrid w:val="0"/>
                    <w:spacing w:after="0" w:line="240" w:lineRule="auto"/>
                    <w:ind w:right="0"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2"/>
                      <w:sz w:val="21"/>
                      <w:szCs w:val="21"/>
                      <w:lang w:val="en-US" w:eastAsia="zh-CN"/>
                    </w:rPr>
                    <w:t>2、项目不使用</w:t>
                  </w:r>
                  <w:r>
                    <w:rPr>
                      <w:rFonts w:hint="default" w:ascii="Times New Roman" w:hAnsi="Times New Roman" w:eastAsia="宋体" w:cs="Times New Roman"/>
                      <w:b w:val="0"/>
                      <w:bCs w:val="0"/>
                      <w:color w:val="auto"/>
                      <w:sz w:val="21"/>
                      <w:szCs w:val="21"/>
                    </w:rPr>
                    <w:t>剧毒、高残留以及可能二次中毒的农药。</w:t>
                  </w:r>
                </w:p>
                <w:p w14:paraId="364993DC">
                  <w:pPr>
                    <w:pStyle w:val="3"/>
                    <w:keepNext w:val="0"/>
                    <w:keepLines w:val="0"/>
                    <w:pageBreakBefore w:val="0"/>
                    <w:widowControl/>
                    <w:kinsoku/>
                    <w:wordWrap w:val="0"/>
                    <w:overflowPunct/>
                    <w:topLinePunct w:val="0"/>
                    <w:autoSpaceDE/>
                    <w:autoSpaceDN/>
                    <w:bidi w:val="0"/>
                    <w:adjustRightInd/>
                    <w:snapToGrid w:val="0"/>
                    <w:spacing w:after="0" w:line="240" w:lineRule="auto"/>
                    <w:ind w:right="0"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3、项目使用土地不属于污染场地，本项目为烟花爆竹仓库项目，不属于</w:t>
                  </w:r>
                  <w:r>
                    <w:rPr>
                      <w:rFonts w:hint="default" w:ascii="Times New Roman" w:hAnsi="Times New Roman" w:eastAsia="宋体" w:cs="Times New Roman"/>
                      <w:b w:val="0"/>
                      <w:bCs w:val="0"/>
                      <w:color w:val="auto"/>
                      <w:sz w:val="21"/>
                      <w:szCs w:val="21"/>
                    </w:rPr>
                    <w:t>居民区、学校、医疗和养老机构。</w:t>
                  </w:r>
                </w:p>
              </w:tc>
              <w:tc>
                <w:tcPr>
                  <w:tcW w:w="763" w:type="dxa"/>
                  <w:tcBorders>
                    <w:top w:val="single" w:color="auto" w:sz="4" w:space="0"/>
                    <w:bottom w:val="single" w:color="auto" w:sz="4" w:space="0"/>
                  </w:tcBorders>
                  <w:noWrap w:val="0"/>
                  <w:vAlign w:val="center"/>
                </w:tcPr>
                <w:p w14:paraId="42A76A59">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4BCC61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846" w:type="dxa"/>
                  <w:vMerge w:val="continue"/>
                  <w:noWrap w:val="0"/>
                  <w:vAlign w:val="center"/>
                </w:tcPr>
                <w:p w14:paraId="1F89B19C">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rPr>
                  </w:pPr>
                </w:p>
              </w:tc>
              <w:tc>
                <w:tcPr>
                  <w:tcW w:w="2870" w:type="dxa"/>
                  <w:tcBorders>
                    <w:top w:val="single" w:color="auto" w:sz="4" w:space="0"/>
                  </w:tcBorders>
                  <w:noWrap w:val="0"/>
                  <w:vAlign w:val="center"/>
                </w:tcPr>
                <w:p w14:paraId="0951565D">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（四）资源开发效率要求</w:t>
                  </w:r>
                  <w:r>
                    <w:rPr>
                      <w:rFonts w:hint="default" w:ascii="Times New Roman" w:hAnsi="Times New Roman" w:eastAsia="宋体" w:cs="Times New Roman"/>
                      <w:b w:val="0"/>
                      <w:bCs w:val="0"/>
                      <w:color w:val="auto"/>
                      <w:sz w:val="21"/>
                      <w:szCs w:val="21"/>
                    </w:rPr>
                    <w:br w:type="textWrapping"/>
                  </w:r>
                  <w:r>
                    <w:rPr>
                      <w:rFonts w:hint="default" w:ascii="Times New Roman" w:hAnsi="Times New Roman" w:eastAsia="宋体" w:cs="Times New Roman"/>
                      <w:b w:val="0"/>
                      <w:bCs w:val="0"/>
                      <w:color w:val="auto"/>
                      <w:sz w:val="21"/>
                      <w:szCs w:val="21"/>
                    </w:rPr>
                    <w:t>——</w:t>
                  </w:r>
                </w:p>
              </w:tc>
              <w:tc>
                <w:tcPr>
                  <w:tcW w:w="2426" w:type="dxa"/>
                  <w:tcBorders>
                    <w:top w:val="single" w:color="auto" w:sz="4" w:space="0"/>
                  </w:tcBorders>
                  <w:noWrap w:val="0"/>
                  <w:vAlign w:val="center"/>
                </w:tcPr>
                <w:p w14:paraId="07C24E37">
                  <w:pPr>
                    <w:pStyle w:val="3"/>
                    <w:keepNext w:val="0"/>
                    <w:keepLines w:val="0"/>
                    <w:pageBreakBefore w:val="0"/>
                    <w:widowControl/>
                    <w:kinsoku/>
                    <w:wordWrap w:val="0"/>
                    <w:overflowPunct/>
                    <w:topLinePunct w:val="0"/>
                    <w:autoSpaceDE/>
                    <w:autoSpaceDN/>
                    <w:bidi w:val="0"/>
                    <w:adjustRightInd/>
                    <w:snapToGrid w:val="0"/>
                    <w:spacing w:after="0" w:line="240" w:lineRule="auto"/>
                    <w:ind w:right="0" w:firstLine="0" w:firstLineChars="0"/>
                    <w:jc w:val="left"/>
                    <w:textAlignment w:val="auto"/>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符合昆明市</w:t>
                  </w:r>
                  <w:r>
                    <w:rPr>
                      <w:rFonts w:hint="default" w:ascii="Times New Roman" w:hAnsi="Times New Roman" w:eastAsia="宋体" w:cs="Times New Roman"/>
                      <w:b w:val="0"/>
                      <w:bCs w:val="0"/>
                      <w:color w:val="auto"/>
                      <w:sz w:val="21"/>
                      <w:szCs w:val="21"/>
                    </w:rPr>
                    <w:t>资源开发效率要求</w:t>
                  </w:r>
                  <w:r>
                    <w:rPr>
                      <w:rFonts w:hint="eastAsia" w:ascii="Times New Roman" w:hAnsi="Times New Roman" w:eastAsia="宋体" w:cs="Times New Roman"/>
                      <w:b w:val="0"/>
                      <w:bCs w:val="0"/>
                      <w:color w:val="auto"/>
                      <w:sz w:val="21"/>
                      <w:szCs w:val="21"/>
                      <w:lang w:eastAsia="zh-CN"/>
                    </w:rPr>
                    <w:t>。</w:t>
                  </w:r>
                </w:p>
              </w:tc>
              <w:tc>
                <w:tcPr>
                  <w:tcW w:w="763" w:type="dxa"/>
                  <w:tcBorders>
                    <w:top w:val="single" w:color="auto" w:sz="4" w:space="0"/>
                  </w:tcBorders>
                  <w:noWrap w:val="0"/>
                  <w:vAlign w:val="center"/>
                </w:tcPr>
                <w:p w14:paraId="4A724C2F">
                  <w:pPr>
                    <w:pStyle w:val="9"/>
                    <w:keepNext w:val="0"/>
                    <w:keepLines w:val="0"/>
                    <w:pageBreakBefore w:val="0"/>
                    <w:kinsoku/>
                    <w:overflowPunct/>
                    <w:topLinePunct w:val="0"/>
                    <w:autoSpaceDE/>
                    <w:autoSpaceDN/>
                    <w:bidi w:val="0"/>
                    <w:adjustRightInd/>
                    <w:spacing w:before="0" w:line="240" w:lineRule="auto"/>
                    <w:ind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bl>
          <w:p w14:paraId="1AE51D1C">
            <w:pPr>
              <w:keepNext w:val="0"/>
              <w:keepLines w:val="0"/>
              <w:pageBreakBefore w:val="0"/>
              <w:kinsoku/>
              <w:overflowPunct/>
              <w:topLinePunct w:val="0"/>
              <w:bidi w:val="0"/>
              <w:spacing w:line="360" w:lineRule="auto"/>
              <w:ind w:firstLine="480" w:firstLineChars="200"/>
              <w:rPr>
                <w:color w:val="auto"/>
              </w:rPr>
            </w:pPr>
            <w:r>
              <w:rPr>
                <w:rFonts w:hint="default" w:ascii="Times New Roman" w:hAnsi="Times New Roman" w:eastAsia="宋体" w:cs="Times New Roman"/>
                <w:color w:val="auto"/>
                <w:sz w:val="24"/>
              </w:rPr>
              <w:t>根据上表分析，本项目符合</w:t>
            </w:r>
            <w:r>
              <w:rPr>
                <w:rFonts w:hint="default" w:ascii="Times New Roman" w:hAnsi="Times New Roman" w:eastAsia="宋体" w:cs="Times New Roman"/>
                <w:b w:val="0"/>
                <w:bCs w:val="0"/>
                <w:color w:val="auto"/>
                <w:sz w:val="24"/>
                <w:lang w:val="en-US" w:eastAsia="zh-CN"/>
              </w:rPr>
              <w:t>《昆明市生态环境分区管控动态更新方案（2023年）》</w:t>
            </w:r>
            <w:r>
              <w:rPr>
                <w:rFonts w:hint="default" w:ascii="Times New Roman" w:hAnsi="Times New Roman" w:eastAsia="宋体" w:cs="Times New Roman"/>
                <w:color w:val="auto"/>
                <w:sz w:val="24"/>
              </w:rPr>
              <w:t>的要求。</w:t>
            </w:r>
          </w:p>
          <w:p w14:paraId="0254A06C">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11</w:t>
            </w:r>
            <w:r>
              <w:rPr>
                <w:b/>
                <w:bCs/>
                <w:color w:val="auto"/>
                <w:sz w:val="24"/>
                <w:szCs w:val="24"/>
                <w:highlight w:val="none"/>
              </w:rPr>
              <w:t>、选址合理性分析</w:t>
            </w:r>
          </w:p>
          <w:p w14:paraId="25474F55">
            <w:pPr>
              <w:spacing w:line="360" w:lineRule="auto"/>
              <w:ind w:firstLine="480" w:firstLineChars="200"/>
              <w:rPr>
                <w:color w:val="auto"/>
                <w:sz w:val="24"/>
                <w:szCs w:val="24"/>
                <w:highlight w:val="none"/>
              </w:rPr>
            </w:pPr>
            <w:r>
              <w:rPr>
                <w:color w:val="auto"/>
                <w:sz w:val="24"/>
                <w:szCs w:val="24"/>
                <w:highlight w:val="none"/>
                <w:lang w:val="zh-CN"/>
              </w:rPr>
              <w:t>项目选址于昆明市寻甸县仁德</w:t>
            </w:r>
            <w:r>
              <w:rPr>
                <w:color w:val="auto"/>
                <w:sz w:val="24"/>
                <w:szCs w:val="24"/>
                <w:highlight w:val="none"/>
              </w:rPr>
              <w:t>街道北观社区打鹰坡</w:t>
            </w:r>
            <w:r>
              <w:rPr>
                <w:color w:val="auto"/>
                <w:sz w:val="24"/>
                <w:szCs w:val="24"/>
                <w:highlight w:val="none"/>
                <w:lang w:val="zh-CN"/>
              </w:rPr>
              <w:t>，</w:t>
            </w:r>
            <w:r>
              <w:rPr>
                <w:rFonts w:hint="eastAsia"/>
                <w:color w:val="auto"/>
                <w:sz w:val="24"/>
                <w:szCs w:val="24"/>
                <w:highlight w:val="none"/>
                <w:lang w:val="en-US" w:eastAsia="zh-CN"/>
              </w:rPr>
              <w:t>项目于2026年2月2日从寻甸县回族彝族自治县土地储备中心购得土地用于烟花爆竹储存仓库建设项目，</w:t>
            </w:r>
            <w:r>
              <w:rPr>
                <w:b w:val="0"/>
                <w:bCs w:val="0"/>
                <w:color w:val="auto"/>
                <w:sz w:val="24"/>
                <w:szCs w:val="24"/>
                <w:highlight w:val="none"/>
              </w:rPr>
              <w:t>根据202</w:t>
            </w:r>
            <w:r>
              <w:rPr>
                <w:rFonts w:hint="eastAsia"/>
                <w:b w:val="0"/>
                <w:bCs w:val="0"/>
                <w:color w:val="auto"/>
                <w:sz w:val="24"/>
                <w:szCs w:val="24"/>
                <w:highlight w:val="none"/>
                <w:lang w:val="en-US" w:eastAsia="zh-CN"/>
              </w:rPr>
              <w:t>6</w:t>
            </w:r>
            <w:r>
              <w:rPr>
                <w:b w:val="0"/>
                <w:bCs w:val="0"/>
                <w:color w:val="auto"/>
                <w:sz w:val="24"/>
                <w:szCs w:val="24"/>
                <w:highlight w:val="none"/>
              </w:rPr>
              <w:t>年</w:t>
            </w:r>
            <w:r>
              <w:rPr>
                <w:rFonts w:hint="eastAsia"/>
                <w:b w:val="0"/>
                <w:bCs w:val="0"/>
                <w:color w:val="auto"/>
                <w:sz w:val="24"/>
                <w:szCs w:val="24"/>
                <w:highlight w:val="none"/>
                <w:lang w:val="en-US" w:eastAsia="zh-CN"/>
              </w:rPr>
              <w:t>3</w:t>
            </w:r>
            <w:r>
              <w:rPr>
                <w:b w:val="0"/>
                <w:bCs w:val="0"/>
                <w:color w:val="auto"/>
                <w:sz w:val="24"/>
                <w:szCs w:val="24"/>
                <w:highlight w:val="none"/>
              </w:rPr>
              <w:t>月</w:t>
            </w:r>
            <w:r>
              <w:rPr>
                <w:rFonts w:hint="eastAsia"/>
                <w:b w:val="0"/>
                <w:bCs w:val="0"/>
                <w:color w:val="auto"/>
                <w:sz w:val="24"/>
                <w:szCs w:val="24"/>
                <w:highlight w:val="none"/>
                <w:lang w:val="en-US" w:eastAsia="zh-CN"/>
              </w:rPr>
              <w:t>23</w:t>
            </w:r>
            <w:r>
              <w:rPr>
                <w:b w:val="0"/>
                <w:bCs w:val="0"/>
                <w:color w:val="auto"/>
                <w:sz w:val="24"/>
                <w:szCs w:val="24"/>
                <w:highlight w:val="none"/>
              </w:rPr>
              <w:t>日《寻甸回族彝族自治县</w:t>
            </w:r>
            <w:r>
              <w:rPr>
                <w:rFonts w:hint="eastAsia"/>
                <w:b w:val="0"/>
                <w:bCs w:val="0"/>
                <w:color w:val="auto"/>
                <w:sz w:val="24"/>
                <w:szCs w:val="24"/>
                <w:highlight w:val="none"/>
                <w:lang w:val="en-US" w:eastAsia="zh-CN"/>
              </w:rPr>
              <w:t>自然资源局</w:t>
            </w:r>
            <w:r>
              <w:rPr>
                <w:rFonts w:hint="default" w:ascii="Times New Roman" w:hAnsi="Times New Roman" w:cs="Times New Roman"/>
                <w:b w:val="0"/>
                <w:bCs w:val="0"/>
                <w:color w:val="auto"/>
                <w:sz w:val="24"/>
                <w:szCs w:val="24"/>
                <w:highlight w:val="none"/>
                <w:lang w:val="en-US" w:eastAsia="zh-CN"/>
              </w:rPr>
              <w:t>关于昆明优竹商贸有限公司烟花爆竹储存仓库改扩建项目是否涉及永久基本农田的说明》（附件</w:t>
            </w:r>
            <w:r>
              <w:rPr>
                <w:rFonts w:hint="eastAsia" w:ascii="Times New Roman" w:hAnsi="Times New Roman" w:cs="Times New Roman"/>
                <w:b w:val="0"/>
                <w:bCs w:val="0"/>
                <w:color w:val="auto"/>
                <w:sz w:val="24"/>
                <w:szCs w:val="24"/>
                <w:highlight w:val="none"/>
                <w:lang w:val="en-US" w:eastAsia="zh-CN"/>
              </w:rPr>
              <w:t>1</w:t>
            </w:r>
            <w:r>
              <w:rPr>
                <w:rFonts w:hint="default" w:ascii="Times New Roman" w:hAnsi="Times New Roman" w:cs="Times New Roman"/>
                <w:b w:val="0"/>
                <w:bCs w:val="0"/>
                <w:color w:val="auto"/>
                <w:sz w:val="24"/>
                <w:szCs w:val="24"/>
                <w:highlight w:val="none"/>
                <w:lang w:val="en-US" w:eastAsia="zh-CN"/>
              </w:rPr>
              <w:t>6）及《关于昆明</w:t>
            </w:r>
            <w:r>
              <w:rPr>
                <w:rFonts w:ascii="Times New Roman" w:hAnsi="Times New Roman" w:cs="Times New Roman"/>
                <w:b w:val="0"/>
                <w:bCs w:val="0"/>
                <w:color w:val="auto"/>
                <w:sz w:val="24"/>
                <w:szCs w:val="24"/>
                <w:highlight w:val="none"/>
                <w:lang w:val="en-US" w:eastAsia="zh-CN"/>
              </w:rPr>
              <w:t>优竹商贸有限公司烟花爆竹储存仓库</w:t>
            </w:r>
            <w:r>
              <w:rPr>
                <w:rFonts w:hint="default" w:ascii="Times New Roman" w:hAnsi="Times New Roman" w:cs="Times New Roman"/>
                <w:b w:val="0"/>
                <w:bCs w:val="0"/>
                <w:color w:val="auto"/>
                <w:sz w:val="24"/>
                <w:szCs w:val="24"/>
                <w:highlight w:val="none"/>
                <w:lang w:val="en-US" w:eastAsia="zh-CN"/>
              </w:rPr>
              <w:t>改扩建项目用地范围是否涉及生态保护红线及城镇开发边界的情况说明</w:t>
            </w:r>
            <w:r>
              <w:rPr>
                <w:rFonts w:ascii="Times New Roman" w:hAnsi="Times New Roman" w:cs="Times New Roman"/>
                <w:b w:val="0"/>
                <w:bCs w:val="0"/>
                <w:color w:val="auto"/>
                <w:sz w:val="24"/>
                <w:szCs w:val="24"/>
                <w:highlight w:val="none"/>
              </w:rPr>
              <w:t>》（附件</w:t>
            </w:r>
            <w:r>
              <w:rPr>
                <w:rFonts w:hint="eastAsia" w:ascii="Times New Roman" w:hAnsi="Times New Roman" w:cs="Times New Roman"/>
                <w:b w:val="0"/>
                <w:bCs w:val="0"/>
                <w:color w:val="auto"/>
                <w:sz w:val="24"/>
                <w:szCs w:val="24"/>
                <w:highlight w:val="none"/>
                <w:lang w:val="en-US" w:eastAsia="zh-CN"/>
              </w:rPr>
              <w:t>16</w:t>
            </w:r>
            <w:r>
              <w:rPr>
                <w:rFonts w:ascii="Times New Roman" w:hAnsi="Times New Roman" w:cs="Times New Roman"/>
                <w:b w:val="0"/>
                <w:bCs w:val="0"/>
                <w:color w:val="auto"/>
                <w:sz w:val="24"/>
                <w:szCs w:val="24"/>
                <w:highlight w:val="none"/>
              </w:rPr>
              <w:t>）</w:t>
            </w:r>
            <w:r>
              <w:rPr>
                <w:color w:val="auto"/>
                <w:sz w:val="24"/>
                <w:szCs w:val="24"/>
                <w:highlight w:val="none"/>
              </w:rPr>
              <w:t>，项目不占用规划永久基本农田及寻甸县生态红线，</w:t>
            </w:r>
            <w:r>
              <w:rPr>
                <w:rFonts w:ascii="Times New Roman" w:hAnsi="Times New Roman" w:cs="Times New Roman"/>
                <w:b w:val="0"/>
                <w:bCs w:val="0"/>
                <w:color w:val="auto"/>
                <w:sz w:val="24"/>
                <w:szCs w:val="24"/>
                <w:highlight w:val="none"/>
                <w:lang w:val="en-US" w:eastAsia="zh-CN"/>
              </w:rPr>
              <w:t>不在城镇开发边界内</w:t>
            </w:r>
            <w:r>
              <w:rPr>
                <w:rFonts w:hint="eastAsia" w:ascii="Times New Roman" w:hAnsi="Times New Roman" w:cs="Times New Roman"/>
                <w:b w:val="0"/>
                <w:bCs w:val="0"/>
                <w:color w:val="auto"/>
                <w:sz w:val="24"/>
                <w:szCs w:val="24"/>
                <w:highlight w:val="none"/>
                <w:lang w:eastAsia="zh-CN"/>
              </w:rPr>
              <w:t>，</w:t>
            </w:r>
            <w:r>
              <w:rPr>
                <w:color w:val="auto"/>
                <w:sz w:val="24"/>
                <w:szCs w:val="24"/>
                <w:highlight w:val="none"/>
              </w:rPr>
              <w:t>符合寻甸县土地利用总体规划。项目占地现状利用性质主要是</w:t>
            </w:r>
            <w:r>
              <w:rPr>
                <w:rFonts w:hint="eastAsia"/>
                <w:color w:val="auto"/>
                <w:sz w:val="24"/>
                <w:szCs w:val="24"/>
                <w:highlight w:val="none"/>
                <w:lang w:val="en-US" w:eastAsia="zh-CN"/>
              </w:rPr>
              <w:t>林</w:t>
            </w:r>
            <w:r>
              <w:rPr>
                <w:color w:val="auto"/>
                <w:sz w:val="24"/>
                <w:szCs w:val="24"/>
                <w:highlight w:val="none"/>
              </w:rPr>
              <w:t>地</w:t>
            </w:r>
            <w:r>
              <w:rPr>
                <w:rFonts w:hint="eastAsia"/>
                <w:color w:val="auto"/>
                <w:sz w:val="24"/>
                <w:szCs w:val="24"/>
                <w:lang w:eastAsia="zh-CN"/>
              </w:rPr>
              <w:t>、</w:t>
            </w:r>
            <w:r>
              <w:rPr>
                <w:rFonts w:hint="eastAsia"/>
                <w:color w:val="auto"/>
                <w:sz w:val="24"/>
                <w:szCs w:val="24"/>
                <w:lang w:val="en-US" w:eastAsia="zh-CN"/>
              </w:rPr>
              <w:t>草地</w:t>
            </w:r>
            <w:r>
              <w:rPr>
                <w:color w:val="auto"/>
                <w:sz w:val="24"/>
                <w:szCs w:val="24"/>
                <w:highlight w:val="none"/>
              </w:rPr>
              <w:t>，项目不占用耕地，不影响区域农业发展</w:t>
            </w:r>
            <w:r>
              <w:rPr>
                <w:rFonts w:hint="eastAsia"/>
                <w:color w:val="auto"/>
                <w:sz w:val="24"/>
                <w:szCs w:val="24"/>
                <w:highlight w:val="none"/>
                <w:lang w:val="en-US" w:eastAsia="zh-CN"/>
              </w:rPr>
              <w:t>且项目不占用公益林地</w:t>
            </w:r>
            <w:r>
              <w:rPr>
                <w:color w:val="auto"/>
                <w:sz w:val="24"/>
                <w:szCs w:val="24"/>
                <w:highlight w:val="none"/>
              </w:rPr>
              <w:t>。因此，项目的建设符合《云南省主体功能区规划》要求。</w:t>
            </w:r>
          </w:p>
          <w:p w14:paraId="3CE8874E">
            <w:pPr>
              <w:spacing w:line="360" w:lineRule="auto"/>
              <w:ind w:firstLine="480" w:firstLineChars="200"/>
              <w:rPr>
                <w:color w:val="auto"/>
                <w:sz w:val="24"/>
                <w:szCs w:val="24"/>
                <w:highlight w:val="none"/>
              </w:rPr>
            </w:pPr>
            <w:r>
              <w:rPr>
                <w:rFonts w:hint="eastAsia"/>
                <w:color w:val="auto"/>
                <w:sz w:val="24"/>
                <w:szCs w:val="24"/>
                <w:highlight w:val="none"/>
              </w:rPr>
              <w:t>根据</w:t>
            </w:r>
            <w:r>
              <w:rPr>
                <w:rFonts w:ascii="宋体" w:hAnsi="宋体" w:cs="宋体"/>
                <w:color w:val="auto"/>
                <w:sz w:val="24"/>
                <w:szCs w:val="24"/>
                <w:highlight w:val="none"/>
              </w:rPr>
              <w:t>《烟火爆竹批发仓库建设标准》(建标125-2009)</w:t>
            </w:r>
            <w:r>
              <w:rPr>
                <w:rFonts w:hint="eastAsia" w:ascii="宋体" w:hAnsi="宋体" w:cs="宋体"/>
                <w:color w:val="auto"/>
                <w:sz w:val="24"/>
                <w:szCs w:val="24"/>
                <w:highlight w:val="none"/>
              </w:rPr>
              <w:t>来看，项目区</w:t>
            </w:r>
            <w:r>
              <w:rPr>
                <w:color w:val="auto"/>
                <w:sz w:val="24"/>
                <w:szCs w:val="24"/>
                <w:highlight w:val="none"/>
                <w:lang w:val="zh-CN"/>
              </w:rPr>
              <w:t>四周都是</w:t>
            </w:r>
            <w:r>
              <w:rPr>
                <w:rFonts w:hint="eastAsia"/>
                <w:color w:val="auto"/>
                <w:sz w:val="24"/>
                <w:szCs w:val="24"/>
                <w:highlight w:val="none"/>
                <w:lang w:val="en-US" w:eastAsia="zh-CN"/>
              </w:rPr>
              <w:t>林</w:t>
            </w:r>
            <w:r>
              <w:rPr>
                <w:color w:val="auto"/>
                <w:sz w:val="24"/>
                <w:szCs w:val="24"/>
                <w:highlight w:val="none"/>
                <w:lang w:val="zh-CN"/>
              </w:rPr>
              <w:t>地，坡势平缓，地貌简单</w:t>
            </w:r>
            <w:r>
              <w:rPr>
                <w:rFonts w:hint="eastAsia"/>
                <w:color w:val="auto"/>
                <w:sz w:val="24"/>
                <w:szCs w:val="24"/>
                <w:highlight w:val="none"/>
                <w:lang w:val="zh-CN"/>
              </w:rPr>
              <w:t>，</w:t>
            </w:r>
            <w:r>
              <w:rPr>
                <w:rFonts w:hint="eastAsia"/>
                <w:color w:val="auto"/>
                <w:sz w:val="24"/>
                <w:szCs w:val="24"/>
                <w:highlight w:val="none"/>
              </w:rPr>
              <w:t>不是洪水或者内涝威胁的地区、不是存在地质危害的地段、周围无其他污染源及易燃易爆危险场所</w:t>
            </w:r>
            <w:r>
              <w:rPr>
                <w:color w:val="auto"/>
                <w:sz w:val="24"/>
                <w:szCs w:val="24"/>
                <w:highlight w:val="none"/>
                <w:lang w:val="zh-CN"/>
              </w:rPr>
              <w:t>；该地</w:t>
            </w:r>
            <w:r>
              <w:rPr>
                <w:rFonts w:hint="eastAsia"/>
                <w:color w:val="auto"/>
                <w:sz w:val="24"/>
                <w:szCs w:val="24"/>
                <w:highlight w:val="none"/>
                <w:lang w:val="en-US" w:eastAsia="zh-CN"/>
              </w:rPr>
              <w:t>1</w:t>
            </w:r>
            <w:r>
              <w:rPr>
                <w:color w:val="auto"/>
                <w:sz w:val="24"/>
                <w:szCs w:val="24"/>
                <w:highlight w:val="none"/>
                <w:lang w:val="zh-CN"/>
              </w:rPr>
              <w:t>00m范围内无任何建筑物，</w:t>
            </w:r>
            <w:r>
              <w:rPr>
                <w:color w:val="auto"/>
                <w:sz w:val="24"/>
                <w:szCs w:val="24"/>
                <w:highlight w:val="none"/>
              </w:rPr>
              <w:t>300m范围内无</w:t>
            </w:r>
            <w:r>
              <w:rPr>
                <w:color w:val="auto"/>
                <w:sz w:val="24"/>
                <w:szCs w:val="24"/>
                <w:highlight w:val="none"/>
                <w:lang w:val="zh-CN"/>
              </w:rPr>
              <w:t>高压输电线路等设施，1000m范围内无学校、机关、铁路、工业区、旅游区</w:t>
            </w:r>
            <w:r>
              <w:rPr>
                <w:rFonts w:hint="eastAsia"/>
                <w:color w:val="auto"/>
                <w:sz w:val="24"/>
                <w:szCs w:val="24"/>
                <w:highlight w:val="none"/>
                <w:lang w:val="en-US" w:eastAsia="zh-CN"/>
              </w:rPr>
              <w:t>等</w:t>
            </w:r>
            <w:r>
              <w:rPr>
                <w:color w:val="auto"/>
                <w:sz w:val="24"/>
                <w:szCs w:val="24"/>
                <w:highlight w:val="none"/>
                <w:lang w:val="zh-CN"/>
              </w:rPr>
              <w:t>重点建筑，</w:t>
            </w:r>
            <w:r>
              <w:rPr>
                <w:rFonts w:hint="eastAsia"/>
                <w:color w:val="auto"/>
                <w:sz w:val="24"/>
                <w:szCs w:val="24"/>
                <w:highlight w:val="none"/>
              </w:rPr>
              <w:t>库区周围</w:t>
            </w:r>
            <w:r>
              <w:rPr>
                <w:color w:val="auto"/>
                <w:sz w:val="24"/>
                <w:szCs w:val="24"/>
                <w:highlight w:val="none"/>
                <w:lang w:val="zh-CN"/>
              </w:rPr>
              <w:t>交通方便。用电、给排水配套设施方便。周边安全环境较好</w:t>
            </w:r>
            <w:r>
              <w:rPr>
                <w:rFonts w:hint="eastAsia"/>
                <w:color w:val="auto"/>
                <w:sz w:val="24"/>
                <w:szCs w:val="24"/>
                <w:highlight w:val="none"/>
                <w:lang w:val="zh-CN"/>
              </w:rPr>
              <w:t>，</w:t>
            </w:r>
            <w:r>
              <w:rPr>
                <w:rFonts w:hint="eastAsia"/>
                <w:color w:val="auto"/>
                <w:sz w:val="24"/>
                <w:szCs w:val="24"/>
                <w:highlight w:val="none"/>
              </w:rPr>
              <w:t>根据表1-4危险品仓库区1.3</w:t>
            </w:r>
            <w:r>
              <w:rPr>
                <w:rFonts w:hint="eastAsia"/>
                <w:color w:val="auto"/>
                <w:sz w:val="24"/>
                <w:szCs w:val="24"/>
                <w:highlight w:val="none"/>
                <w:lang w:eastAsia="zh-CN"/>
              </w:rPr>
              <w:t>、</w:t>
            </w:r>
            <w:r>
              <w:rPr>
                <w:rFonts w:hint="eastAsia"/>
                <w:color w:val="auto"/>
                <w:sz w:val="24"/>
                <w:szCs w:val="24"/>
                <w:highlight w:val="none"/>
                <w:lang w:val="en-US" w:eastAsia="zh-CN"/>
              </w:rPr>
              <w:t>1.1</w:t>
            </w:r>
            <w:r>
              <w:rPr>
                <w:rFonts w:hint="eastAsia"/>
                <w:color w:val="auto"/>
                <w:sz w:val="24"/>
                <w:szCs w:val="24"/>
                <w:highlight w:val="none"/>
                <w:vertAlign w:val="superscript"/>
                <w:lang w:val="en-US" w:eastAsia="zh-CN"/>
              </w:rPr>
              <w:t>-2</w:t>
            </w:r>
            <w:r>
              <w:rPr>
                <w:rFonts w:hint="eastAsia"/>
                <w:color w:val="auto"/>
                <w:sz w:val="24"/>
                <w:szCs w:val="24"/>
                <w:highlight w:val="none"/>
              </w:rPr>
              <w:t>级主要危险性建筑物外部距离核算明细表和表1-5危险品总仓库内1.3</w:t>
            </w:r>
            <w:r>
              <w:rPr>
                <w:rFonts w:hint="eastAsia"/>
                <w:color w:val="auto"/>
                <w:sz w:val="24"/>
                <w:szCs w:val="24"/>
                <w:highlight w:val="none"/>
                <w:lang w:eastAsia="zh-CN"/>
              </w:rPr>
              <w:t>、</w:t>
            </w:r>
            <w:r>
              <w:rPr>
                <w:rFonts w:hint="eastAsia"/>
                <w:color w:val="auto"/>
                <w:sz w:val="24"/>
                <w:szCs w:val="24"/>
                <w:highlight w:val="none"/>
                <w:lang w:val="en-US" w:eastAsia="zh-CN"/>
              </w:rPr>
              <w:t>1.1</w:t>
            </w:r>
            <w:r>
              <w:rPr>
                <w:rFonts w:hint="eastAsia"/>
                <w:color w:val="auto"/>
                <w:sz w:val="24"/>
                <w:szCs w:val="24"/>
                <w:highlight w:val="none"/>
                <w:vertAlign w:val="superscript"/>
                <w:lang w:val="en-US" w:eastAsia="zh-CN"/>
              </w:rPr>
              <w:t>-2</w:t>
            </w:r>
            <w:r>
              <w:rPr>
                <w:rFonts w:hint="eastAsia"/>
                <w:color w:val="auto"/>
                <w:sz w:val="24"/>
                <w:szCs w:val="24"/>
                <w:highlight w:val="none"/>
              </w:rPr>
              <w:t>级仓库与邻近危险品仓库的内部距离核算明细表说明</w:t>
            </w:r>
            <w:r>
              <w:rPr>
                <w:color w:val="auto"/>
                <w:sz w:val="24"/>
                <w:szCs w:val="24"/>
                <w:highlight w:val="none"/>
              </w:rPr>
              <w:t>项目建设均</w:t>
            </w:r>
            <w:r>
              <w:rPr>
                <w:color w:val="auto"/>
                <w:sz w:val="24"/>
                <w:szCs w:val="24"/>
                <w:highlight w:val="none"/>
                <w:lang w:val="zh-CN"/>
              </w:rPr>
              <w:t>符合</w:t>
            </w:r>
            <w:r>
              <w:rPr>
                <w:rFonts w:ascii="宋体" w:hAnsi="宋体" w:cs="宋体"/>
                <w:color w:val="auto"/>
                <w:sz w:val="24"/>
                <w:szCs w:val="24"/>
                <w:highlight w:val="none"/>
              </w:rPr>
              <w:t>《烟火爆竹批发仓库建设标准》(建标125-2009)</w:t>
            </w:r>
            <w:r>
              <w:rPr>
                <w:rFonts w:hint="eastAsia" w:ascii="宋体" w:hAnsi="宋体" w:cs="宋体"/>
                <w:color w:val="auto"/>
                <w:sz w:val="24"/>
                <w:szCs w:val="24"/>
                <w:highlight w:val="none"/>
              </w:rPr>
              <w:t>和</w:t>
            </w:r>
            <w:r>
              <w:rPr>
                <w:color w:val="auto"/>
                <w:sz w:val="24"/>
                <w:szCs w:val="24"/>
                <w:highlight w:val="none"/>
              </w:rPr>
              <w:t>《烟花爆竹工程设计安全规范》(GB50161-20</w:t>
            </w:r>
            <w:r>
              <w:rPr>
                <w:rFonts w:hint="eastAsia"/>
                <w:color w:val="auto"/>
                <w:sz w:val="24"/>
                <w:szCs w:val="24"/>
                <w:highlight w:val="none"/>
                <w:lang w:val="en-US" w:eastAsia="zh-CN"/>
              </w:rPr>
              <w:t>22</w:t>
            </w:r>
            <w:r>
              <w:rPr>
                <w:color w:val="auto"/>
                <w:sz w:val="24"/>
                <w:szCs w:val="24"/>
                <w:highlight w:val="none"/>
              </w:rPr>
              <w:t>)</w:t>
            </w:r>
            <w:r>
              <w:rPr>
                <w:rFonts w:hint="eastAsia"/>
                <w:color w:val="auto"/>
                <w:sz w:val="24"/>
                <w:szCs w:val="24"/>
                <w:highlight w:val="none"/>
              </w:rPr>
              <w:t>，项目选址也符合</w:t>
            </w:r>
            <w:r>
              <w:rPr>
                <w:color w:val="auto"/>
                <w:sz w:val="24"/>
                <w:szCs w:val="24"/>
                <w:highlight w:val="none"/>
                <w:lang w:val="zh-CN"/>
              </w:rPr>
              <w:t>《云南省牛栏江保护条例》、《牛栏江流域（云南部分）水环境保护规划（2009~2030）》、《牛栏江流域（寻甸段）水环境保护规划（2011~2030）》</w:t>
            </w:r>
            <w:r>
              <w:rPr>
                <w:color w:val="auto"/>
                <w:sz w:val="24"/>
                <w:szCs w:val="24"/>
                <w:highlight w:val="none"/>
              </w:rPr>
              <w:t>的总体要求</w:t>
            </w:r>
            <w:r>
              <w:rPr>
                <w:color w:val="auto"/>
                <w:sz w:val="24"/>
                <w:szCs w:val="24"/>
                <w:highlight w:val="none"/>
                <w:lang w:val="zh-CN"/>
              </w:rPr>
              <w:t>。</w:t>
            </w:r>
            <w:r>
              <w:rPr>
                <w:rFonts w:hint="eastAsia"/>
                <w:color w:val="auto"/>
                <w:sz w:val="24"/>
                <w:szCs w:val="24"/>
                <w:highlight w:val="none"/>
              </w:rPr>
              <w:t>项目安全预评价主要结论为</w:t>
            </w:r>
            <w:r>
              <w:rPr>
                <w:rFonts w:hint="eastAsia"/>
                <w:color w:val="auto"/>
                <w:sz w:val="24"/>
                <w:szCs w:val="24"/>
                <w:highlight w:val="none"/>
                <w:lang w:val="zh-CN"/>
              </w:rPr>
              <w:t>昆明优竹商贸有限公司烟花爆竹储存库区建设项目设计符合</w:t>
            </w:r>
            <w:r>
              <w:rPr>
                <w:color w:val="auto"/>
                <w:sz w:val="24"/>
                <w:szCs w:val="24"/>
                <w:highlight w:val="none"/>
              </w:rPr>
              <w:t>《烟花爆竹工程设计安全规范》(GB50161-20</w:t>
            </w:r>
            <w:r>
              <w:rPr>
                <w:rFonts w:hint="eastAsia"/>
                <w:color w:val="auto"/>
                <w:sz w:val="24"/>
                <w:szCs w:val="24"/>
                <w:highlight w:val="none"/>
                <w:lang w:val="en-US" w:eastAsia="zh-CN"/>
              </w:rPr>
              <w:t>22</w:t>
            </w:r>
            <w:r>
              <w:rPr>
                <w:color w:val="auto"/>
                <w:sz w:val="24"/>
                <w:szCs w:val="24"/>
                <w:highlight w:val="none"/>
              </w:rPr>
              <w:t>)</w:t>
            </w:r>
            <w:r>
              <w:rPr>
                <w:rFonts w:hint="eastAsia"/>
                <w:color w:val="auto"/>
                <w:sz w:val="24"/>
                <w:szCs w:val="24"/>
                <w:highlight w:val="none"/>
                <w:lang w:val="zh-CN"/>
              </w:rPr>
              <w:t>、《烟花爆竹企业安全监控系统通用技术条件》（AQ4101-2008）相关标准的要求。在将本评价报告提出的安全对策措施建议落实到下阶段的施工管理活动中，定期检测各项安全对策措施的有效性，切实贯彻执行劳动安全卫生“三同时”的规定后，该项目的危险、有害因素可处于受控状态，风险是可以接受的。</w:t>
            </w:r>
            <w:r>
              <w:rPr>
                <w:color w:val="auto"/>
                <w:sz w:val="24"/>
                <w:szCs w:val="24"/>
                <w:highlight w:val="none"/>
              </w:rPr>
              <w:t>根据</w:t>
            </w:r>
            <w:r>
              <w:rPr>
                <w:color w:val="auto"/>
                <w:sz w:val="24"/>
                <w:szCs w:val="24"/>
                <w:highlight w:val="none"/>
                <w:lang w:val="zh-CN"/>
              </w:rPr>
              <w:t>《</w:t>
            </w:r>
            <w:r>
              <w:rPr>
                <w:color w:val="auto"/>
                <w:sz w:val="24"/>
                <w:szCs w:val="24"/>
                <w:highlight w:val="none"/>
              </w:rPr>
              <w:t>昆明优竹商贸有限公司烟花爆竹存储仓库</w:t>
            </w:r>
            <w:r>
              <w:rPr>
                <w:rFonts w:hint="eastAsia"/>
                <w:color w:val="auto"/>
                <w:sz w:val="24"/>
                <w:szCs w:val="24"/>
                <w:highlight w:val="none"/>
                <w:lang w:val="en-US" w:eastAsia="zh-CN"/>
              </w:rPr>
              <w:t>改扩</w:t>
            </w:r>
            <w:r>
              <w:rPr>
                <w:color w:val="auto"/>
                <w:sz w:val="24"/>
                <w:szCs w:val="24"/>
                <w:highlight w:val="none"/>
              </w:rPr>
              <w:t>建项目安全</w:t>
            </w:r>
            <w:r>
              <w:rPr>
                <w:rFonts w:hint="eastAsia"/>
                <w:color w:val="auto"/>
                <w:sz w:val="24"/>
                <w:szCs w:val="24"/>
                <w:highlight w:val="none"/>
                <w:lang w:val="en-US" w:eastAsia="zh-CN"/>
              </w:rPr>
              <w:t>预评价报告</w:t>
            </w:r>
            <w:r>
              <w:rPr>
                <w:color w:val="auto"/>
                <w:sz w:val="24"/>
                <w:szCs w:val="24"/>
                <w:highlight w:val="none"/>
                <w:lang w:val="zh-CN"/>
              </w:rPr>
              <w:t>》</w:t>
            </w:r>
            <w:r>
              <w:rPr>
                <w:color w:val="auto"/>
                <w:sz w:val="24"/>
                <w:szCs w:val="24"/>
                <w:highlight w:val="none"/>
              </w:rPr>
              <w:t>，</w:t>
            </w:r>
            <w:r>
              <w:rPr>
                <w:rFonts w:hint="eastAsia"/>
                <w:color w:val="auto"/>
                <w:sz w:val="24"/>
                <w:szCs w:val="24"/>
                <w:highlight w:val="none"/>
                <w:lang w:val="en-US" w:eastAsia="zh-CN"/>
              </w:rPr>
              <w:t>《昆明市应急管理局关于</w:t>
            </w:r>
            <w:r>
              <w:rPr>
                <w:color w:val="auto"/>
                <w:sz w:val="24"/>
                <w:szCs w:val="24"/>
                <w:highlight w:val="none"/>
              </w:rPr>
              <w:t>昆明优竹商贸有限公司</w:t>
            </w:r>
            <w:r>
              <w:rPr>
                <w:rFonts w:hint="eastAsia"/>
                <w:color w:val="auto"/>
                <w:sz w:val="24"/>
                <w:szCs w:val="24"/>
                <w:highlight w:val="none"/>
                <w:lang w:val="en-US" w:eastAsia="zh-CN"/>
              </w:rPr>
              <w:t>改扩</w:t>
            </w:r>
            <w:r>
              <w:rPr>
                <w:color w:val="auto"/>
                <w:sz w:val="24"/>
                <w:szCs w:val="24"/>
                <w:highlight w:val="none"/>
              </w:rPr>
              <w:t>建烟花爆竹存储仓库</w:t>
            </w:r>
            <w:r>
              <w:rPr>
                <w:rFonts w:hint="eastAsia"/>
                <w:color w:val="auto"/>
                <w:sz w:val="24"/>
                <w:szCs w:val="24"/>
                <w:highlight w:val="none"/>
                <w:lang w:val="en-US" w:eastAsia="zh-CN"/>
              </w:rPr>
              <w:t>的请示的回复函》</w:t>
            </w:r>
            <w:r>
              <w:rPr>
                <w:color w:val="auto"/>
                <w:sz w:val="24"/>
                <w:szCs w:val="24"/>
                <w:highlight w:val="none"/>
              </w:rPr>
              <w:t>（附件</w:t>
            </w:r>
            <w:r>
              <w:rPr>
                <w:rFonts w:hint="eastAsia"/>
                <w:color w:val="auto"/>
                <w:sz w:val="24"/>
                <w:szCs w:val="24"/>
                <w:highlight w:val="none"/>
                <w:lang w:val="en-US" w:eastAsia="zh-CN"/>
              </w:rPr>
              <w:t>13</w:t>
            </w:r>
            <w:r>
              <w:rPr>
                <w:color w:val="auto"/>
                <w:sz w:val="24"/>
                <w:szCs w:val="24"/>
                <w:highlight w:val="none"/>
              </w:rPr>
              <w:t>）</w:t>
            </w:r>
            <w:r>
              <w:rPr>
                <w:rFonts w:hint="eastAsia"/>
                <w:color w:val="auto"/>
                <w:sz w:val="24"/>
                <w:szCs w:val="24"/>
                <w:highlight w:val="none"/>
              </w:rPr>
              <w:t>的结论：原则同意关于新建1栋1.1级、2栋1.3级烟花爆竹储存仓库的请示。</w:t>
            </w:r>
          </w:p>
          <w:p w14:paraId="5FA56EC0">
            <w:pPr>
              <w:spacing w:line="360" w:lineRule="auto"/>
              <w:ind w:firstLine="480" w:firstLineChars="200"/>
              <w:rPr>
                <w:color w:val="auto"/>
                <w:sz w:val="24"/>
                <w:szCs w:val="24"/>
                <w:highlight w:val="none"/>
              </w:rPr>
            </w:pPr>
            <w:r>
              <w:rPr>
                <w:color w:val="auto"/>
                <w:sz w:val="24"/>
                <w:szCs w:val="24"/>
                <w:highlight w:val="none"/>
              </w:rPr>
              <w:t>综上所述，项目选址合理。</w:t>
            </w:r>
          </w:p>
          <w:p w14:paraId="4339C1E6">
            <w:pPr>
              <w:spacing w:line="360" w:lineRule="auto"/>
              <w:ind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12、平面布置合理性分析</w:t>
            </w:r>
          </w:p>
          <w:p w14:paraId="63348E63">
            <w:pPr>
              <w:spacing w:line="360" w:lineRule="auto"/>
              <w:ind w:firstLine="480" w:firstLineChars="200"/>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color w:val="auto"/>
                <w:sz w:val="24"/>
                <w:szCs w:val="24"/>
                <w:highlight w:val="none"/>
              </w:rPr>
              <w:t>本次</w:t>
            </w:r>
            <w:r>
              <w:rPr>
                <w:rFonts w:hint="default" w:ascii="Times New Roman" w:hAnsi="Times New Roman" w:eastAsia="宋体" w:cs="Times New Roman"/>
                <w:color w:val="auto"/>
                <w:sz w:val="24"/>
                <w:szCs w:val="24"/>
                <w:highlight w:val="none"/>
                <w:lang w:val="en-US" w:eastAsia="zh-CN"/>
              </w:rPr>
              <w:t>扩建</w:t>
            </w: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val="en-US" w:eastAsia="zh-CN"/>
              </w:rPr>
              <w:t>共三个地块</w:t>
            </w:r>
            <w:r>
              <w:rPr>
                <w:rFonts w:hint="default" w:ascii="Times New Roman" w:hAnsi="Times New Roman" w:eastAsia="宋体" w:cs="Times New Roman"/>
                <w:color w:val="auto"/>
                <w:sz w:val="24"/>
                <w:szCs w:val="24"/>
                <w:highlight w:val="none"/>
              </w:rPr>
              <w:t>，</w:t>
            </w:r>
            <w:r>
              <w:rPr>
                <w:color w:val="auto"/>
                <w:sz w:val="24"/>
                <w:szCs w:val="24"/>
                <w:highlight w:val="none"/>
              </w:rPr>
              <w:t>项目总占地</w:t>
            </w:r>
            <w:r>
              <w:rPr>
                <w:rFonts w:hint="eastAsia" w:ascii="Times New Roman" w:hAnsi="Times New Roman" w:eastAsia="宋体" w:cs="Times New Roman"/>
                <w:color w:val="auto"/>
                <w:sz w:val="24"/>
                <w:szCs w:val="24"/>
                <w:highlight w:val="none"/>
                <w:lang w:val="en-US" w:eastAsia="zh-CN"/>
              </w:rPr>
              <w:t>24</w:t>
            </w:r>
            <w:r>
              <w:rPr>
                <w:rFonts w:hint="eastAsia" w:cs="Times New Roman"/>
                <w:color w:val="auto"/>
                <w:sz w:val="24"/>
                <w:szCs w:val="24"/>
                <w:highlight w:val="none"/>
                <w:lang w:val="en-US" w:eastAsia="zh-CN"/>
              </w:rPr>
              <w:t>465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eastAsia" w:ascii="Times New Roman" w:hAnsi="Times New Roman" w:eastAsia="宋体" w:cs="Times New Roman"/>
                <w:color w:val="auto"/>
                <w:sz w:val="24"/>
                <w:szCs w:val="24"/>
                <w:highlight w:val="none"/>
                <w:vertAlign w:val="baseline"/>
                <w:lang w:eastAsia="zh-CN"/>
              </w:rPr>
              <w:t>，</w:t>
            </w:r>
            <w:r>
              <w:rPr>
                <w:rFonts w:hint="eastAsia" w:cs="Times New Roman"/>
                <w:color w:val="auto"/>
                <w:sz w:val="24"/>
                <w:szCs w:val="24"/>
                <w:highlight w:val="none"/>
                <w:lang w:val="en-US" w:eastAsia="zh-CN"/>
              </w:rPr>
              <w:t>其中：</w:t>
            </w:r>
            <w:r>
              <w:rPr>
                <w:rFonts w:hint="default" w:ascii="Times New Roman" w:hAnsi="Times New Roman" w:eastAsia="宋体" w:cs="Times New Roman"/>
                <w:color w:val="auto"/>
                <w:sz w:val="24"/>
                <w:szCs w:val="24"/>
                <w:highlight w:val="none"/>
              </w:rPr>
              <w:t>地块</w:t>
            </w:r>
            <w:r>
              <w:rPr>
                <w:rFonts w:hint="default" w:ascii="Times New Roman" w:hAnsi="Times New Roman" w:eastAsia="宋体"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总占地面积</w:t>
            </w:r>
            <w:r>
              <w:rPr>
                <w:rFonts w:hint="default" w:ascii="Times New Roman" w:hAnsi="Times New Roman" w:eastAsia="宋体" w:cs="Times New Roman"/>
                <w:color w:val="auto"/>
                <w:sz w:val="24"/>
                <w:szCs w:val="24"/>
                <w:highlight w:val="none"/>
                <w:lang w:val="en-US" w:eastAsia="zh-CN"/>
              </w:rPr>
              <w:t>94</w:t>
            </w:r>
            <w:r>
              <w:rPr>
                <w:rFonts w:hint="eastAsia"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，其中1.3级</w:t>
            </w:r>
            <w:r>
              <w:rPr>
                <w:rFonts w:hint="eastAsia" w:cs="Times New Roman"/>
                <w:color w:val="auto"/>
                <w:sz w:val="24"/>
                <w:szCs w:val="24"/>
                <w:highlight w:val="none"/>
                <w:lang w:val="en-US" w:eastAsia="zh-CN"/>
              </w:rPr>
              <w:t>1000</w:t>
            </w:r>
            <w:r>
              <w:rPr>
                <w:rFonts w:hint="default" w:ascii="Times New Roman" w:hAnsi="Times New Roman" w:eastAsia="宋体" w:cs="Times New Roman"/>
                <w:color w:val="auto"/>
                <w:sz w:val="24"/>
                <w:szCs w:val="24"/>
                <w:highlight w:val="none"/>
              </w:rPr>
              <w:t>m²存储仓库2栋</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i w:val="0"/>
                <w:iCs w:val="0"/>
                <w:color w:val="auto"/>
                <w:sz w:val="24"/>
                <w:szCs w:val="24"/>
                <w:highlight w:val="none"/>
                <w:lang w:val="en-US" w:eastAsia="zh-CN"/>
              </w:rPr>
              <w:t>地块二</w:t>
            </w:r>
            <w:r>
              <w:rPr>
                <w:rFonts w:hint="default" w:ascii="Times New Roman" w:hAnsi="Times New Roman" w:eastAsia="宋体" w:cs="Times New Roman"/>
                <w:i w:val="0"/>
                <w:iCs w:val="0"/>
                <w:color w:val="auto"/>
                <w:sz w:val="24"/>
                <w:szCs w:val="24"/>
                <w:highlight w:val="none"/>
              </w:rPr>
              <w:t>占地面积约为</w:t>
            </w:r>
            <w:r>
              <w:rPr>
                <w:rFonts w:hint="eastAsia" w:ascii="Times New Roman" w:hAnsi="Times New Roman" w:eastAsia="宋体" w:cs="Times New Roman"/>
                <w:i w:val="0"/>
                <w:iCs w:val="0"/>
                <w:color w:val="auto"/>
                <w:sz w:val="24"/>
                <w:szCs w:val="24"/>
                <w:highlight w:val="none"/>
                <w:lang w:val="en-US" w:eastAsia="zh-CN"/>
              </w:rPr>
              <w:t>713</w:t>
            </w:r>
            <w:r>
              <w:rPr>
                <w:rFonts w:hint="eastAsia" w:cs="Times New Roman"/>
                <w:i w:val="0"/>
                <w:iCs w:val="0"/>
                <w:color w:val="auto"/>
                <w:sz w:val="24"/>
                <w:szCs w:val="24"/>
                <w:highlight w:val="none"/>
                <w:lang w:val="en-US" w:eastAsia="zh-CN"/>
              </w:rPr>
              <w:t>0</w:t>
            </w:r>
            <w:r>
              <w:rPr>
                <w:rFonts w:hint="default" w:ascii="Times New Roman" w:hAnsi="Times New Roman" w:eastAsia="宋体" w:cs="Times New Roman"/>
                <w:i w:val="0"/>
                <w:iCs w:val="0"/>
                <w:color w:val="auto"/>
                <w:sz w:val="24"/>
                <w:szCs w:val="24"/>
                <w:highlight w:val="none"/>
              </w:rPr>
              <w:t>m</w:t>
            </w:r>
            <w:r>
              <w:rPr>
                <w:rFonts w:hint="default" w:ascii="Times New Roman" w:hAnsi="Times New Roman" w:eastAsia="宋体" w:cs="Times New Roman"/>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vertAlign w:val="baseline"/>
                <w:lang w:eastAsia="zh-CN"/>
              </w:rPr>
              <w:t>。</w:t>
            </w:r>
            <w:r>
              <w:rPr>
                <w:rFonts w:hint="default" w:ascii="Times New Roman" w:hAnsi="Times New Roman" w:eastAsia="宋体" w:cs="Times New Roman"/>
                <w:i w:val="0"/>
                <w:iCs w:val="0"/>
                <w:color w:val="auto"/>
                <w:sz w:val="24"/>
                <w:szCs w:val="24"/>
                <w:highlight w:val="none"/>
              </w:rPr>
              <w:t>其中1.</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级</w:t>
            </w:r>
            <w:r>
              <w:rPr>
                <w:rFonts w:hint="eastAsia" w:cs="Times New Roman"/>
                <w:i w:val="0"/>
                <w:iCs w:val="0"/>
                <w:color w:val="auto"/>
                <w:sz w:val="24"/>
                <w:szCs w:val="24"/>
                <w:highlight w:val="none"/>
                <w:lang w:val="en-US" w:eastAsia="zh-CN"/>
              </w:rPr>
              <w:t>500</w:t>
            </w:r>
            <w:r>
              <w:rPr>
                <w:rFonts w:hint="default" w:ascii="Times New Roman" w:hAnsi="Times New Roman" w:eastAsia="宋体" w:cs="Times New Roman"/>
                <w:i w:val="0"/>
                <w:iCs w:val="0"/>
                <w:color w:val="auto"/>
                <w:sz w:val="24"/>
                <w:szCs w:val="24"/>
                <w:highlight w:val="none"/>
              </w:rPr>
              <w:t>m²存储仓库</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栋</w:t>
            </w:r>
            <w:r>
              <w:rPr>
                <w:rFonts w:hint="default" w:ascii="Times New Roman" w:hAnsi="Times New Roman" w:eastAsia="宋体" w:cs="Times New Roman"/>
                <w:i w:val="0"/>
                <w:iCs w:val="0"/>
                <w:color w:val="auto"/>
                <w:sz w:val="24"/>
                <w:szCs w:val="24"/>
                <w:highlight w:val="none"/>
                <w:lang w:eastAsia="zh-CN"/>
              </w:rPr>
              <w:t>，</w:t>
            </w:r>
            <w:r>
              <w:rPr>
                <w:rFonts w:hint="default" w:ascii="Times New Roman" w:hAnsi="Times New Roman" w:eastAsia="宋体" w:cs="Times New Roman"/>
                <w:i w:val="0"/>
                <w:iCs w:val="0"/>
                <w:color w:val="auto"/>
                <w:sz w:val="24"/>
                <w:szCs w:val="24"/>
                <w:highlight w:val="none"/>
              </w:rPr>
              <w:t>并配套建设值班室等相关设施，</w:t>
            </w:r>
            <w:r>
              <w:rPr>
                <w:rFonts w:hint="default" w:ascii="Times New Roman" w:hAnsi="Times New Roman" w:eastAsia="宋体" w:cs="Times New Roman"/>
                <w:i w:val="0"/>
                <w:iCs w:val="0"/>
                <w:color w:val="auto"/>
                <w:sz w:val="24"/>
                <w:szCs w:val="24"/>
                <w:highlight w:val="none"/>
                <w:lang w:val="en-US" w:eastAsia="zh-CN"/>
              </w:rPr>
              <w:t>地块三</w:t>
            </w:r>
            <w:r>
              <w:rPr>
                <w:rFonts w:hint="default" w:ascii="Times New Roman" w:hAnsi="Times New Roman" w:eastAsia="宋体" w:cs="Times New Roman"/>
                <w:i w:val="0"/>
                <w:iCs w:val="0"/>
                <w:color w:val="auto"/>
                <w:sz w:val="24"/>
                <w:szCs w:val="24"/>
                <w:highlight w:val="none"/>
              </w:rPr>
              <w:t>占地面积</w:t>
            </w:r>
            <w:r>
              <w:rPr>
                <w:rFonts w:hint="eastAsia"/>
                <w:i w:val="0"/>
                <w:iCs w:val="0"/>
                <w:color w:val="auto"/>
                <w:sz w:val="24"/>
                <w:szCs w:val="24"/>
                <w:highlight w:val="none"/>
                <w:lang w:val="en-US" w:eastAsia="zh-CN"/>
              </w:rPr>
              <w:t>7885</w:t>
            </w:r>
            <w:r>
              <w:rPr>
                <w:rFonts w:hint="default" w:ascii="Times New Roman" w:hAnsi="Times New Roman" w:eastAsia="宋体" w:cs="Times New Roman"/>
                <w:i w:val="0"/>
                <w:iCs w:val="0"/>
                <w:color w:val="auto"/>
                <w:sz w:val="24"/>
                <w:szCs w:val="24"/>
                <w:highlight w:val="none"/>
              </w:rPr>
              <w:t>m</w:t>
            </w:r>
            <w:r>
              <w:rPr>
                <w:rFonts w:hint="default" w:ascii="Times New Roman" w:hAnsi="Times New Roman" w:eastAsia="宋体" w:cs="Times New Roman"/>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rPr>
              <w:t>，新建企业展示厅1栋，</w:t>
            </w:r>
            <w:r>
              <w:rPr>
                <w:rFonts w:hint="eastAsia" w:ascii="Times New Roman" w:hAnsi="Times New Roman" w:eastAsia="宋体" w:cs="Times New Roman"/>
                <w:i w:val="0"/>
                <w:iCs w:val="0"/>
                <w:color w:val="auto"/>
                <w:sz w:val="24"/>
                <w:szCs w:val="24"/>
                <w:highlight w:val="none"/>
                <w:lang w:val="en-US" w:eastAsia="zh-CN"/>
              </w:rPr>
              <w:t>建筑面积</w:t>
            </w:r>
            <w:r>
              <w:rPr>
                <w:rFonts w:hint="eastAsia"/>
                <w:i w:val="0"/>
                <w:iCs w:val="0"/>
                <w:color w:val="auto"/>
                <w:sz w:val="24"/>
                <w:szCs w:val="24"/>
                <w:highlight w:val="none"/>
                <w:lang w:val="en-US" w:eastAsia="zh-CN"/>
              </w:rPr>
              <w:t>2200</w:t>
            </w:r>
            <w:r>
              <w:rPr>
                <w:i w:val="0"/>
                <w:iCs w:val="0"/>
                <w:color w:val="auto"/>
                <w:sz w:val="24"/>
                <w:szCs w:val="24"/>
                <w:highlight w:val="none"/>
              </w:rPr>
              <w:t>m</w:t>
            </w:r>
            <w:r>
              <w:rPr>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rPr>
              <w:t>，附属设施面积</w:t>
            </w:r>
            <w:r>
              <w:rPr>
                <w:rFonts w:hint="eastAsia"/>
                <w:i w:val="0"/>
                <w:iCs w:val="0"/>
                <w:color w:val="auto"/>
                <w:sz w:val="24"/>
                <w:szCs w:val="24"/>
                <w:highlight w:val="none"/>
                <w:lang w:val="en-US" w:eastAsia="zh-CN"/>
              </w:rPr>
              <w:t>800</w:t>
            </w:r>
            <w:r>
              <w:rPr>
                <w:i w:val="0"/>
                <w:iCs w:val="0"/>
                <w:color w:val="auto"/>
                <w:sz w:val="24"/>
                <w:szCs w:val="24"/>
                <w:highlight w:val="none"/>
              </w:rPr>
              <w:t>m</w:t>
            </w:r>
            <w:r>
              <w:rPr>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lang w:eastAsia="zh-CN"/>
              </w:rPr>
              <w:t>。</w:t>
            </w:r>
          </w:p>
          <w:p w14:paraId="2EB43AF4">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地块一</w:t>
            </w:r>
            <w:r>
              <w:rPr>
                <w:rFonts w:hint="eastAsia" w:ascii="宋体" w:hAnsi="宋体" w:eastAsia="宋体" w:cs="宋体"/>
                <w:b w:val="0"/>
                <w:bCs w:val="0"/>
                <w:color w:val="auto"/>
                <w:sz w:val="24"/>
                <w:szCs w:val="24"/>
              </w:rPr>
              <w:t>烟花爆竹库区分别设置</w:t>
            </w:r>
            <w:r>
              <w:rPr>
                <w:rFonts w:hint="default" w:ascii="Times New Roman PS MT" w:hAnsi="Times New Roman PS MT" w:eastAsia="Times New Roman PS MT" w:cs="Times New Roman PS MT"/>
                <w:b w:val="0"/>
                <w:bCs w:val="0"/>
                <w:color w:val="auto"/>
                <w:sz w:val="24"/>
                <w:szCs w:val="24"/>
              </w:rPr>
              <w:t>1</w:t>
            </w:r>
            <w:r>
              <w:rPr>
                <w:rFonts w:hint="eastAsia" w:ascii="宋体" w:hAnsi="宋体" w:eastAsia="宋体" w:cs="宋体"/>
                <w:b w:val="0"/>
                <w:bCs w:val="0"/>
                <w:color w:val="auto"/>
                <w:sz w:val="24"/>
                <w:szCs w:val="24"/>
              </w:rPr>
              <w:t>个消防器材库，</w:t>
            </w:r>
            <w:r>
              <w:rPr>
                <w:rFonts w:hint="default" w:ascii="Times New Roman PS MT" w:hAnsi="Times New Roman PS MT" w:eastAsia="Times New Roman PS MT" w:cs="Times New Roman PS MT"/>
                <w:b w:val="0"/>
                <w:bCs w:val="0"/>
                <w:color w:val="auto"/>
                <w:sz w:val="24"/>
                <w:szCs w:val="24"/>
              </w:rPr>
              <w:t>2</w:t>
            </w:r>
            <w:r>
              <w:rPr>
                <w:rFonts w:hint="eastAsia" w:ascii="宋体" w:hAnsi="宋体" w:eastAsia="宋体" w:cs="宋体"/>
                <w:b w:val="0"/>
                <w:bCs w:val="0"/>
                <w:color w:val="auto"/>
                <w:sz w:val="24"/>
                <w:szCs w:val="24"/>
              </w:rPr>
              <w:t>个</w:t>
            </w:r>
            <w:r>
              <w:rPr>
                <w:rFonts w:hint="default" w:ascii="Times New Roman PS MT" w:hAnsi="Times New Roman PS MT" w:eastAsia="Times New Roman PS MT" w:cs="Times New Roman PS MT"/>
                <w:b w:val="0"/>
                <w:bCs w:val="0"/>
                <w:color w:val="auto"/>
                <w:sz w:val="24"/>
                <w:szCs w:val="24"/>
              </w:rPr>
              <w:t>1.3</w:t>
            </w:r>
            <w:r>
              <w:rPr>
                <w:rFonts w:hint="eastAsia" w:ascii="宋体" w:hAnsi="宋体" w:eastAsia="宋体" w:cs="宋体"/>
                <w:b w:val="0"/>
                <w:bCs w:val="0"/>
                <w:color w:val="auto"/>
                <w:sz w:val="24"/>
                <w:szCs w:val="24"/>
              </w:rPr>
              <w:t>级仓库。</w:t>
            </w:r>
            <w:r>
              <w:rPr>
                <w:rFonts w:hint="eastAsia" w:ascii="宋体" w:hAnsi="宋体" w:eastAsia="宋体" w:cs="宋体"/>
                <w:b w:val="0"/>
                <w:bCs w:val="0"/>
                <w:color w:val="auto"/>
                <w:sz w:val="24"/>
                <w:szCs w:val="24"/>
                <w:lang w:val="en-US" w:eastAsia="zh-CN"/>
              </w:rPr>
              <w:t>1座</w:t>
            </w:r>
            <w:r>
              <w:rPr>
                <w:rFonts w:hint="eastAsia" w:ascii="宋体" w:hAnsi="宋体" w:eastAsia="宋体" w:cs="宋体"/>
                <w:b w:val="0"/>
                <w:bCs w:val="0"/>
                <w:color w:val="auto"/>
                <w:sz w:val="24"/>
                <w:szCs w:val="24"/>
              </w:rPr>
              <w:t>消防水池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消防水池</w:t>
            </w:r>
            <w:r>
              <w:rPr>
                <w:rFonts w:hint="eastAsia" w:ascii="宋体" w:hAnsi="宋体" w:eastAsia="宋体" w:cs="宋体"/>
                <w:b w:val="0"/>
                <w:bCs w:val="0"/>
                <w:color w:val="auto"/>
                <w:sz w:val="24"/>
                <w:szCs w:val="24"/>
              </w:rPr>
              <w:t>设置在西侧地势较高的</w:t>
            </w:r>
            <w:r>
              <w:rPr>
                <w:rFonts w:hint="eastAsia" w:ascii="宋体" w:hAnsi="宋体" w:eastAsia="宋体" w:cs="宋体"/>
                <w:b w:val="0"/>
                <w:bCs w:val="0"/>
                <w:color w:val="auto"/>
                <w:sz w:val="24"/>
                <w:szCs w:val="24"/>
                <w:lang w:val="en-US" w:eastAsia="zh-CN"/>
              </w:rPr>
              <w:t>位置</w:t>
            </w:r>
            <w:r>
              <w:rPr>
                <w:rFonts w:hint="eastAsia" w:ascii="宋体" w:hAnsi="宋体" w:eastAsia="宋体" w:cs="宋体"/>
                <w:b w:val="0"/>
                <w:bCs w:val="0"/>
                <w:color w:val="auto"/>
                <w:sz w:val="24"/>
                <w:szCs w:val="24"/>
              </w:rPr>
              <w:t>，库区各建筑物按《烟花爆竹工程设计安全标准》（</w:t>
            </w:r>
            <w:r>
              <w:rPr>
                <w:rFonts w:hint="default" w:ascii="Times New Roman PS MT" w:hAnsi="Times New Roman PS MT" w:eastAsia="Times New Roman PS MT" w:cs="Times New Roman PS MT"/>
                <w:b w:val="0"/>
                <w:bCs w:val="0"/>
                <w:color w:val="auto"/>
                <w:sz w:val="24"/>
                <w:szCs w:val="24"/>
              </w:rPr>
              <w:t>GB50161-2022</w:t>
            </w:r>
            <w:r>
              <w:rPr>
                <w:rFonts w:hint="eastAsia" w:ascii="宋体" w:hAnsi="宋体" w:eastAsia="宋体" w:cs="宋体"/>
                <w:b w:val="0"/>
                <w:bCs w:val="0"/>
                <w:color w:val="auto"/>
                <w:sz w:val="24"/>
                <w:szCs w:val="24"/>
              </w:rPr>
              <w:t>）及其他有关标准布置，</w:t>
            </w:r>
            <w:r>
              <w:rPr>
                <w:rFonts w:hint="eastAsia" w:ascii="宋体" w:hAnsi="宋体" w:eastAsia="宋体" w:cs="宋体"/>
                <w:b w:val="0"/>
                <w:bCs w:val="0"/>
                <w:color w:val="auto"/>
                <w:sz w:val="24"/>
                <w:szCs w:val="24"/>
                <w:lang w:val="en-US" w:eastAsia="zh-CN"/>
              </w:rPr>
              <w:t>仓库周边设6m宽防火隔离带，仓库之间最小距离为41.04m，</w:t>
            </w:r>
            <w:r>
              <w:rPr>
                <w:rFonts w:hint="eastAsia" w:ascii="宋体" w:hAnsi="宋体" w:eastAsia="宋体" w:cs="宋体"/>
                <w:b w:val="0"/>
                <w:bCs w:val="0"/>
                <w:color w:val="auto"/>
                <w:sz w:val="24"/>
                <w:szCs w:val="24"/>
              </w:rPr>
              <w:t>内部间距符合安全要求。</w:t>
            </w:r>
          </w:p>
          <w:p w14:paraId="44CC4C71">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地块二</w:t>
            </w:r>
            <w:r>
              <w:rPr>
                <w:rFonts w:hint="eastAsia" w:ascii="宋体" w:hAnsi="宋体" w:eastAsia="宋体" w:cs="宋体"/>
                <w:b w:val="0"/>
                <w:bCs w:val="0"/>
                <w:color w:val="auto"/>
                <w:sz w:val="24"/>
                <w:szCs w:val="24"/>
              </w:rPr>
              <w:t>烟花爆竹库区分别设置</w:t>
            </w:r>
            <w:r>
              <w:rPr>
                <w:rFonts w:hint="default" w:ascii="Times New Roman PS MT" w:hAnsi="Times New Roman PS MT" w:eastAsia="Times New Roman PS MT" w:cs="Times New Roman PS MT"/>
                <w:b w:val="0"/>
                <w:bCs w:val="0"/>
                <w:color w:val="auto"/>
                <w:sz w:val="24"/>
                <w:szCs w:val="24"/>
              </w:rPr>
              <w:t>1</w:t>
            </w:r>
            <w:r>
              <w:rPr>
                <w:rFonts w:hint="eastAsia" w:ascii="宋体" w:hAnsi="宋体" w:eastAsia="宋体" w:cs="宋体"/>
                <w:b w:val="0"/>
                <w:bCs w:val="0"/>
                <w:color w:val="auto"/>
                <w:sz w:val="24"/>
                <w:szCs w:val="24"/>
              </w:rPr>
              <w:t>个消防器材库，</w:t>
            </w:r>
            <w:r>
              <w:rPr>
                <w:rFonts w:hint="eastAsia" w:ascii="Times New Roman PS MT" w:hAnsi="Times New Roman PS MT" w:eastAsia="宋体" w:cs="Times New Roman PS MT"/>
                <w:b w:val="0"/>
                <w:bCs w:val="0"/>
                <w:color w:val="auto"/>
                <w:sz w:val="24"/>
                <w:szCs w:val="24"/>
                <w:lang w:val="en-US" w:eastAsia="zh-CN"/>
              </w:rPr>
              <w:t>1</w:t>
            </w:r>
            <w:r>
              <w:rPr>
                <w:rFonts w:hint="eastAsia" w:ascii="宋体" w:hAnsi="宋体" w:eastAsia="宋体" w:cs="宋体"/>
                <w:b w:val="0"/>
                <w:bCs w:val="0"/>
                <w:color w:val="auto"/>
                <w:sz w:val="24"/>
                <w:szCs w:val="24"/>
              </w:rPr>
              <w:t>个</w:t>
            </w:r>
            <w:r>
              <w:rPr>
                <w:rFonts w:hint="default" w:ascii="Times New Roman PS MT" w:hAnsi="Times New Roman PS MT" w:eastAsia="Times New Roman PS MT" w:cs="Times New Roman PS MT"/>
                <w:b w:val="0"/>
                <w:bCs w:val="0"/>
                <w:color w:val="auto"/>
                <w:sz w:val="24"/>
                <w:szCs w:val="24"/>
              </w:rPr>
              <w:t>1.</w:t>
            </w:r>
            <w:r>
              <w:rPr>
                <w:rFonts w:hint="eastAsia" w:ascii="Times New Roman PS MT" w:hAnsi="Times New Roman PS MT" w:eastAsia="宋体" w:cs="Times New Roman PS MT"/>
                <w:b w:val="0"/>
                <w:bCs w:val="0"/>
                <w:color w:val="auto"/>
                <w:sz w:val="24"/>
                <w:szCs w:val="24"/>
                <w:lang w:val="en-US" w:eastAsia="zh-CN"/>
              </w:rPr>
              <w:t>1</w:t>
            </w:r>
            <w:r>
              <w:rPr>
                <w:rFonts w:hint="eastAsia" w:ascii="宋体" w:hAnsi="宋体" w:eastAsia="宋体" w:cs="宋体"/>
                <w:b w:val="0"/>
                <w:bCs w:val="0"/>
                <w:color w:val="auto"/>
                <w:sz w:val="24"/>
                <w:szCs w:val="24"/>
              </w:rPr>
              <w:t>级仓库。</w:t>
            </w:r>
            <w:r>
              <w:rPr>
                <w:rFonts w:hint="eastAsia" w:ascii="宋体" w:hAnsi="宋体" w:eastAsia="宋体" w:cs="宋体"/>
                <w:b w:val="0"/>
                <w:bCs w:val="0"/>
                <w:color w:val="auto"/>
                <w:sz w:val="24"/>
                <w:szCs w:val="24"/>
                <w:lang w:val="en-US" w:eastAsia="zh-CN"/>
              </w:rPr>
              <w:t>1座</w:t>
            </w:r>
            <w:r>
              <w:rPr>
                <w:rFonts w:hint="eastAsia" w:ascii="宋体" w:hAnsi="宋体" w:eastAsia="宋体" w:cs="宋体"/>
                <w:b w:val="0"/>
                <w:bCs w:val="0"/>
                <w:color w:val="auto"/>
                <w:sz w:val="24"/>
                <w:szCs w:val="24"/>
              </w:rPr>
              <w:t>消防水池</w:t>
            </w:r>
            <w:r>
              <w:rPr>
                <w:rFonts w:hint="eastAsia" w:ascii="宋体" w:hAnsi="宋体" w:eastAsia="宋体" w:cs="宋体"/>
                <w:b w:val="0"/>
                <w:bCs w:val="0"/>
                <w:color w:val="auto"/>
                <w:sz w:val="24"/>
                <w:szCs w:val="24"/>
                <w:lang w:eastAsia="zh-CN"/>
              </w:rPr>
              <w:t>，</w:t>
            </w:r>
            <w:r>
              <w:rPr>
                <w:rFonts w:hint="eastAsia" w:ascii="宋体" w:hAnsi="宋体" w:cs="宋体"/>
                <w:b w:val="0"/>
                <w:bCs w:val="0"/>
                <w:color w:val="auto"/>
                <w:sz w:val="24"/>
                <w:szCs w:val="24"/>
                <w:lang w:val="en-US" w:eastAsia="zh-CN"/>
              </w:rPr>
              <w:t>1间保安室，消防水池位于西侧地势较高位置，仓库四周设有</w:t>
            </w:r>
            <w:r>
              <w:rPr>
                <w:rFonts w:hint="eastAsia"/>
                <w:color w:val="auto"/>
                <w:sz w:val="24"/>
                <w:szCs w:val="24"/>
                <w:highlight w:val="none"/>
                <w:lang w:val="en-US" w:eastAsia="zh-CN"/>
              </w:rPr>
              <w:t>防护土堤，土堤底部宽度为12m，仓库按</w:t>
            </w:r>
            <w:r>
              <w:rPr>
                <w:rFonts w:hint="eastAsia" w:ascii="宋体" w:hAnsi="宋体" w:eastAsia="宋体" w:cs="宋体"/>
                <w:b w:val="0"/>
                <w:bCs w:val="0"/>
                <w:color w:val="auto"/>
                <w:sz w:val="24"/>
                <w:szCs w:val="24"/>
              </w:rPr>
              <w:t>《烟花爆竹工程设计安全标准》（</w:t>
            </w:r>
            <w:r>
              <w:rPr>
                <w:rFonts w:hint="default" w:ascii="Times New Roman PS MT" w:hAnsi="Times New Roman PS MT" w:eastAsia="Times New Roman PS MT" w:cs="Times New Roman PS MT"/>
                <w:b w:val="0"/>
                <w:bCs w:val="0"/>
                <w:color w:val="auto"/>
                <w:sz w:val="24"/>
                <w:szCs w:val="24"/>
              </w:rPr>
              <w:t>GB50161-2022</w:t>
            </w:r>
            <w:r>
              <w:rPr>
                <w:rFonts w:hint="eastAsia" w:ascii="宋体" w:hAnsi="宋体" w:eastAsia="宋体" w:cs="宋体"/>
                <w:b w:val="0"/>
                <w:bCs w:val="0"/>
                <w:color w:val="auto"/>
                <w:sz w:val="24"/>
                <w:szCs w:val="24"/>
              </w:rPr>
              <w:t>）及其他有关标准布置</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仓库与保安室距离为112.52m，</w:t>
            </w:r>
            <w:r>
              <w:rPr>
                <w:rFonts w:hint="eastAsia" w:ascii="宋体" w:hAnsi="宋体" w:eastAsia="宋体" w:cs="宋体"/>
                <w:b w:val="0"/>
                <w:bCs w:val="0"/>
                <w:color w:val="auto"/>
                <w:sz w:val="24"/>
                <w:szCs w:val="24"/>
              </w:rPr>
              <w:t>内部间距符合安全要求。</w:t>
            </w:r>
          </w:p>
          <w:p w14:paraId="200CB485">
            <w:pPr>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地块三设有</w:t>
            </w:r>
            <w:r>
              <w:rPr>
                <w:rFonts w:hint="default" w:ascii="Times New Roman" w:hAnsi="Times New Roman" w:eastAsia="宋体" w:cs="Times New Roman"/>
                <w:i w:val="0"/>
                <w:iCs w:val="0"/>
                <w:color w:val="auto"/>
                <w:sz w:val="24"/>
                <w:szCs w:val="24"/>
                <w:highlight w:val="none"/>
              </w:rPr>
              <w:t>展示厅1栋</w:t>
            </w:r>
            <w:r>
              <w:rPr>
                <w:rFonts w:hint="eastAsia" w:cs="Times New Roman"/>
                <w:i w:val="0"/>
                <w:iCs w:val="0"/>
                <w:color w:val="auto"/>
                <w:sz w:val="24"/>
                <w:szCs w:val="24"/>
                <w:highlight w:val="none"/>
                <w:lang w:eastAsia="zh-CN"/>
              </w:rPr>
              <w:t>，</w:t>
            </w:r>
            <w:r>
              <w:rPr>
                <w:rFonts w:hint="eastAsia" w:cs="Times New Roman"/>
                <w:i w:val="0"/>
                <w:iCs w:val="0"/>
                <w:color w:val="auto"/>
                <w:sz w:val="24"/>
                <w:szCs w:val="24"/>
                <w:highlight w:val="none"/>
                <w:lang w:val="en-US" w:eastAsia="zh-CN"/>
              </w:rPr>
              <w:t>辅助用房1栋，停车场，入口位于地块东侧，与进场道路相连，辅助用房位于展厅东侧，方便对展厅的管理。</w:t>
            </w:r>
          </w:p>
          <w:p w14:paraId="6AC80729">
            <w:pPr>
              <w:spacing w:line="360" w:lineRule="auto"/>
              <w:ind w:firstLine="480" w:firstLineChars="200"/>
              <w:rPr>
                <w:rFonts w:hint="eastAsia" w:eastAsia="宋体"/>
                <w:color w:val="auto"/>
                <w:szCs w:val="21"/>
                <w:highlight w:val="none"/>
                <w:lang w:val="en-US" w:eastAsia="zh-CN"/>
              </w:rPr>
            </w:pPr>
            <w:r>
              <w:rPr>
                <w:rFonts w:hint="eastAsia" w:ascii="宋体" w:hAnsi="宋体" w:eastAsia="宋体" w:cs="宋体"/>
                <w:b w:val="0"/>
                <w:bCs w:val="0"/>
                <w:color w:val="auto"/>
                <w:sz w:val="24"/>
                <w:szCs w:val="24"/>
                <w:lang w:val="en-US" w:eastAsia="zh-CN"/>
              </w:rPr>
              <w:t>项目从整体布局上</w:t>
            </w:r>
            <w:r>
              <w:rPr>
                <w:rFonts w:hint="eastAsia" w:ascii="宋体" w:hAnsi="宋体" w:eastAsia="宋体" w:cs="宋体"/>
                <w:b w:val="0"/>
                <w:bCs w:val="0"/>
                <w:color w:val="auto"/>
                <w:sz w:val="24"/>
                <w:szCs w:val="24"/>
              </w:rPr>
              <w:t>避免人流、货流交叉，方便管理，确保安全。每个</w:t>
            </w:r>
            <w:r>
              <w:rPr>
                <w:rFonts w:hint="eastAsia" w:ascii="宋体" w:hAnsi="宋体" w:eastAsia="宋体" w:cs="宋体"/>
                <w:b w:val="0"/>
                <w:bCs w:val="0"/>
                <w:color w:val="auto"/>
                <w:sz w:val="24"/>
                <w:szCs w:val="24"/>
                <w:lang w:val="en-US" w:eastAsia="zh-CN"/>
              </w:rPr>
              <w:t>烟花爆竹</w:t>
            </w:r>
            <w:r>
              <w:rPr>
                <w:rFonts w:hint="eastAsia" w:ascii="宋体" w:hAnsi="宋体" w:eastAsia="宋体" w:cs="宋体"/>
                <w:b w:val="0"/>
                <w:bCs w:val="0"/>
                <w:color w:val="auto"/>
                <w:sz w:val="24"/>
                <w:szCs w:val="24"/>
              </w:rPr>
              <w:t>库房安置</w:t>
            </w:r>
            <w:r>
              <w:rPr>
                <w:rFonts w:hint="default" w:ascii="Times New Roman PS MT" w:hAnsi="Times New Roman PS MT" w:eastAsia="Times New Roman PS MT" w:cs="Times New Roman PS MT"/>
                <w:b w:val="0"/>
                <w:bCs w:val="0"/>
                <w:color w:val="auto"/>
                <w:sz w:val="24"/>
                <w:szCs w:val="24"/>
              </w:rPr>
              <w:t>1</w:t>
            </w:r>
            <w:r>
              <w:rPr>
                <w:rFonts w:hint="eastAsia" w:ascii="宋体" w:hAnsi="宋体" w:eastAsia="宋体" w:cs="宋体"/>
                <w:b w:val="0"/>
                <w:bCs w:val="0"/>
                <w:color w:val="auto"/>
                <w:sz w:val="24"/>
                <w:szCs w:val="24"/>
              </w:rPr>
              <w:t>个安全出口。项目布置能满足生产工艺、安全和消防、卫生采光等要求，适当划分区域，各区既有明确分区，又保持一定联系，将废气、废水、噪音等污染源影响限制在局部，并在局部合理解决。各个环节紧密连接，互不影响。总体来说，厂区平面布局合理、紧凑、功能分区明确，满足日常生产作业及物料运输。内部布局考虑了削减污染环境的影响，从环境保护角度布局基本合理。</w:t>
            </w:r>
            <w:r>
              <w:rPr>
                <w:rFonts w:hint="eastAsia"/>
                <w:color w:val="auto"/>
                <w:szCs w:val="21"/>
                <w:highlight w:val="none"/>
                <w:lang w:val="en-US" w:eastAsia="zh-CN"/>
              </w:rPr>
              <w:t xml:space="preserve"> </w:t>
            </w:r>
          </w:p>
        </w:tc>
      </w:tr>
    </w:tbl>
    <w:p w14:paraId="4DE3BA53">
      <w:pPr>
        <w:rPr>
          <w:rFonts w:eastAsia="宋体"/>
          <w:color w:val="auto"/>
        </w:rPr>
      </w:pPr>
      <w:bookmarkStart w:id="13" w:name="_Toc3740"/>
      <w:bookmarkStart w:id="14" w:name="_Toc29522"/>
      <w:bookmarkStart w:id="15" w:name="_Toc22744"/>
      <w:r>
        <w:rPr>
          <w:rFonts w:eastAsia="宋体"/>
          <w:color w:val="auto"/>
        </w:rPr>
        <w:br w:type="page"/>
      </w:r>
    </w:p>
    <w:p w14:paraId="58E20FDF">
      <w:pPr>
        <w:pStyle w:val="4"/>
        <w:rPr>
          <w:rFonts w:eastAsia="宋体"/>
          <w:color w:val="auto"/>
        </w:rPr>
      </w:pPr>
      <w:r>
        <w:rPr>
          <w:rFonts w:eastAsia="宋体"/>
          <w:color w:val="auto"/>
        </w:rPr>
        <w:t>二、建设项目工程分析</w:t>
      </w:r>
      <w:bookmarkEnd w:id="13"/>
      <w:bookmarkEnd w:id="14"/>
      <w:bookmarkEnd w:id="15"/>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8"/>
        <w:gridCol w:w="8047"/>
      </w:tblGrid>
      <w:tr w14:paraId="23639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1" w:hRule="atLeast"/>
          <w:jc w:val="center"/>
        </w:trPr>
        <w:tc>
          <w:tcPr>
            <w:tcW w:w="628" w:type="dxa"/>
            <w:vAlign w:val="center"/>
          </w:tcPr>
          <w:p w14:paraId="4ACABECB">
            <w:pPr>
              <w:jc w:val="center"/>
              <w:rPr>
                <w:color w:val="auto"/>
                <w:szCs w:val="21"/>
                <w:highlight w:val="none"/>
              </w:rPr>
            </w:pPr>
            <w:r>
              <w:rPr>
                <w:color w:val="auto"/>
                <w:szCs w:val="21"/>
                <w:highlight w:val="none"/>
              </w:rPr>
              <w:t>建设内容</w:t>
            </w:r>
          </w:p>
        </w:tc>
        <w:tc>
          <w:tcPr>
            <w:tcW w:w="8047" w:type="dxa"/>
          </w:tcPr>
          <w:p w14:paraId="152E3D6C">
            <w:pPr>
              <w:spacing w:line="360" w:lineRule="auto"/>
              <w:ind w:firstLine="482" w:firstLineChars="200"/>
              <w:rPr>
                <w:b/>
                <w:bCs/>
                <w:color w:val="auto"/>
                <w:sz w:val="24"/>
                <w:szCs w:val="24"/>
                <w:highlight w:val="none"/>
              </w:rPr>
            </w:pPr>
            <w:bookmarkStart w:id="16" w:name="_Toc25945"/>
            <w:bookmarkStart w:id="17" w:name="_Toc483056245"/>
            <w:bookmarkStart w:id="18" w:name="_Toc483056623"/>
            <w:bookmarkStart w:id="19" w:name="_Toc4003"/>
            <w:r>
              <w:rPr>
                <w:b/>
                <w:bCs/>
                <w:color w:val="auto"/>
                <w:sz w:val="24"/>
                <w:szCs w:val="24"/>
                <w:highlight w:val="none"/>
              </w:rPr>
              <w:t>1、基本概况</w:t>
            </w:r>
            <w:bookmarkEnd w:id="16"/>
          </w:p>
          <w:p w14:paraId="3EC8A277">
            <w:pPr>
              <w:spacing w:line="360" w:lineRule="auto"/>
              <w:ind w:firstLine="480"/>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①现有项目基本情况</w:t>
            </w:r>
          </w:p>
          <w:p w14:paraId="323C4D03">
            <w:pPr>
              <w:spacing w:line="360" w:lineRule="auto"/>
              <w:ind w:firstLine="480"/>
              <w:rPr>
                <w:rFonts w:hint="default" w:eastAsia="宋体"/>
                <w:b/>
                <w:bCs/>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bidi="ar"/>
              </w:rPr>
              <w:t>昆明优竹商贸有限公司</w:t>
            </w:r>
            <w:r>
              <w:rPr>
                <w:color w:val="auto"/>
                <w:sz w:val="24"/>
                <w:szCs w:val="24"/>
                <w:highlight w:val="none"/>
              </w:rPr>
              <w:t>现有项目总投资</w:t>
            </w:r>
            <w:r>
              <w:rPr>
                <w:rFonts w:hint="eastAsia"/>
                <w:color w:val="auto"/>
                <w:sz w:val="24"/>
                <w:szCs w:val="24"/>
                <w:highlight w:val="none"/>
                <w:lang w:val="en-US" w:eastAsia="zh-CN"/>
              </w:rPr>
              <w:t>15</w:t>
            </w:r>
            <w:r>
              <w:rPr>
                <w:color w:val="auto"/>
                <w:sz w:val="24"/>
                <w:szCs w:val="24"/>
                <w:highlight w:val="none"/>
              </w:rPr>
              <w:t>00万元，</w:t>
            </w:r>
            <w:r>
              <w:rPr>
                <w:rFonts w:hint="default" w:ascii="Times New Roman" w:hAnsi="Times New Roman" w:eastAsia="宋体" w:cs="Times New Roman"/>
                <w:color w:val="auto"/>
                <w:sz w:val="24"/>
                <w:szCs w:val="24"/>
                <w:highlight w:val="none"/>
              </w:rPr>
              <w:t>总占地26666.67m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vertAlign w:val="baseline"/>
                <w:lang w:eastAsia="zh-CN"/>
              </w:rPr>
              <w:t>，</w:t>
            </w:r>
            <w:r>
              <w:rPr>
                <w:rFonts w:hint="eastAsia" w:ascii="Times New Roman" w:hAnsi="Times New Roman" w:eastAsia="宋体" w:cs="Times New Roman"/>
                <w:color w:val="auto"/>
                <w:sz w:val="24"/>
                <w:szCs w:val="24"/>
                <w:highlight w:val="none"/>
                <w:vertAlign w:val="baseline"/>
                <w:lang w:val="en-US" w:eastAsia="zh-CN"/>
              </w:rPr>
              <w:t>建设</w:t>
            </w:r>
            <w:r>
              <w:rPr>
                <w:rFonts w:hint="default" w:ascii="Times New Roman" w:hAnsi="Times New Roman" w:eastAsia="宋体" w:cs="Times New Roman"/>
                <w:color w:val="auto"/>
                <w:sz w:val="24"/>
                <w:szCs w:val="24"/>
                <w:highlight w:val="none"/>
              </w:rPr>
              <w:t>3栋仓库，设计</w:t>
            </w:r>
            <w:r>
              <w:rPr>
                <w:rFonts w:hint="default" w:ascii="Times New Roman" w:hAnsi="Times New Roman" w:eastAsia="宋体"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rPr>
              <w:t>存储计算药量60000kg</w:t>
            </w:r>
            <w:r>
              <w:rPr>
                <w:color w:val="auto"/>
                <w:sz w:val="24"/>
                <w:szCs w:val="24"/>
                <w:highlight w:val="none"/>
              </w:rPr>
              <w:t>。</w:t>
            </w:r>
            <w:r>
              <w:rPr>
                <w:rFonts w:hint="eastAsia" w:ascii="宋体" w:hAnsi="宋体" w:eastAsia="宋体" w:cs="宋体"/>
                <w:color w:val="auto"/>
                <w:sz w:val="24"/>
                <w:szCs w:val="24"/>
                <w:highlight w:val="none"/>
                <w:lang w:val="en-US" w:eastAsia="zh-CN"/>
              </w:rPr>
              <w:t>2021年10月15日开工建设，2021年12月30日建设完成。</w:t>
            </w:r>
            <w:r>
              <w:rPr>
                <w:rFonts w:hint="eastAsia" w:ascii="Times New Roman" w:hAnsi="Times New Roman" w:cs="Times New Roman"/>
                <w:color w:val="auto"/>
                <w:sz w:val="24"/>
                <w:szCs w:val="24"/>
                <w:highlight w:val="none"/>
                <w:lang w:val="en-US" w:eastAsia="zh-CN"/>
              </w:rPr>
              <w:t>于</w:t>
            </w:r>
            <w:r>
              <w:rPr>
                <w:rFonts w:hint="default" w:ascii="Times New Roman" w:hAnsi="Times New Roman" w:cs="Times New Roman"/>
                <w:color w:val="auto"/>
                <w:sz w:val="24"/>
                <w:szCs w:val="24"/>
                <w:highlight w:val="none"/>
              </w:rPr>
              <w:t>2020年6月16日取得了寻甸县发展和改革局出具的投资备案证，</w:t>
            </w:r>
            <w:r>
              <w:rPr>
                <w:color w:val="auto"/>
                <w:sz w:val="24"/>
                <w:szCs w:val="24"/>
                <w:highlight w:val="none"/>
              </w:rPr>
              <w:t>20</w:t>
            </w:r>
            <w:r>
              <w:rPr>
                <w:rFonts w:hint="eastAsia"/>
                <w:color w:val="auto"/>
                <w:sz w:val="24"/>
                <w:szCs w:val="24"/>
                <w:highlight w:val="none"/>
                <w:lang w:val="en-US" w:eastAsia="zh-CN"/>
              </w:rPr>
              <w:t>21</w:t>
            </w:r>
            <w:r>
              <w:rPr>
                <w:color w:val="auto"/>
                <w:sz w:val="24"/>
                <w:szCs w:val="24"/>
                <w:highlight w:val="none"/>
              </w:rPr>
              <w:t>年</w:t>
            </w:r>
            <w:r>
              <w:rPr>
                <w:rFonts w:hint="eastAsia"/>
                <w:color w:val="auto"/>
                <w:sz w:val="24"/>
                <w:szCs w:val="24"/>
                <w:highlight w:val="none"/>
                <w:lang w:val="en-US" w:eastAsia="zh-CN"/>
              </w:rPr>
              <w:t>3</w:t>
            </w:r>
            <w:r>
              <w:rPr>
                <w:color w:val="auto"/>
                <w:sz w:val="24"/>
                <w:szCs w:val="24"/>
                <w:highlight w:val="none"/>
              </w:rPr>
              <w:t>月编制了《</w:t>
            </w:r>
            <w:r>
              <w:rPr>
                <w:rFonts w:hint="default" w:ascii="Times New Roman" w:hAnsi="Times New Roman" w:eastAsia="宋体" w:cs="Times New Roman"/>
                <w:color w:val="auto"/>
                <w:spacing w:val="0"/>
                <w:sz w:val="24"/>
                <w:szCs w:val="24"/>
                <w:highlight w:val="none"/>
              </w:rPr>
              <w:t>昆明优竹商贸有限公司烟花爆竹存储仓库新建项目</w:t>
            </w:r>
            <w:r>
              <w:rPr>
                <w:color w:val="auto"/>
                <w:sz w:val="24"/>
                <w:szCs w:val="24"/>
                <w:highlight w:val="none"/>
              </w:rPr>
              <w:t>环境影响报告表》，并于</w:t>
            </w:r>
            <w:r>
              <w:rPr>
                <w:rFonts w:hint="default" w:ascii="Times New Roman" w:hAnsi="Times New Roman" w:eastAsia="宋体" w:cs="Times New Roman"/>
                <w:color w:val="auto"/>
                <w:spacing w:val="0"/>
                <w:sz w:val="24"/>
                <w:szCs w:val="24"/>
                <w:highlight w:val="none"/>
              </w:rPr>
              <w:t>20</w:t>
            </w:r>
            <w:r>
              <w:rPr>
                <w:rFonts w:hint="default" w:ascii="Times New Roman" w:hAnsi="Times New Roman" w:eastAsia="宋体" w:cs="Times New Roman"/>
                <w:color w:val="auto"/>
                <w:spacing w:val="0"/>
                <w:sz w:val="24"/>
                <w:szCs w:val="24"/>
                <w:highlight w:val="none"/>
                <w:lang w:val="en-US" w:eastAsia="zh-CN"/>
              </w:rPr>
              <w:t>2</w:t>
            </w:r>
            <w:r>
              <w:rPr>
                <w:rFonts w:hint="eastAsia" w:ascii="Times New Roman" w:hAnsi="Times New Roman" w:eastAsia="宋体" w:cs="Times New Roman"/>
                <w:color w:val="auto"/>
                <w:spacing w:val="0"/>
                <w:sz w:val="24"/>
                <w:szCs w:val="24"/>
                <w:highlight w:val="none"/>
                <w:lang w:val="en-US" w:eastAsia="zh-CN"/>
              </w:rPr>
              <w:t>1</w:t>
            </w:r>
            <w:r>
              <w:rPr>
                <w:rFonts w:hint="default" w:ascii="Times New Roman" w:hAnsi="Times New Roman" w:eastAsia="宋体" w:cs="Times New Roman"/>
                <w:color w:val="auto"/>
                <w:spacing w:val="0"/>
                <w:sz w:val="24"/>
                <w:szCs w:val="24"/>
                <w:highlight w:val="none"/>
              </w:rPr>
              <w:t>年</w:t>
            </w:r>
            <w:r>
              <w:rPr>
                <w:rFonts w:hint="default" w:ascii="Times New Roman" w:hAnsi="Times New Roman" w:eastAsia="宋体" w:cs="Times New Roman"/>
                <w:color w:val="auto"/>
                <w:spacing w:val="0"/>
                <w:sz w:val="24"/>
                <w:szCs w:val="24"/>
                <w:highlight w:val="none"/>
                <w:lang w:val="en-US" w:eastAsia="zh-CN"/>
              </w:rPr>
              <w:t>10</w:t>
            </w:r>
            <w:r>
              <w:rPr>
                <w:rFonts w:hint="default" w:ascii="Times New Roman" w:hAnsi="Times New Roman" w:eastAsia="宋体" w:cs="Times New Roman"/>
                <w:color w:val="auto"/>
                <w:spacing w:val="0"/>
                <w:sz w:val="24"/>
                <w:szCs w:val="24"/>
                <w:highlight w:val="none"/>
              </w:rPr>
              <w:t>月</w:t>
            </w:r>
            <w:r>
              <w:rPr>
                <w:rFonts w:hint="eastAsia" w:ascii="Times New Roman" w:hAnsi="Times New Roman" w:eastAsia="宋体" w:cs="Times New Roman"/>
                <w:color w:val="auto"/>
                <w:spacing w:val="0"/>
                <w:sz w:val="24"/>
                <w:szCs w:val="24"/>
                <w:highlight w:val="none"/>
                <w:lang w:val="en-US" w:eastAsia="zh-CN"/>
              </w:rPr>
              <w:t>9</w:t>
            </w:r>
            <w:r>
              <w:rPr>
                <w:rFonts w:hint="default" w:ascii="Times New Roman" w:hAnsi="Times New Roman" w:eastAsia="宋体" w:cs="Times New Roman"/>
                <w:color w:val="auto"/>
                <w:spacing w:val="0"/>
                <w:sz w:val="24"/>
                <w:szCs w:val="24"/>
                <w:highlight w:val="none"/>
              </w:rPr>
              <w:t>日取得</w:t>
            </w:r>
            <w:r>
              <w:rPr>
                <w:rFonts w:hint="default" w:ascii="Times New Roman" w:hAnsi="Times New Roman" w:eastAsia="宋体" w:cs="Times New Roman"/>
                <w:color w:val="auto"/>
                <w:spacing w:val="0"/>
                <w:sz w:val="24"/>
                <w:szCs w:val="24"/>
                <w:highlight w:val="none"/>
                <w:lang w:val="en-US" w:eastAsia="zh-CN"/>
              </w:rPr>
              <w:t>昆明市生态环境</w:t>
            </w:r>
            <w:r>
              <w:rPr>
                <w:rFonts w:hint="default" w:ascii="Times New Roman" w:hAnsi="Times New Roman" w:eastAsia="宋体" w:cs="Times New Roman"/>
                <w:color w:val="auto"/>
                <w:spacing w:val="0"/>
                <w:sz w:val="24"/>
                <w:szCs w:val="24"/>
                <w:highlight w:val="none"/>
              </w:rPr>
              <w:t>局</w:t>
            </w:r>
            <w:r>
              <w:rPr>
                <w:rFonts w:hint="eastAsia" w:ascii="Times New Roman" w:hAnsi="Times New Roman" w:eastAsia="宋体" w:cs="Times New Roman"/>
                <w:color w:val="auto"/>
                <w:spacing w:val="0"/>
                <w:sz w:val="24"/>
                <w:szCs w:val="24"/>
                <w:highlight w:val="none"/>
                <w:lang w:val="en-US" w:eastAsia="zh-CN"/>
              </w:rPr>
              <w:t>寻甸分局</w:t>
            </w:r>
            <w:r>
              <w:rPr>
                <w:rFonts w:hint="default" w:ascii="Times New Roman" w:hAnsi="Times New Roman" w:eastAsia="宋体" w:cs="Times New Roman"/>
                <w:color w:val="auto"/>
                <w:spacing w:val="0"/>
                <w:sz w:val="24"/>
                <w:szCs w:val="24"/>
                <w:highlight w:val="none"/>
              </w:rPr>
              <w:t>《</w:t>
            </w:r>
            <w:r>
              <w:rPr>
                <w:rFonts w:hint="default" w:ascii="Times New Roman" w:hAnsi="Times New Roman" w:eastAsia="宋体" w:cs="Times New Roman"/>
                <w:color w:val="auto"/>
                <w:spacing w:val="0"/>
                <w:sz w:val="24"/>
                <w:szCs w:val="24"/>
                <w:highlight w:val="none"/>
                <w:lang w:val="en-US" w:eastAsia="zh-CN"/>
              </w:rPr>
              <w:t>昆明市</w:t>
            </w:r>
            <w:r>
              <w:rPr>
                <w:rFonts w:hint="default" w:ascii="Times New Roman" w:hAnsi="Times New Roman" w:eastAsia="宋体" w:cs="Times New Roman"/>
                <w:color w:val="auto"/>
                <w:spacing w:val="0"/>
                <w:sz w:val="24"/>
                <w:szCs w:val="24"/>
                <w:highlight w:val="none"/>
              </w:rPr>
              <w:t>生态环境局</w:t>
            </w:r>
            <w:r>
              <w:rPr>
                <w:rFonts w:hint="eastAsia" w:ascii="Times New Roman" w:hAnsi="Times New Roman" w:eastAsia="宋体" w:cs="Times New Roman"/>
                <w:color w:val="auto"/>
                <w:spacing w:val="0"/>
                <w:sz w:val="24"/>
                <w:szCs w:val="24"/>
                <w:highlight w:val="none"/>
                <w:lang w:val="en-US" w:eastAsia="zh-CN"/>
              </w:rPr>
              <w:t>寻甸分局</w:t>
            </w:r>
            <w:r>
              <w:rPr>
                <w:rFonts w:hint="default" w:ascii="Times New Roman" w:hAnsi="Times New Roman" w:eastAsia="宋体" w:cs="Times New Roman"/>
                <w:color w:val="auto"/>
                <w:spacing w:val="0"/>
                <w:sz w:val="24"/>
                <w:szCs w:val="24"/>
                <w:highlight w:val="none"/>
              </w:rPr>
              <w:t>关于昆明优竹商贸有限公司烟花爆竹存储仓库新建项目环境影响报告</w:t>
            </w:r>
            <w:r>
              <w:rPr>
                <w:rFonts w:hint="default" w:ascii="Times New Roman" w:hAnsi="Times New Roman" w:eastAsia="宋体" w:cs="Times New Roman"/>
                <w:color w:val="auto"/>
                <w:spacing w:val="0"/>
                <w:sz w:val="24"/>
                <w:szCs w:val="24"/>
                <w:highlight w:val="none"/>
                <w:lang w:val="en-US" w:eastAsia="zh-CN"/>
              </w:rPr>
              <w:t>表</w:t>
            </w:r>
            <w:r>
              <w:rPr>
                <w:rFonts w:hint="default" w:ascii="Times New Roman" w:hAnsi="Times New Roman" w:eastAsia="宋体" w:cs="Times New Roman"/>
                <w:color w:val="auto"/>
                <w:spacing w:val="0"/>
                <w:sz w:val="24"/>
                <w:szCs w:val="24"/>
                <w:highlight w:val="none"/>
              </w:rPr>
              <w:t>》的批复，批复文号：</w:t>
            </w:r>
            <w:r>
              <w:rPr>
                <w:rFonts w:hint="default" w:ascii="Times New Roman" w:hAnsi="Times New Roman" w:eastAsia="宋体" w:cs="Times New Roman"/>
                <w:color w:val="auto"/>
                <w:spacing w:val="0"/>
                <w:sz w:val="24"/>
                <w:szCs w:val="24"/>
                <w:highlight w:val="none"/>
                <w:lang w:val="en-US" w:eastAsia="zh-CN"/>
              </w:rPr>
              <w:t>昆生</w:t>
            </w:r>
            <w:r>
              <w:rPr>
                <w:rFonts w:hint="default" w:ascii="Times New Roman" w:hAnsi="Times New Roman" w:eastAsia="宋体" w:cs="Times New Roman"/>
                <w:color w:val="auto"/>
                <w:spacing w:val="0"/>
                <w:sz w:val="24"/>
                <w:szCs w:val="24"/>
                <w:highlight w:val="none"/>
              </w:rPr>
              <w:t>环</w:t>
            </w:r>
            <w:r>
              <w:rPr>
                <w:rFonts w:hint="eastAsia" w:ascii="Times New Roman" w:hAnsi="Times New Roman" w:eastAsia="宋体" w:cs="Times New Roman"/>
                <w:color w:val="auto"/>
                <w:spacing w:val="0"/>
                <w:sz w:val="24"/>
                <w:szCs w:val="24"/>
                <w:highlight w:val="none"/>
                <w:lang w:val="en-US" w:eastAsia="zh-CN"/>
              </w:rPr>
              <w:t>寻</w:t>
            </w:r>
            <w:r>
              <w:rPr>
                <w:rFonts w:hint="default" w:ascii="Times New Roman" w:hAnsi="Times New Roman" w:eastAsia="宋体" w:cs="Times New Roman"/>
                <w:color w:val="auto"/>
                <w:spacing w:val="0"/>
                <w:sz w:val="24"/>
                <w:szCs w:val="24"/>
                <w:highlight w:val="none"/>
              </w:rPr>
              <w:t>[20</w:t>
            </w:r>
            <w:r>
              <w:rPr>
                <w:rFonts w:hint="default" w:ascii="Times New Roman" w:hAnsi="Times New Roman" w:eastAsia="宋体" w:cs="Times New Roman"/>
                <w:color w:val="auto"/>
                <w:spacing w:val="0"/>
                <w:sz w:val="24"/>
                <w:szCs w:val="24"/>
                <w:highlight w:val="none"/>
                <w:lang w:val="en-US" w:eastAsia="zh-CN"/>
              </w:rPr>
              <w:t>2</w:t>
            </w:r>
            <w:r>
              <w:rPr>
                <w:rFonts w:hint="eastAsia" w:ascii="Times New Roman" w:hAnsi="Times New Roman" w:eastAsia="宋体" w:cs="Times New Roman"/>
                <w:color w:val="auto"/>
                <w:spacing w:val="0"/>
                <w:sz w:val="24"/>
                <w:szCs w:val="24"/>
                <w:highlight w:val="none"/>
                <w:lang w:val="en-US" w:eastAsia="zh-CN"/>
              </w:rPr>
              <w:t>1</w:t>
            </w:r>
            <w:r>
              <w:rPr>
                <w:rFonts w:hint="default" w:ascii="Times New Roman" w:hAnsi="Times New Roman" w:eastAsia="宋体" w:cs="Times New Roman"/>
                <w:color w:val="auto"/>
                <w:spacing w:val="0"/>
                <w:sz w:val="24"/>
                <w:szCs w:val="24"/>
                <w:highlight w:val="none"/>
              </w:rPr>
              <w:t>]</w:t>
            </w:r>
            <w:r>
              <w:rPr>
                <w:rFonts w:hint="eastAsia" w:ascii="Times New Roman" w:hAnsi="Times New Roman" w:eastAsia="宋体" w:cs="Times New Roman"/>
                <w:color w:val="auto"/>
                <w:spacing w:val="0"/>
                <w:sz w:val="24"/>
                <w:szCs w:val="24"/>
                <w:highlight w:val="none"/>
                <w:lang w:val="en-US" w:eastAsia="zh-CN"/>
              </w:rPr>
              <w:t>182</w:t>
            </w:r>
            <w:r>
              <w:rPr>
                <w:rFonts w:hint="default" w:ascii="Times New Roman" w:hAnsi="Times New Roman" w:eastAsia="宋体" w:cs="Times New Roman"/>
                <w:color w:val="auto"/>
                <w:spacing w:val="0"/>
                <w:sz w:val="24"/>
                <w:szCs w:val="24"/>
                <w:highlight w:val="none"/>
              </w:rPr>
              <w:t>号。</w:t>
            </w:r>
            <w:r>
              <w:rPr>
                <w:rFonts w:hint="eastAsia"/>
                <w:b w:val="0"/>
                <w:bCs/>
                <w:color w:val="auto"/>
                <w:sz w:val="24"/>
                <w:szCs w:val="24"/>
                <w:highlight w:val="none"/>
                <w:lang w:val="en-US" w:eastAsia="zh-CN"/>
              </w:rPr>
              <w:t>2026年4月</w:t>
            </w:r>
            <w:r>
              <w:rPr>
                <w:b w:val="0"/>
                <w:bCs/>
                <w:color w:val="auto"/>
                <w:sz w:val="24"/>
                <w:szCs w:val="24"/>
                <w:highlight w:val="none"/>
              </w:rPr>
              <w:t>编制了《</w:t>
            </w:r>
            <w:r>
              <w:rPr>
                <w:rFonts w:hint="eastAsia" w:ascii="Times New Roman" w:hAnsi="Times New Roman" w:eastAsia="宋体" w:cs="Times New Roman"/>
                <w:b w:val="0"/>
                <w:bCs/>
                <w:color w:val="auto"/>
                <w:sz w:val="24"/>
                <w:szCs w:val="24"/>
                <w:highlight w:val="none"/>
                <w:lang w:val="en-US" w:eastAsia="zh-CN"/>
              </w:rPr>
              <w:t>昆明优竹商贸有限公司</w:t>
            </w:r>
            <w:r>
              <w:rPr>
                <w:rFonts w:hint="default" w:ascii="Times New Roman" w:hAnsi="Times New Roman" w:eastAsia="宋体" w:cs="Times New Roman"/>
                <w:b w:val="0"/>
                <w:bCs/>
                <w:color w:val="auto"/>
                <w:sz w:val="24"/>
                <w:szCs w:val="24"/>
                <w:highlight w:val="none"/>
                <w:lang w:val="en-US" w:eastAsia="zh-CN"/>
              </w:rPr>
              <w:t>突发环境事件应急预案</w:t>
            </w:r>
            <w:r>
              <w:rPr>
                <w:rFonts w:hint="eastAsia" w:ascii="Times New Roman" w:hAnsi="Times New Roman" w:eastAsia="宋体" w:cs="Times New Roman"/>
                <w:b w:val="0"/>
                <w:bCs/>
                <w:color w:val="auto"/>
                <w:sz w:val="24"/>
                <w:szCs w:val="24"/>
                <w:highlight w:val="none"/>
                <w:lang w:val="en-US" w:eastAsia="zh-CN"/>
              </w:rPr>
              <w:t>》，备案编号为530-129-2026-024-L。</w:t>
            </w:r>
            <w:r>
              <w:rPr>
                <w:rFonts w:hint="eastAsia" w:ascii="Times New Roman" w:hAnsi="Times New Roman" w:cs="Times New Roman"/>
                <w:b w:val="0"/>
                <w:bCs/>
                <w:color w:val="auto"/>
                <w:sz w:val="24"/>
                <w:szCs w:val="24"/>
                <w:highlight w:val="none"/>
                <w:lang w:val="en-US" w:eastAsia="zh-CN"/>
              </w:rPr>
              <w:t>2026年4月9日完成</w:t>
            </w:r>
            <w:r>
              <w:rPr>
                <w:rFonts w:hint="default" w:ascii="Times New Roman" w:hAnsi="Times New Roman" w:cs="Times New Roman"/>
                <w:b w:val="0"/>
                <w:bCs/>
                <w:color w:val="auto"/>
                <w:sz w:val="24"/>
                <w:szCs w:val="24"/>
                <w:highlight w:val="none"/>
                <w:lang w:val="en-US" w:eastAsia="zh-CN"/>
              </w:rPr>
              <w:t>昆明优竹商贸有限公司</w:t>
            </w:r>
            <w:r>
              <w:rPr>
                <w:rFonts w:hint="eastAsia" w:ascii="Times New Roman" w:hAnsi="Times New Roman" w:cs="Times New Roman"/>
                <w:b w:val="0"/>
                <w:bCs/>
                <w:color w:val="auto"/>
                <w:sz w:val="24"/>
                <w:szCs w:val="24"/>
                <w:highlight w:val="none"/>
                <w:lang w:val="en-US" w:eastAsia="zh-CN"/>
              </w:rPr>
              <w:t>排污登记，编号：91530129MA6K5LXW20001Y。</w:t>
            </w:r>
            <w:r>
              <w:rPr>
                <w:rFonts w:hint="default" w:ascii="Times New Roman" w:hAnsi="Times New Roman" w:eastAsia="宋体" w:cs="Times New Roman"/>
                <w:b w:val="0"/>
                <w:bCs w:val="0"/>
                <w:color w:val="auto"/>
                <w:sz w:val="24"/>
                <w:szCs w:val="24"/>
                <w:highlight w:val="none"/>
              </w:rPr>
              <w:t>20</w:t>
            </w:r>
            <w:r>
              <w:rPr>
                <w:rFonts w:hint="eastAsia" w:eastAsia="宋体" w:cs="Times New Roman"/>
                <w:b w:val="0"/>
                <w:bCs w:val="0"/>
                <w:color w:val="auto"/>
                <w:sz w:val="24"/>
                <w:szCs w:val="24"/>
                <w:highlight w:val="none"/>
                <w:lang w:val="en-US" w:eastAsia="zh-CN"/>
              </w:rPr>
              <w:t>26</w:t>
            </w:r>
            <w:r>
              <w:rPr>
                <w:rFonts w:hint="default" w:ascii="Times New Roman" w:hAnsi="Times New Roman" w:eastAsia="宋体" w:cs="Times New Roman"/>
                <w:b w:val="0"/>
                <w:bCs w:val="0"/>
                <w:color w:val="auto"/>
                <w:sz w:val="24"/>
                <w:szCs w:val="24"/>
                <w:highlight w:val="none"/>
              </w:rPr>
              <w:t>年</w:t>
            </w:r>
            <w:r>
              <w:rPr>
                <w:rFonts w:hint="eastAsia"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rPr>
              <w:t>月</w:t>
            </w:r>
            <w:r>
              <w:rPr>
                <w:rFonts w:hint="eastAsia" w:eastAsia="宋体" w:cs="Times New Roman"/>
                <w:b w:val="0"/>
                <w:bCs w:val="0"/>
                <w:color w:val="auto"/>
                <w:sz w:val="24"/>
                <w:szCs w:val="24"/>
                <w:highlight w:val="none"/>
                <w:lang w:val="en-US" w:eastAsia="zh-CN"/>
              </w:rPr>
              <w:t>25</w:t>
            </w:r>
            <w:r>
              <w:rPr>
                <w:rFonts w:hint="default" w:ascii="Times New Roman" w:hAnsi="Times New Roman" w:eastAsia="宋体" w:cs="Times New Roman"/>
                <w:b w:val="0"/>
                <w:bCs w:val="0"/>
                <w:color w:val="auto"/>
                <w:sz w:val="24"/>
                <w:szCs w:val="24"/>
                <w:highlight w:val="none"/>
              </w:rPr>
              <w:t>日</w:t>
            </w:r>
            <w:r>
              <w:rPr>
                <w:rFonts w:hint="eastAsia" w:ascii="Times New Roman" w:hAnsi="Times New Roman" w:cs="Times New Roman"/>
                <w:b w:val="0"/>
                <w:bCs w:val="0"/>
                <w:color w:val="auto"/>
                <w:sz w:val="24"/>
                <w:szCs w:val="24"/>
                <w:highlight w:val="none"/>
                <w:lang w:val="en-US" w:eastAsia="zh-CN"/>
              </w:rPr>
              <w:t>完成了</w:t>
            </w:r>
            <w:r>
              <w:rPr>
                <w:rFonts w:hint="default" w:ascii="Times New Roman" w:hAnsi="Times New Roman" w:eastAsia="宋体" w:cs="Times New Roman"/>
                <w:b w:val="0"/>
                <w:bCs w:val="0"/>
                <w:color w:val="auto"/>
                <w:sz w:val="24"/>
                <w:szCs w:val="24"/>
                <w:highlight w:val="none"/>
              </w:rPr>
              <w:t>自主验收</w:t>
            </w:r>
            <w:r>
              <w:rPr>
                <w:rFonts w:hint="eastAsia" w:ascii="Times New Roman" w:hAnsi="Times New Roman" w:cs="Times New Roman"/>
                <w:b w:val="0"/>
                <w:bCs w:val="0"/>
                <w:color w:val="auto"/>
                <w:sz w:val="24"/>
                <w:szCs w:val="24"/>
                <w:highlight w:val="none"/>
                <w:lang w:eastAsia="zh-CN"/>
              </w:rPr>
              <w:t>。</w:t>
            </w:r>
          </w:p>
          <w:p w14:paraId="4F8890D8">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val="en-US" w:eastAsia="zh-CN"/>
              </w:rPr>
              <w:t>②本次改扩建项目基本情况</w:t>
            </w:r>
          </w:p>
          <w:p w14:paraId="1C42B153">
            <w:pPr>
              <w:spacing w:line="360" w:lineRule="auto"/>
              <w:ind w:firstLine="480" w:firstLineChars="200"/>
              <w:rPr>
                <w:rFonts w:hint="eastAsia" w:ascii="宋体" w:hAnsi="宋体" w:eastAsia="宋体" w:cs="宋体"/>
                <w:color w:val="auto"/>
                <w:spacing w:val="6"/>
                <w:sz w:val="24"/>
                <w:szCs w:val="24"/>
                <w:highlight w:val="none"/>
                <w:lang w:val="en-US" w:eastAsia="zh-CN"/>
              </w:rPr>
            </w:pPr>
            <w:r>
              <w:rPr>
                <w:color w:val="auto"/>
                <w:sz w:val="24"/>
                <w:szCs w:val="24"/>
                <w:highlight w:val="none"/>
              </w:rPr>
              <w:t>项目名称：</w:t>
            </w:r>
            <w:r>
              <w:rPr>
                <w:rFonts w:hint="eastAsia" w:ascii="宋体" w:hAnsi="宋体" w:eastAsia="宋体" w:cs="宋体"/>
                <w:color w:val="auto"/>
                <w:spacing w:val="6"/>
                <w:sz w:val="24"/>
                <w:szCs w:val="24"/>
                <w:highlight w:val="none"/>
                <w:lang w:val="en-US" w:eastAsia="zh-CN"/>
              </w:rPr>
              <w:t>昆明优竹商贸有限公司烟花爆竹存储仓库改扩建项目</w:t>
            </w:r>
          </w:p>
          <w:p w14:paraId="4C196D10">
            <w:pPr>
              <w:spacing w:line="360" w:lineRule="auto"/>
              <w:ind w:firstLine="480" w:firstLineChars="200"/>
              <w:rPr>
                <w:color w:val="auto"/>
                <w:sz w:val="24"/>
                <w:szCs w:val="24"/>
                <w:highlight w:val="none"/>
              </w:rPr>
            </w:pPr>
            <w:r>
              <w:rPr>
                <w:color w:val="auto"/>
                <w:sz w:val="24"/>
                <w:szCs w:val="24"/>
                <w:highlight w:val="none"/>
              </w:rPr>
              <w:t>建设单位：</w:t>
            </w:r>
            <w:r>
              <w:rPr>
                <w:rFonts w:hint="eastAsia" w:ascii="宋体" w:hAnsi="宋体" w:cs="宋体"/>
                <w:color w:val="auto"/>
                <w:spacing w:val="6"/>
                <w:sz w:val="24"/>
                <w:szCs w:val="24"/>
                <w:highlight w:val="none"/>
                <w:lang w:val="en-US" w:eastAsia="zh-CN"/>
              </w:rPr>
              <w:t>昆明优竹商贸有限公司</w:t>
            </w:r>
          </w:p>
          <w:p w14:paraId="3E68C2DA">
            <w:pPr>
              <w:spacing w:line="360" w:lineRule="auto"/>
              <w:ind w:firstLine="480" w:firstLineChars="200"/>
              <w:rPr>
                <w:color w:val="auto"/>
                <w:sz w:val="24"/>
                <w:szCs w:val="24"/>
                <w:highlight w:val="none"/>
              </w:rPr>
            </w:pPr>
            <w:r>
              <w:rPr>
                <w:color w:val="auto"/>
                <w:sz w:val="24"/>
                <w:szCs w:val="24"/>
                <w:highlight w:val="none"/>
              </w:rPr>
              <w:t>建设性质：</w:t>
            </w:r>
            <w:r>
              <w:rPr>
                <w:rFonts w:hint="eastAsia"/>
                <w:color w:val="auto"/>
                <w:sz w:val="24"/>
                <w:szCs w:val="24"/>
                <w:highlight w:val="none"/>
                <w:lang w:val="en-US" w:eastAsia="zh-CN"/>
              </w:rPr>
              <w:t>扩</w:t>
            </w:r>
            <w:r>
              <w:rPr>
                <w:color w:val="auto"/>
                <w:sz w:val="24"/>
                <w:szCs w:val="24"/>
                <w:highlight w:val="none"/>
              </w:rPr>
              <w:t>建</w:t>
            </w:r>
          </w:p>
          <w:p w14:paraId="338A979A">
            <w:pPr>
              <w:spacing w:line="360" w:lineRule="auto"/>
              <w:ind w:firstLine="480" w:firstLineChars="200"/>
              <w:rPr>
                <w:color w:val="auto"/>
                <w:sz w:val="24"/>
                <w:szCs w:val="24"/>
                <w:highlight w:val="none"/>
              </w:rPr>
            </w:pPr>
            <w:r>
              <w:rPr>
                <w:color w:val="auto"/>
                <w:sz w:val="24"/>
                <w:szCs w:val="24"/>
                <w:highlight w:val="none"/>
              </w:rPr>
              <w:t>建设地点：</w:t>
            </w:r>
            <w:r>
              <w:rPr>
                <w:rFonts w:hint="eastAsia"/>
                <w:color w:val="auto"/>
                <w:sz w:val="24"/>
                <w:szCs w:val="24"/>
                <w:highlight w:val="none"/>
              </w:rPr>
              <w:t>寻甸回族彝族自治县</w:t>
            </w:r>
            <w:r>
              <w:rPr>
                <w:color w:val="auto"/>
                <w:sz w:val="24"/>
                <w:szCs w:val="24"/>
                <w:highlight w:val="none"/>
                <w:lang w:val="zh-CN"/>
              </w:rPr>
              <w:t>仁德</w:t>
            </w:r>
            <w:r>
              <w:rPr>
                <w:color w:val="auto"/>
                <w:sz w:val="24"/>
                <w:szCs w:val="24"/>
                <w:highlight w:val="none"/>
              </w:rPr>
              <w:t>街道北观社区</w:t>
            </w:r>
            <w:r>
              <w:rPr>
                <w:rFonts w:hint="eastAsia"/>
                <w:color w:val="auto"/>
                <w:sz w:val="24"/>
                <w:szCs w:val="24"/>
                <w:highlight w:val="none"/>
                <w:lang w:val="en-US" w:eastAsia="zh-CN"/>
              </w:rPr>
              <w:t>小龙潭</w:t>
            </w:r>
            <w:r>
              <w:rPr>
                <w:color w:val="auto"/>
                <w:sz w:val="24"/>
                <w:szCs w:val="24"/>
                <w:highlight w:val="none"/>
              </w:rPr>
              <w:t>打鹰坡</w:t>
            </w:r>
          </w:p>
          <w:p w14:paraId="46DAB323">
            <w:pPr>
              <w:spacing w:line="360" w:lineRule="auto"/>
              <w:ind w:firstLine="480" w:firstLineChars="200"/>
              <w:rPr>
                <w:color w:val="auto"/>
                <w:sz w:val="24"/>
                <w:szCs w:val="24"/>
                <w:highlight w:val="none"/>
              </w:rPr>
            </w:pPr>
            <w:r>
              <w:rPr>
                <w:color w:val="auto"/>
                <w:sz w:val="24"/>
                <w:szCs w:val="24"/>
                <w:highlight w:val="none"/>
              </w:rPr>
              <w:t>项目总投资：</w:t>
            </w:r>
            <w:r>
              <w:rPr>
                <w:rFonts w:hint="eastAsia"/>
                <w:color w:val="auto"/>
                <w:sz w:val="24"/>
                <w:szCs w:val="24"/>
                <w:highlight w:val="none"/>
                <w:lang w:val="en-US" w:eastAsia="zh-CN"/>
              </w:rPr>
              <w:t>26</w:t>
            </w:r>
            <w:r>
              <w:rPr>
                <w:color w:val="auto"/>
                <w:sz w:val="24"/>
                <w:szCs w:val="24"/>
                <w:highlight w:val="none"/>
              </w:rPr>
              <w:t>00万元</w:t>
            </w:r>
          </w:p>
          <w:p w14:paraId="33B48970">
            <w:pPr>
              <w:spacing w:line="360" w:lineRule="auto"/>
              <w:ind w:firstLine="480" w:firstLineChars="200"/>
              <w:rPr>
                <w:color w:val="auto"/>
                <w:sz w:val="24"/>
                <w:szCs w:val="24"/>
                <w:highlight w:val="none"/>
              </w:rPr>
            </w:pPr>
            <w:r>
              <w:rPr>
                <w:color w:val="auto"/>
                <w:sz w:val="24"/>
                <w:szCs w:val="24"/>
                <w:highlight w:val="none"/>
              </w:rPr>
              <w:t>项目占地面积：项目总占地</w:t>
            </w:r>
            <w:r>
              <w:rPr>
                <w:rFonts w:hint="eastAsia" w:ascii="Times New Roman" w:hAnsi="Times New Roman" w:eastAsia="宋体" w:cs="Times New Roman"/>
                <w:color w:val="auto"/>
                <w:sz w:val="24"/>
                <w:szCs w:val="24"/>
                <w:highlight w:val="none"/>
                <w:lang w:val="en-US" w:eastAsia="zh-CN"/>
              </w:rPr>
              <w:t>24</w:t>
            </w:r>
            <w:r>
              <w:rPr>
                <w:rFonts w:hint="eastAsia" w:cs="Times New Roman"/>
                <w:color w:val="auto"/>
                <w:sz w:val="24"/>
                <w:szCs w:val="24"/>
                <w:highlight w:val="none"/>
                <w:lang w:val="en-US" w:eastAsia="zh-CN"/>
              </w:rPr>
              <w:t>465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p>
          <w:p w14:paraId="11CE85D6">
            <w:pPr>
              <w:keepNext w:val="0"/>
              <w:keepLines w:val="0"/>
              <w:pageBreakBefore w:val="0"/>
              <w:kinsoku/>
              <w:overflowPunct/>
              <w:topLinePunct w:val="0"/>
              <w:autoSpaceDE/>
              <w:autoSpaceDN/>
              <w:bidi w:val="0"/>
              <w:adjustRightInd/>
              <w:spacing w:line="360" w:lineRule="auto"/>
              <w:ind w:left="0" w:right="0" w:firstLine="480" w:firstLineChars="200"/>
              <w:textAlignment w:val="auto"/>
              <w:rPr>
                <w:rFonts w:hint="eastAsia" w:ascii="Times New Roman" w:hAnsi="Times New Roman" w:eastAsia="宋体" w:cs="Times New Roman"/>
                <w:color w:val="auto"/>
                <w:sz w:val="24"/>
                <w:szCs w:val="24"/>
                <w:highlight w:val="none"/>
                <w:lang w:eastAsia="zh-CN"/>
              </w:rPr>
            </w:pPr>
            <w:bookmarkStart w:id="20" w:name="_Toc8011"/>
            <w:r>
              <w:rPr>
                <w:color w:val="auto"/>
                <w:sz w:val="24"/>
                <w:szCs w:val="24"/>
                <w:highlight w:val="none"/>
              </w:rPr>
              <w:t>建设内容</w:t>
            </w:r>
            <w:r>
              <w:rPr>
                <w:rFonts w:hint="default" w:ascii="Times New Roman" w:hAnsi="Times New Roman" w:eastAsia="宋体" w:cs="Times New Roman"/>
                <w:color w:val="auto"/>
                <w:sz w:val="24"/>
                <w:szCs w:val="24"/>
                <w:highlight w:val="none"/>
              </w:rPr>
              <w:t>：新建I.1级500m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存储仓库1栋；1.3级1000m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存储仓库2栋，共计2000m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，新建企业展示厅1栋，共计2200m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，附属设施面积800m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：总建筑而积共5500m²</w:t>
            </w:r>
            <w:r>
              <w:rPr>
                <w:rFonts w:hint="eastAsia" w:cs="Times New Roman"/>
                <w:color w:val="auto"/>
                <w:sz w:val="24"/>
                <w:szCs w:val="24"/>
                <w:highlight w:val="none"/>
                <w:lang w:eastAsia="zh-CN"/>
              </w:rPr>
              <w:t>。</w:t>
            </w:r>
          </w:p>
          <w:bookmarkEnd w:id="20"/>
          <w:p w14:paraId="6C3D82D7">
            <w:pPr>
              <w:spacing w:line="360" w:lineRule="auto"/>
              <w:ind w:firstLine="482" w:firstLineChars="200"/>
              <w:rPr>
                <w:b/>
                <w:bCs/>
                <w:color w:val="auto"/>
                <w:sz w:val="24"/>
                <w:szCs w:val="24"/>
                <w:highlight w:val="none"/>
              </w:rPr>
            </w:pPr>
            <w:bookmarkStart w:id="21" w:name="_Toc20966"/>
            <w:r>
              <w:rPr>
                <w:b/>
                <w:bCs/>
                <w:color w:val="auto"/>
                <w:sz w:val="24"/>
                <w:szCs w:val="24"/>
                <w:highlight w:val="none"/>
              </w:rPr>
              <w:t>2、工程组成</w:t>
            </w:r>
            <w:bookmarkEnd w:id="21"/>
          </w:p>
          <w:p w14:paraId="3B8624C0">
            <w:pPr>
              <w:spacing w:line="360" w:lineRule="auto"/>
              <w:ind w:firstLine="480" w:firstLineChars="200"/>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color w:val="auto"/>
                <w:sz w:val="24"/>
                <w:szCs w:val="24"/>
                <w:highlight w:val="none"/>
              </w:rPr>
              <w:t>本次</w:t>
            </w:r>
            <w:r>
              <w:rPr>
                <w:rFonts w:hint="default" w:ascii="Times New Roman" w:hAnsi="Times New Roman" w:eastAsia="宋体" w:cs="Times New Roman"/>
                <w:color w:val="auto"/>
                <w:sz w:val="24"/>
                <w:szCs w:val="24"/>
                <w:highlight w:val="none"/>
                <w:lang w:val="en-US" w:eastAsia="zh-CN"/>
              </w:rPr>
              <w:t>扩建</w:t>
            </w: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val="en-US" w:eastAsia="zh-CN"/>
              </w:rPr>
              <w:t>共三个地块</w:t>
            </w:r>
            <w:r>
              <w:rPr>
                <w:rFonts w:hint="default" w:ascii="Times New Roman" w:hAnsi="Times New Roman" w:eastAsia="宋体" w:cs="Times New Roman"/>
                <w:color w:val="auto"/>
                <w:sz w:val="24"/>
                <w:szCs w:val="24"/>
                <w:highlight w:val="none"/>
              </w:rPr>
              <w:t>，</w:t>
            </w:r>
            <w:r>
              <w:rPr>
                <w:color w:val="auto"/>
                <w:sz w:val="24"/>
                <w:szCs w:val="24"/>
                <w:highlight w:val="none"/>
              </w:rPr>
              <w:t>项目总占地</w:t>
            </w:r>
            <w:r>
              <w:rPr>
                <w:rFonts w:hint="eastAsia" w:ascii="Times New Roman" w:hAnsi="Times New Roman" w:eastAsia="宋体" w:cs="Times New Roman"/>
                <w:color w:val="auto"/>
                <w:sz w:val="24"/>
                <w:szCs w:val="24"/>
                <w:highlight w:val="none"/>
                <w:lang w:val="en-US" w:eastAsia="zh-CN"/>
              </w:rPr>
              <w:t>24</w:t>
            </w:r>
            <w:r>
              <w:rPr>
                <w:rFonts w:hint="eastAsia" w:cs="Times New Roman"/>
                <w:color w:val="auto"/>
                <w:sz w:val="24"/>
                <w:szCs w:val="24"/>
                <w:highlight w:val="none"/>
                <w:lang w:val="en-US" w:eastAsia="zh-CN"/>
              </w:rPr>
              <w:t>465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eastAsia" w:ascii="Times New Roman" w:hAnsi="Times New Roman" w:eastAsia="宋体" w:cs="Times New Roman"/>
                <w:color w:val="auto"/>
                <w:sz w:val="24"/>
                <w:szCs w:val="24"/>
                <w:highlight w:val="none"/>
                <w:vertAlign w:val="baseline"/>
                <w:lang w:eastAsia="zh-CN"/>
              </w:rPr>
              <w:t>，</w:t>
            </w:r>
            <w:r>
              <w:rPr>
                <w:rFonts w:hint="eastAsia" w:cs="Times New Roman"/>
                <w:color w:val="auto"/>
                <w:sz w:val="24"/>
                <w:szCs w:val="24"/>
                <w:highlight w:val="none"/>
                <w:lang w:val="en-US" w:eastAsia="zh-CN"/>
              </w:rPr>
              <w:t>其中：</w:t>
            </w:r>
            <w:r>
              <w:rPr>
                <w:rFonts w:hint="default" w:ascii="Times New Roman" w:hAnsi="Times New Roman" w:eastAsia="宋体" w:cs="Times New Roman"/>
                <w:color w:val="auto"/>
                <w:sz w:val="24"/>
                <w:szCs w:val="24"/>
                <w:highlight w:val="none"/>
              </w:rPr>
              <w:t>地块</w:t>
            </w:r>
            <w:r>
              <w:rPr>
                <w:rFonts w:hint="default" w:ascii="Times New Roman" w:hAnsi="Times New Roman" w:eastAsia="宋体"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总占地面积</w:t>
            </w:r>
            <w:r>
              <w:rPr>
                <w:rFonts w:hint="default" w:ascii="Times New Roman" w:hAnsi="Times New Roman" w:eastAsia="宋体" w:cs="Times New Roman"/>
                <w:color w:val="auto"/>
                <w:sz w:val="24"/>
                <w:szCs w:val="24"/>
                <w:highlight w:val="none"/>
                <w:lang w:val="en-US" w:eastAsia="zh-CN"/>
              </w:rPr>
              <w:t>945</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，其中1.3级</w:t>
            </w:r>
            <w:r>
              <w:rPr>
                <w:rFonts w:hint="eastAsia" w:cs="Times New Roman"/>
                <w:color w:val="auto"/>
                <w:sz w:val="24"/>
                <w:szCs w:val="24"/>
                <w:highlight w:val="none"/>
                <w:lang w:val="en-US" w:eastAsia="zh-CN"/>
              </w:rPr>
              <w:t>1000</w:t>
            </w:r>
            <w:r>
              <w:rPr>
                <w:rFonts w:hint="default" w:ascii="Times New Roman" w:hAnsi="Times New Roman" w:eastAsia="宋体" w:cs="Times New Roman"/>
                <w:color w:val="auto"/>
                <w:sz w:val="24"/>
                <w:szCs w:val="24"/>
                <w:highlight w:val="none"/>
              </w:rPr>
              <w:t>m²存储仓库2栋</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用储存在节气前从厂家购买的C、D级成品及《烟花爆竹工程设计安全规范》允许存放的其它品种的烟花爆竹</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主要为火炮类20000kg/a，烟花类20000kg/a</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，危险等级为1.3级，设计</w:t>
            </w:r>
            <w:r>
              <w:rPr>
                <w:rFonts w:hint="default" w:ascii="Times New Roman" w:hAnsi="Times New Roman" w:eastAsia="宋体"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rPr>
              <w:t>存储计算药量</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0000kg</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i w:val="0"/>
                <w:iCs w:val="0"/>
                <w:color w:val="auto"/>
                <w:sz w:val="24"/>
                <w:szCs w:val="24"/>
                <w:highlight w:val="none"/>
                <w:lang w:val="en-US" w:eastAsia="zh-CN"/>
              </w:rPr>
              <w:t>地块二</w:t>
            </w:r>
            <w:r>
              <w:rPr>
                <w:rFonts w:hint="default" w:ascii="Times New Roman" w:hAnsi="Times New Roman" w:eastAsia="宋体" w:cs="Times New Roman"/>
                <w:i w:val="0"/>
                <w:iCs w:val="0"/>
                <w:color w:val="auto"/>
                <w:sz w:val="24"/>
                <w:szCs w:val="24"/>
                <w:highlight w:val="none"/>
              </w:rPr>
              <w:t>占地面积约为</w:t>
            </w:r>
            <w:r>
              <w:rPr>
                <w:rFonts w:hint="eastAsia" w:ascii="Times New Roman" w:hAnsi="Times New Roman" w:eastAsia="宋体" w:cs="Times New Roman"/>
                <w:i w:val="0"/>
                <w:iCs w:val="0"/>
                <w:color w:val="auto"/>
                <w:sz w:val="24"/>
                <w:szCs w:val="24"/>
                <w:highlight w:val="none"/>
                <w:lang w:val="en-US" w:eastAsia="zh-CN"/>
              </w:rPr>
              <w:t>713</w:t>
            </w:r>
            <w:r>
              <w:rPr>
                <w:rFonts w:hint="eastAsia" w:cs="Times New Roman"/>
                <w:i w:val="0"/>
                <w:iCs w:val="0"/>
                <w:color w:val="auto"/>
                <w:sz w:val="24"/>
                <w:szCs w:val="24"/>
                <w:highlight w:val="none"/>
                <w:lang w:val="en-US" w:eastAsia="zh-CN"/>
              </w:rPr>
              <w:t>0</w:t>
            </w:r>
            <w:r>
              <w:rPr>
                <w:rFonts w:hint="default" w:ascii="Times New Roman" w:hAnsi="Times New Roman" w:eastAsia="宋体" w:cs="Times New Roman"/>
                <w:i w:val="0"/>
                <w:iCs w:val="0"/>
                <w:color w:val="auto"/>
                <w:sz w:val="24"/>
                <w:szCs w:val="24"/>
                <w:highlight w:val="none"/>
              </w:rPr>
              <w:t>m</w:t>
            </w:r>
            <w:r>
              <w:rPr>
                <w:rFonts w:hint="default" w:ascii="Times New Roman" w:hAnsi="Times New Roman" w:eastAsia="宋体" w:cs="Times New Roman"/>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vertAlign w:val="baseline"/>
                <w:lang w:eastAsia="zh-CN"/>
              </w:rPr>
              <w:t>。</w:t>
            </w:r>
            <w:r>
              <w:rPr>
                <w:rFonts w:hint="default" w:ascii="Times New Roman" w:hAnsi="Times New Roman" w:eastAsia="宋体" w:cs="Times New Roman"/>
                <w:i w:val="0"/>
                <w:iCs w:val="0"/>
                <w:color w:val="auto"/>
                <w:sz w:val="24"/>
                <w:szCs w:val="24"/>
                <w:highlight w:val="none"/>
              </w:rPr>
              <w:t>其中1.</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级</w:t>
            </w:r>
            <w:r>
              <w:rPr>
                <w:rFonts w:hint="eastAsia" w:cs="Times New Roman"/>
                <w:i w:val="0"/>
                <w:iCs w:val="0"/>
                <w:color w:val="auto"/>
                <w:sz w:val="24"/>
                <w:szCs w:val="24"/>
                <w:highlight w:val="none"/>
                <w:lang w:val="en-US" w:eastAsia="zh-CN"/>
              </w:rPr>
              <w:t>500</w:t>
            </w:r>
            <w:r>
              <w:rPr>
                <w:rFonts w:hint="default" w:ascii="Times New Roman" w:hAnsi="Times New Roman" w:eastAsia="宋体" w:cs="Times New Roman"/>
                <w:i w:val="0"/>
                <w:iCs w:val="0"/>
                <w:color w:val="auto"/>
                <w:sz w:val="24"/>
                <w:szCs w:val="24"/>
                <w:highlight w:val="none"/>
              </w:rPr>
              <w:t>m²存储仓库</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栋</w:t>
            </w:r>
            <w:r>
              <w:rPr>
                <w:rFonts w:hint="default" w:ascii="Times New Roman" w:hAnsi="Times New Roman" w:eastAsia="宋体" w:cs="Times New Roman"/>
                <w:i w:val="0"/>
                <w:iCs w:val="0"/>
                <w:color w:val="auto"/>
                <w:sz w:val="24"/>
                <w:szCs w:val="24"/>
                <w:highlight w:val="none"/>
                <w:lang w:eastAsia="zh-CN"/>
              </w:rPr>
              <w:t>，</w:t>
            </w:r>
            <w:r>
              <w:rPr>
                <w:rFonts w:hint="default" w:ascii="Times New Roman" w:hAnsi="Times New Roman" w:eastAsia="宋体" w:cs="Times New Roman"/>
                <w:i w:val="0"/>
                <w:iCs w:val="0"/>
                <w:color w:val="auto"/>
                <w:sz w:val="24"/>
                <w:szCs w:val="24"/>
                <w:highlight w:val="none"/>
              </w:rPr>
              <w:t>用于储存在节气前从厂家购买的</w:t>
            </w:r>
            <w:r>
              <w:rPr>
                <w:rFonts w:hint="default" w:ascii="Times New Roman" w:hAnsi="Times New Roman" w:eastAsia="宋体" w:cs="Times New Roman"/>
                <w:i w:val="0"/>
                <w:iCs w:val="0"/>
                <w:color w:val="auto"/>
                <w:sz w:val="24"/>
                <w:szCs w:val="24"/>
                <w:highlight w:val="none"/>
                <w:lang w:val="en-US" w:eastAsia="zh-CN"/>
              </w:rPr>
              <w:t>A</w:t>
            </w:r>
            <w:r>
              <w:rPr>
                <w:rFonts w:hint="default" w:ascii="Times New Roman" w:hAnsi="Times New Roman" w:eastAsia="宋体" w:cs="Times New Roman"/>
                <w:i w:val="0"/>
                <w:iCs w:val="0"/>
                <w:color w:val="auto"/>
                <w:sz w:val="24"/>
                <w:szCs w:val="24"/>
                <w:highlight w:val="none"/>
              </w:rPr>
              <w:t>、</w:t>
            </w:r>
            <w:r>
              <w:rPr>
                <w:rFonts w:hint="default" w:ascii="Times New Roman" w:hAnsi="Times New Roman" w:eastAsia="宋体" w:cs="Times New Roman"/>
                <w:i w:val="0"/>
                <w:iCs w:val="0"/>
                <w:color w:val="auto"/>
                <w:sz w:val="24"/>
                <w:szCs w:val="24"/>
                <w:highlight w:val="none"/>
                <w:lang w:val="en-US" w:eastAsia="zh-CN"/>
              </w:rPr>
              <w:t>B</w:t>
            </w:r>
            <w:r>
              <w:rPr>
                <w:rFonts w:hint="default" w:ascii="Times New Roman" w:hAnsi="Times New Roman" w:eastAsia="宋体" w:cs="Times New Roman"/>
                <w:i w:val="0"/>
                <w:iCs w:val="0"/>
                <w:color w:val="auto"/>
                <w:sz w:val="24"/>
                <w:szCs w:val="24"/>
                <w:highlight w:val="none"/>
              </w:rPr>
              <w:t>级成品及《烟花爆竹工程设计安全规范》允许存放的其它品种的烟花爆竹</w:t>
            </w:r>
            <w:r>
              <w:rPr>
                <w:rFonts w:hint="default" w:ascii="Times New Roman" w:hAnsi="Times New Roman" w:eastAsia="宋体" w:cs="Times New Roman"/>
                <w:i w:val="0"/>
                <w:iCs w:val="0"/>
                <w:color w:val="auto"/>
                <w:sz w:val="24"/>
                <w:szCs w:val="24"/>
                <w:highlight w:val="none"/>
                <w:lang w:eastAsia="zh-CN"/>
              </w:rPr>
              <w:t>（</w:t>
            </w:r>
            <w:r>
              <w:rPr>
                <w:rFonts w:hint="default" w:ascii="Times New Roman" w:hAnsi="Times New Roman" w:eastAsia="宋体" w:cs="Times New Roman"/>
                <w:i w:val="0"/>
                <w:iCs w:val="0"/>
                <w:color w:val="auto"/>
                <w:sz w:val="24"/>
                <w:szCs w:val="24"/>
                <w:highlight w:val="none"/>
                <w:lang w:val="en-US" w:eastAsia="zh-CN"/>
              </w:rPr>
              <w:t>主要为烟花类10000kg/a</w:t>
            </w:r>
            <w:r>
              <w:rPr>
                <w:rFonts w:hint="default" w:ascii="Times New Roman" w:hAnsi="Times New Roman" w:eastAsia="宋体" w:cs="Times New Roman"/>
                <w:i w:val="0"/>
                <w:iCs w:val="0"/>
                <w:color w:val="auto"/>
                <w:sz w:val="24"/>
                <w:szCs w:val="24"/>
                <w:highlight w:val="none"/>
                <w:lang w:eastAsia="zh-CN"/>
              </w:rPr>
              <w:t>）</w:t>
            </w:r>
            <w:r>
              <w:rPr>
                <w:rFonts w:hint="default" w:ascii="Times New Roman" w:hAnsi="Times New Roman" w:eastAsia="宋体" w:cs="Times New Roman"/>
                <w:i w:val="0"/>
                <w:iCs w:val="0"/>
                <w:color w:val="auto"/>
                <w:sz w:val="24"/>
                <w:szCs w:val="24"/>
                <w:highlight w:val="none"/>
              </w:rPr>
              <w:t>，危险等级为1.</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级，设计</w:t>
            </w:r>
            <w:r>
              <w:rPr>
                <w:rFonts w:hint="default" w:ascii="Times New Roman" w:hAnsi="Times New Roman" w:eastAsia="宋体" w:cs="Times New Roman"/>
                <w:i w:val="0"/>
                <w:iCs w:val="0"/>
                <w:color w:val="auto"/>
                <w:sz w:val="24"/>
                <w:szCs w:val="24"/>
                <w:highlight w:val="none"/>
                <w:lang w:val="en-US" w:eastAsia="zh-CN"/>
              </w:rPr>
              <w:t>总</w:t>
            </w:r>
            <w:r>
              <w:rPr>
                <w:rFonts w:hint="default" w:ascii="Times New Roman" w:hAnsi="Times New Roman" w:eastAsia="宋体" w:cs="Times New Roman"/>
                <w:i w:val="0"/>
                <w:iCs w:val="0"/>
                <w:color w:val="auto"/>
                <w:sz w:val="24"/>
                <w:szCs w:val="24"/>
                <w:highlight w:val="none"/>
              </w:rPr>
              <w:t>存储计算药量</w:t>
            </w:r>
            <w:r>
              <w:rPr>
                <w:rFonts w:hint="default" w:ascii="Times New Roman" w:hAnsi="Times New Roman" w:eastAsia="宋体" w:cs="Times New Roman"/>
                <w:i w:val="0"/>
                <w:iCs w:val="0"/>
                <w:color w:val="auto"/>
                <w:sz w:val="24"/>
                <w:szCs w:val="24"/>
                <w:highlight w:val="none"/>
                <w:lang w:val="en-US" w:eastAsia="zh-CN"/>
              </w:rPr>
              <w:t>1</w:t>
            </w:r>
            <w:r>
              <w:rPr>
                <w:rFonts w:hint="default" w:ascii="Times New Roman" w:hAnsi="Times New Roman" w:eastAsia="宋体" w:cs="Times New Roman"/>
                <w:i w:val="0"/>
                <w:iCs w:val="0"/>
                <w:color w:val="auto"/>
                <w:sz w:val="24"/>
                <w:szCs w:val="24"/>
                <w:highlight w:val="none"/>
              </w:rPr>
              <w:t>0000kg</w:t>
            </w:r>
            <w:r>
              <w:rPr>
                <w:rFonts w:hint="default" w:ascii="Times New Roman" w:hAnsi="Times New Roman" w:eastAsia="宋体" w:cs="Times New Roman"/>
                <w:i w:val="0"/>
                <w:iCs w:val="0"/>
                <w:color w:val="auto"/>
                <w:sz w:val="24"/>
                <w:szCs w:val="24"/>
                <w:highlight w:val="none"/>
                <w:lang w:val="en-US" w:eastAsia="zh-CN"/>
              </w:rPr>
              <w:t>。</w:t>
            </w:r>
            <w:r>
              <w:rPr>
                <w:rFonts w:hint="default" w:ascii="Times New Roman" w:hAnsi="Times New Roman" w:eastAsia="宋体" w:cs="Times New Roman"/>
                <w:i w:val="0"/>
                <w:iCs w:val="0"/>
                <w:color w:val="auto"/>
                <w:sz w:val="24"/>
                <w:szCs w:val="24"/>
                <w:highlight w:val="none"/>
              </w:rPr>
              <w:t>并配套建设值班室等相关设施，成品运输入库后，再由有危险品运输资质的车辆运输发放给零散经营部。</w:t>
            </w:r>
            <w:r>
              <w:rPr>
                <w:rFonts w:hint="default" w:ascii="Times New Roman" w:hAnsi="Times New Roman" w:eastAsia="宋体" w:cs="Times New Roman"/>
                <w:i w:val="0"/>
                <w:iCs w:val="0"/>
                <w:color w:val="auto"/>
                <w:sz w:val="24"/>
                <w:szCs w:val="24"/>
                <w:highlight w:val="none"/>
                <w:lang w:val="en-US" w:eastAsia="zh-CN"/>
              </w:rPr>
              <w:t>地块三</w:t>
            </w:r>
            <w:r>
              <w:rPr>
                <w:rFonts w:hint="default" w:ascii="Times New Roman" w:hAnsi="Times New Roman" w:eastAsia="宋体" w:cs="Times New Roman"/>
                <w:i w:val="0"/>
                <w:iCs w:val="0"/>
                <w:color w:val="auto"/>
                <w:sz w:val="24"/>
                <w:szCs w:val="24"/>
                <w:highlight w:val="none"/>
              </w:rPr>
              <w:t>占地面积</w:t>
            </w:r>
            <w:r>
              <w:rPr>
                <w:rFonts w:hint="eastAsia"/>
                <w:i w:val="0"/>
                <w:iCs w:val="0"/>
                <w:color w:val="auto"/>
                <w:sz w:val="24"/>
                <w:szCs w:val="24"/>
                <w:highlight w:val="none"/>
                <w:lang w:val="en-US" w:eastAsia="zh-CN"/>
              </w:rPr>
              <w:t>7885</w:t>
            </w:r>
            <w:r>
              <w:rPr>
                <w:rFonts w:hint="default" w:ascii="Times New Roman" w:hAnsi="Times New Roman" w:eastAsia="宋体" w:cs="Times New Roman"/>
                <w:i w:val="0"/>
                <w:iCs w:val="0"/>
                <w:color w:val="auto"/>
                <w:sz w:val="24"/>
                <w:szCs w:val="24"/>
                <w:highlight w:val="none"/>
              </w:rPr>
              <w:t>m</w:t>
            </w:r>
            <w:r>
              <w:rPr>
                <w:rFonts w:hint="default" w:ascii="Times New Roman" w:hAnsi="Times New Roman" w:eastAsia="宋体" w:cs="Times New Roman"/>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rPr>
              <w:t>，新建企业展示厅1栋，</w:t>
            </w:r>
            <w:r>
              <w:rPr>
                <w:rFonts w:hint="eastAsia" w:ascii="Times New Roman" w:hAnsi="Times New Roman" w:eastAsia="宋体" w:cs="Times New Roman"/>
                <w:i w:val="0"/>
                <w:iCs w:val="0"/>
                <w:color w:val="auto"/>
                <w:sz w:val="24"/>
                <w:szCs w:val="24"/>
                <w:highlight w:val="none"/>
                <w:lang w:val="en-US" w:eastAsia="zh-CN"/>
              </w:rPr>
              <w:t>建筑面积</w:t>
            </w:r>
            <w:r>
              <w:rPr>
                <w:rFonts w:hint="eastAsia"/>
                <w:i w:val="0"/>
                <w:iCs w:val="0"/>
                <w:color w:val="auto"/>
                <w:sz w:val="24"/>
                <w:szCs w:val="24"/>
                <w:highlight w:val="none"/>
                <w:lang w:val="en-US" w:eastAsia="zh-CN"/>
              </w:rPr>
              <w:t>2200</w:t>
            </w:r>
            <w:r>
              <w:rPr>
                <w:i w:val="0"/>
                <w:iCs w:val="0"/>
                <w:color w:val="auto"/>
                <w:sz w:val="24"/>
                <w:szCs w:val="24"/>
                <w:highlight w:val="none"/>
              </w:rPr>
              <w:t>m</w:t>
            </w:r>
            <w:r>
              <w:rPr>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rPr>
              <w:t>，附属设施面积</w:t>
            </w:r>
            <w:r>
              <w:rPr>
                <w:rFonts w:hint="eastAsia"/>
                <w:i w:val="0"/>
                <w:iCs w:val="0"/>
                <w:color w:val="auto"/>
                <w:sz w:val="24"/>
                <w:szCs w:val="24"/>
                <w:highlight w:val="none"/>
                <w:lang w:val="en-US" w:eastAsia="zh-CN"/>
              </w:rPr>
              <w:t>800</w:t>
            </w:r>
            <w:r>
              <w:rPr>
                <w:i w:val="0"/>
                <w:iCs w:val="0"/>
                <w:color w:val="auto"/>
                <w:sz w:val="24"/>
                <w:szCs w:val="24"/>
                <w:highlight w:val="none"/>
              </w:rPr>
              <w:t>m</w:t>
            </w:r>
            <w:r>
              <w:rPr>
                <w:i w:val="0"/>
                <w:iCs w:val="0"/>
                <w:color w:val="auto"/>
                <w:sz w:val="24"/>
                <w:szCs w:val="24"/>
                <w:highlight w:val="none"/>
                <w:vertAlign w:val="superscript"/>
              </w:rPr>
              <w:t>2</w:t>
            </w:r>
            <w:r>
              <w:rPr>
                <w:rFonts w:hint="default" w:ascii="Times New Roman" w:hAnsi="Times New Roman" w:eastAsia="宋体" w:cs="Times New Roman"/>
                <w:i w:val="0"/>
                <w:iCs w:val="0"/>
                <w:color w:val="auto"/>
                <w:sz w:val="24"/>
                <w:szCs w:val="24"/>
                <w:highlight w:val="none"/>
                <w:lang w:eastAsia="zh-CN"/>
              </w:rPr>
              <w:t>。</w:t>
            </w:r>
          </w:p>
          <w:p w14:paraId="1CD3BB01">
            <w:pPr>
              <w:spacing w:line="360" w:lineRule="auto"/>
              <w:ind w:firstLine="480" w:firstLineChars="200"/>
              <w:rPr>
                <w:color w:val="auto"/>
                <w:sz w:val="24"/>
                <w:szCs w:val="24"/>
                <w:highlight w:val="none"/>
              </w:rPr>
            </w:pPr>
            <w:r>
              <w:rPr>
                <w:color w:val="auto"/>
                <w:sz w:val="24"/>
                <w:szCs w:val="24"/>
                <w:highlight w:val="none"/>
              </w:rPr>
              <w:t>项目工程内容见表2-1。</w:t>
            </w:r>
          </w:p>
          <w:p w14:paraId="0BAD2E24">
            <w:pPr>
              <w:spacing w:line="240" w:lineRule="auto"/>
              <w:jc w:val="center"/>
              <w:rPr>
                <w:b/>
                <w:bCs/>
                <w:color w:val="auto"/>
                <w:szCs w:val="21"/>
                <w:highlight w:val="none"/>
              </w:rPr>
            </w:pPr>
            <w:r>
              <w:rPr>
                <w:b/>
                <w:bCs/>
                <w:color w:val="auto"/>
                <w:szCs w:val="21"/>
                <w:highlight w:val="none"/>
              </w:rPr>
              <w:t>表2-1  项目工程组成一览表</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22"/>
              <w:gridCol w:w="33"/>
              <w:gridCol w:w="424"/>
              <w:gridCol w:w="754"/>
              <w:gridCol w:w="5067"/>
              <w:gridCol w:w="691"/>
            </w:tblGrid>
            <w:tr w14:paraId="7CCD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1" w:type="pct"/>
                  <w:vAlign w:val="center"/>
                </w:tcPr>
                <w:p w14:paraId="3F42E8E0">
                  <w:pPr>
                    <w:jc w:val="center"/>
                    <w:rPr>
                      <w:b/>
                      <w:bCs/>
                      <w:color w:val="auto"/>
                      <w:szCs w:val="21"/>
                      <w:highlight w:val="none"/>
                    </w:rPr>
                  </w:pPr>
                  <w:r>
                    <w:rPr>
                      <w:b/>
                      <w:bCs/>
                      <w:color w:val="auto"/>
                      <w:szCs w:val="21"/>
                      <w:highlight w:val="none"/>
                    </w:rPr>
                    <w:t>序号</w:t>
                  </w:r>
                </w:p>
              </w:tc>
              <w:tc>
                <w:tcPr>
                  <w:tcW w:w="562" w:type="pct"/>
                  <w:gridSpan w:val="3"/>
                  <w:vAlign w:val="center"/>
                </w:tcPr>
                <w:p w14:paraId="7CC7B138">
                  <w:pPr>
                    <w:jc w:val="center"/>
                    <w:rPr>
                      <w:b/>
                      <w:bCs/>
                      <w:color w:val="auto"/>
                      <w:szCs w:val="21"/>
                      <w:highlight w:val="none"/>
                    </w:rPr>
                  </w:pPr>
                  <w:r>
                    <w:rPr>
                      <w:b/>
                      <w:bCs/>
                      <w:color w:val="auto"/>
                      <w:szCs w:val="21"/>
                      <w:highlight w:val="none"/>
                    </w:rPr>
                    <w:t>工程内容</w:t>
                  </w:r>
                </w:p>
              </w:tc>
              <w:tc>
                <w:tcPr>
                  <w:tcW w:w="482" w:type="pct"/>
                  <w:vAlign w:val="center"/>
                </w:tcPr>
                <w:p w14:paraId="37A5214F">
                  <w:pPr>
                    <w:jc w:val="center"/>
                    <w:rPr>
                      <w:b/>
                      <w:bCs/>
                      <w:color w:val="auto"/>
                      <w:szCs w:val="21"/>
                      <w:highlight w:val="none"/>
                    </w:rPr>
                  </w:pPr>
                  <w:r>
                    <w:rPr>
                      <w:b/>
                      <w:bCs/>
                      <w:color w:val="auto"/>
                      <w:szCs w:val="21"/>
                      <w:highlight w:val="none"/>
                    </w:rPr>
                    <w:t>工程名称</w:t>
                  </w:r>
                </w:p>
              </w:tc>
              <w:tc>
                <w:tcPr>
                  <w:tcW w:w="3241" w:type="pct"/>
                  <w:vAlign w:val="center"/>
                </w:tcPr>
                <w:p w14:paraId="3E2C3058">
                  <w:pPr>
                    <w:jc w:val="center"/>
                    <w:rPr>
                      <w:b/>
                      <w:bCs/>
                      <w:color w:val="auto"/>
                      <w:szCs w:val="21"/>
                      <w:highlight w:val="none"/>
                    </w:rPr>
                  </w:pPr>
                  <w:r>
                    <w:rPr>
                      <w:b/>
                      <w:bCs/>
                      <w:color w:val="auto"/>
                      <w:szCs w:val="21"/>
                      <w:highlight w:val="none"/>
                    </w:rPr>
                    <w:t>建设规模</w:t>
                  </w:r>
                </w:p>
              </w:tc>
              <w:tc>
                <w:tcPr>
                  <w:tcW w:w="442" w:type="pct"/>
                  <w:vAlign w:val="center"/>
                </w:tcPr>
                <w:p w14:paraId="1FE73D72">
                  <w:pPr>
                    <w:jc w:val="center"/>
                    <w:rPr>
                      <w:rFonts w:hint="eastAsia" w:eastAsia="宋体"/>
                      <w:b/>
                      <w:bCs/>
                      <w:color w:val="auto"/>
                      <w:szCs w:val="21"/>
                      <w:highlight w:val="none"/>
                      <w:lang w:val="en-US" w:eastAsia="zh-CN"/>
                    </w:rPr>
                  </w:pPr>
                  <w:r>
                    <w:rPr>
                      <w:rFonts w:hint="eastAsia"/>
                      <w:b/>
                      <w:bCs/>
                      <w:color w:val="auto"/>
                      <w:szCs w:val="21"/>
                      <w:highlight w:val="none"/>
                      <w:lang w:val="en-US" w:eastAsia="zh-CN"/>
                    </w:rPr>
                    <w:t>备注</w:t>
                  </w:r>
                </w:p>
              </w:tc>
            </w:tr>
            <w:tr w14:paraId="5BC3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271" w:type="pct"/>
                  <w:vMerge w:val="restart"/>
                  <w:vAlign w:val="center"/>
                </w:tcPr>
                <w:p w14:paraId="376CAAD1">
                  <w:pPr>
                    <w:jc w:val="center"/>
                    <w:rPr>
                      <w:color w:val="auto"/>
                      <w:szCs w:val="21"/>
                      <w:highlight w:val="none"/>
                    </w:rPr>
                  </w:pPr>
                  <w:r>
                    <w:rPr>
                      <w:color w:val="auto"/>
                      <w:szCs w:val="21"/>
                      <w:highlight w:val="none"/>
                    </w:rPr>
                    <w:t>1</w:t>
                  </w:r>
                </w:p>
              </w:tc>
              <w:tc>
                <w:tcPr>
                  <w:tcW w:w="291" w:type="pct"/>
                  <w:gridSpan w:val="2"/>
                  <w:vMerge w:val="restart"/>
                  <w:vAlign w:val="center"/>
                </w:tcPr>
                <w:p w14:paraId="70280B4B">
                  <w:pPr>
                    <w:jc w:val="center"/>
                    <w:rPr>
                      <w:color w:val="auto"/>
                      <w:szCs w:val="21"/>
                      <w:highlight w:val="none"/>
                    </w:rPr>
                  </w:pPr>
                  <w:r>
                    <w:rPr>
                      <w:color w:val="auto"/>
                      <w:szCs w:val="21"/>
                      <w:highlight w:val="none"/>
                    </w:rPr>
                    <w:t>主体工程</w:t>
                  </w:r>
                </w:p>
              </w:tc>
              <w:tc>
                <w:tcPr>
                  <w:tcW w:w="271" w:type="pct"/>
                  <w:vMerge w:val="restart"/>
                  <w:vAlign w:val="center"/>
                </w:tcPr>
                <w:p w14:paraId="677FDEC0">
                  <w:pPr>
                    <w:jc w:val="center"/>
                    <w:rPr>
                      <w:rFonts w:hint="default" w:eastAsia="宋体"/>
                      <w:color w:val="auto"/>
                      <w:szCs w:val="21"/>
                      <w:highlight w:val="none"/>
                      <w:lang w:val="en-US" w:eastAsia="zh-CN"/>
                    </w:rPr>
                  </w:pPr>
                  <w:r>
                    <w:rPr>
                      <w:rFonts w:hint="eastAsia"/>
                      <w:color w:val="auto"/>
                      <w:szCs w:val="21"/>
                      <w:highlight w:val="none"/>
                      <w:lang w:val="en-US" w:eastAsia="zh-CN"/>
                    </w:rPr>
                    <w:t>地块一</w:t>
                  </w:r>
                </w:p>
              </w:tc>
              <w:tc>
                <w:tcPr>
                  <w:tcW w:w="482" w:type="pct"/>
                  <w:vAlign w:val="center"/>
                </w:tcPr>
                <w:p w14:paraId="4307B08B">
                  <w:pPr>
                    <w:jc w:val="center"/>
                    <w:rPr>
                      <w:color w:val="auto"/>
                      <w:szCs w:val="21"/>
                      <w:highlight w:val="none"/>
                    </w:rPr>
                  </w:pPr>
                  <w:r>
                    <w:rPr>
                      <w:color w:val="auto"/>
                      <w:szCs w:val="21"/>
                      <w:highlight w:val="none"/>
                    </w:rPr>
                    <w:t>烟花爆竹存储仓库</w:t>
                  </w:r>
                </w:p>
              </w:tc>
              <w:tc>
                <w:tcPr>
                  <w:tcW w:w="3241" w:type="pct"/>
                  <w:vAlign w:val="center"/>
                </w:tcPr>
                <w:p w14:paraId="354611F2">
                  <w:pPr>
                    <w:jc w:val="center"/>
                    <w:rPr>
                      <w:rFonts w:hint="default" w:eastAsia="宋体"/>
                      <w:color w:val="auto"/>
                      <w:szCs w:val="21"/>
                      <w:highlight w:val="none"/>
                      <w:lang w:val="en-US" w:eastAsia="zh-CN"/>
                    </w:rPr>
                  </w:pPr>
                  <w:r>
                    <w:rPr>
                      <w:rFonts w:hint="eastAsia"/>
                      <w:color w:val="auto"/>
                      <w:szCs w:val="21"/>
                      <w:highlight w:val="none"/>
                      <w:lang w:val="en-US" w:eastAsia="zh-CN"/>
                    </w:rPr>
                    <w:t>地块一</w:t>
                  </w:r>
                  <w:r>
                    <w:rPr>
                      <w:color w:val="auto"/>
                      <w:szCs w:val="21"/>
                      <w:highlight w:val="none"/>
                    </w:rPr>
                    <w:t>共建设1层高度为6m的</w:t>
                  </w:r>
                  <w:r>
                    <w:rPr>
                      <w:rFonts w:hint="eastAsia"/>
                      <w:color w:val="auto"/>
                      <w:szCs w:val="21"/>
                      <w:highlight w:val="none"/>
                      <w:lang w:val="en-US" w:eastAsia="zh-CN"/>
                    </w:rPr>
                    <w:t>2</w:t>
                  </w:r>
                  <w:r>
                    <w:rPr>
                      <w:color w:val="auto"/>
                      <w:szCs w:val="21"/>
                      <w:highlight w:val="none"/>
                    </w:rPr>
                    <w:t>个</w:t>
                  </w:r>
                  <w:r>
                    <w:rPr>
                      <w:rFonts w:hint="eastAsia"/>
                      <w:color w:val="auto"/>
                      <w:szCs w:val="21"/>
                      <w:highlight w:val="none"/>
                      <w:lang w:val="en-US" w:eastAsia="zh-CN"/>
                    </w:rPr>
                    <w:t>1.3级</w:t>
                  </w:r>
                  <w:r>
                    <w:rPr>
                      <w:color w:val="auto"/>
                      <w:szCs w:val="21"/>
                      <w:highlight w:val="none"/>
                    </w:rPr>
                    <w:t>烟花爆竹存</w:t>
                  </w:r>
                  <w:r>
                    <w:rPr>
                      <w:color w:val="auto"/>
                      <w:szCs w:val="21"/>
                      <w:highlight w:val="none"/>
                      <w:lang w:val="zh-CN"/>
                    </w:rPr>
                    <w:t>储</w:t>
                  </w:r>
                  <w:r>
                    <w:rPr>
                      <w:color w:val="auto"/>
                      <w:szCs w:val="21"/>
                      <w:highlight w:val="none"/>
                    </w:rPr>
                    <w:t>仓库，地块</w:t>
                  </w:r>
                  <w:r>
                    <w:rPr>
                      <w:rFonts w:hint="eastAsia"/>
                      <w:color w:val="auto"/>
                      <w:szCs w:val="21"/>
                      <w:highlight w:val="none"/>
                      <w:lang w:val="en-US" w:eastAsia="zh-CN"/>
                    </w:rPr>
                    <w:t>一</w:t>
                  </w:r>
                  <w:r>
                    <w:rPr>
                      <w:color w:val="auto"/>
                      <w:szCs w:val="21"/>
                      <w:highlight w:val="none"/>
                    </w:rPr>
                    <w:t>总占地面积</w:t>
                  </w:r>
                  <w:r>
                    <w:rPr>
                      <w:rFonts w:hint="eastAsia"/>
                      <w:color w:val="auto"/>
                      <w:szCs w:val="21"/>
                      <w:highlight w:val="none"/>
                      <w:lang w:val="en-US" w:eastAsia="zh-CN"/>
                    </w:rPr>
                    <w:t>9450</w:t>
                  </w:r>
                  <w:r>
                    <w:rPr>
                      <w:color w:val="auto"/>
                      <w:szCs w:val="21"/>
                      <w:highlight w:val="none"/>
                    </w:rPr>
                    <w:t>m</w:t>
                  </w:r>
                  <w:r>
                    <w:rPr>
                      <w:color w:val="auto"/>
                      <w:szCs w:val="21"/>
                      <w:highlight w:val="none"/>
                      <w:vertAlign w:val="superscript"/>
                    </w:rPr>
                    <w:t>2</w:t>
                  </w:r>
                  <w:r>
                    <w:rPr>
                      <w:color w:val="auto"/>
                      <w:szCs w:val="21"/>
                      <w:highlight w:val="none"/>
                    </w:rPr>
                    <w:t>，其中①烟花爆竹成品库</w:t>
                  </w:r>
                  <w:r>
                    <w:rPr>
                      <w:rFonts w:hint="eastAsia"/>
                      <w:color w:val="auto"/>
                      <w:szCs w:val="21"/>
                      <w:highlight w:val="none"/>
                    </w:rPr>
                    <w:t>用于存储烟花类</w:t>
                  </w:r>
                  <w:r>
                    <w:rPr>
                      <w:color w:val="auto"/>
                      <w:szCs w:val="21"/>
                      <w:highlight w:val="none"/>
                    </w:rPr>
                    <w:t>位于库区最</w:t>
                  </w:r>
                  <w:r>
                    <w:rPr>
                      <w:rFonts w:hint="eastAsia"/>
                      <w:color w:val="auto"/>
                      <w:szCs w:val="21"/>
                      <w:highlight w:val="none"/>
                      <w:lang w:val="en-US" w:eastAsia="zh-CN"/>
                    </w:rPr>
                    <w:t>南</w:t>
                  </w:r>
                  <w:r>
                    <w:rPr>
                      <w:color w:val="auto"/>
                      <w:szCs w:val="21"/>
                      <w:highlight w:val="none"/>
                    </w:rPr>
                    <w:t>侧，建筑面积为</w:t>
                  </w:r>
                  <w:r>
                    <w:rPr>
                      <w:rFonts w:hint="eastAsia"/>
                      <w:color w:val="auto"/>
                      <w:szCs w:val="21"/>
                      <w:highlight w:val="none"/>
                      <w:lang w:val="en-US" w:eastAsia="zh-CN"/>
                    </w:rPr>
                    <w:t>1000</w:t>
                  </w:r>
                  <w:r>
                    <w:rPr>
                      <w:color w:val="auto"/>
                      <w:szCs w:val="21"/>
                      <w:highlight w:val="none"/>
                    </w:rPr>
                    <w:t>m</w:t>
                  </w:r>
                  <w:r>
                    <w:rPr>
                      <w:color w:val="auto"/>
                      <w:szCs w:val="21"/>
                      <w:highlight w:val="none"/>
                      <w:vertAlign w:val="superscript"/>
                    </w:rPr>
                    <w:t>2</w:t>
                  </w:r>
                  <w:r>
                    <w:rPr>
                      <w:color w:val="auto"/>
                      <w:szCs w:val="21"/>
                      <w:highlight w:val="none"/>
                    </w:rPr>
                    <w:t>；②烟花爆竹成品库</w:t>
                  </w:r>
                  <w:r>
                    <w:rPr>
                      <w:rFonts w:hint="eastAsia"/>
                      <w:color w:val="auto"/>
                      <w:szCs w:val="21"/>
                      <w:highlight w:val="none"/>
                    </w:rPr>
                    <w:t>用于存储火炮类</w:t>
                  </w:r>
                  <w:r>
                    <w:rPr>
                      <w:color w:val="auto"/>
                      <w:szCs w:val="21"/>
                      <w:highlight w:val="none"/>
                    </w:rPr>
                    <w:t>位于库区</w:t>
                  </w:r>
                  <w:r>
                    <w:rPr>
                      <w:rFonts w:hint="eastAsia"/>
                      <w:color w:val="auto"/>
                      <w:szCs w:val="21"/>
                      <w:highlight w:val="none"/>
                      <w:lang w:val="en-US" w:eastAsia="zh-CN"/>
                    </w:rPr>
                    <w:t>北</w:t>
                  </w:r>
                  <w:r>
                    <w:rPr>
                      <w:color w:val="auto"/>
                      <w:szCs w:val="21"/>
                      <w:highlight w:val="none"/>
                    </w:rPr>
                    <w:t>侧，建筑面积为</w:t>
                  </w:r>
                  <w:r>
                    <w:rPr>
                      <w:rFonts w:hint="eastAsia"/>
                      <w:color w:val="auto"/>
                      <w:szCs w:val="21"/>
                      <w:highlight w:val="none"/>
                      <w:lang w:val="en-US" w:eastAsia="zh-CN"/>
                    </w:rPr>
                    <w:t>1000</w:t>
                  </w:r>
                  <w:r>
                    <w:rPr>
                      <w:color w:val="auto"/>
                      <w:szCs w:val="21"/>
                      <w:highlight w:val="none"/>
                    </w:rPr>
                    <w:t>m</w:t>
                  </w:r>
                  <w:r>
                    <w:rPr>
                      <w:color w:val="auto"/>
                      <w:szCs w:val="21"/>
                      <w:highlight w:val="none"/>
                      <w:vertAlign w:val="superscript"/>
                    </w:rPr>
                    <w:t>2</w:t>
                  </w:r>
                  <w:r>
                    <w:rPr>
                      <w:color w:val="auto"/>
                      <w:szCs w:val="21"/>
                      <w:highlight w:val="none"/>
                    </w:rPr>
                    <w:t>；每栋存储药量不大于20000kg。采用地上框架结构</w:t>
                  </w:r>
                  <w:r>
                    <w:rPr>
                      <w:rFonts w:hint="eastAsia"/>
                      <w:color w:val="auto"/>
                      <w:szCs w:val="21"/>
                      <w:highlight w:val="none"/>
                      <w:lang w:eastAsia="zh-CN"/>
                    </w:rPr>
                    <w:t>。</w:t>
                  </w:r>
                  <w:r>
                    <w:rPr>
                      <w:rFonts w:hint="eastAsia"/>
                      <w:color w:val="auto"/>
                      <w:szCs w:val="21"/>
                      <w:highlight w:val="none"/>
                      <w:lang w:val="en-US" w:eastAsia="zh-CN"/>
                    </w:rPr>
                    <w:t>仓库南、北、西侧设有6m宽的防火隔离带，每栋仓库设100m防火隔离带，共200m，1200m</w:t>
                  </w:r>
                  <w:r>
                    <w:rPr>
                      <w:rFonts w:hint="eastAsia"/>
                      <w:color w:val="auto"/>
                      <w:szCs w:val="21"/>
                      <w:highlight w:val="none"/>
                      <w:vertAlign w:val="superscript"/>
                      <w:lang w:val="en-US" w:eastAsia="zh-CN"/>
                    </w:rPr>
                    <w:t>2</w:t>
                  </w:r>
                  <w:r>
                    <w:rPr>
                      <w:rFonts w:hint="eastAsia"/>
                      <w:color w:val="auto"/>
                      <w:szCs w:val="21"/>
                      <w:highlight w:val="none"/>
                      <w:lang w:val="en-US" w:eastAsia="zh-CN"/>
                    </w:rPr>
                    <w:t>，防火隔离带禁止绿化。</w:t>
                  </w:r>
                </w:p>
              </w:tc>
              <w:tc>
                <w:tcPr>
                  <w:tcW w:w="442" w:type="pct"/>
                  <w:vAlign w:val="center"/>
                </w:tcPr>
                <w:p w14:paraId="1A09BF21">
                  <w:pPr>
                    <w:jc w:val="center"/>
                    <w:rPr>
                      <w:rFonts w:hint="default"/>
                      <w:color w:val="auto"/>
                      <w:szCs w:val="21"/>
                      <w:highlight w:val="none"/>
                      <w:lang w:val="en-US" w:eastAsia="zh-CN"/>
                    </w:rPr>
                  </w:pPr>
                  <w:r>
                    <w:rPr>
                      <w:rFonts w:hint="eastAsia"/>
                      <w:color w:val="auto"/>
                      <w:szCs w:val="21"/>
                      <w:highlight w:val="none"/>
                      <w:lang w:val="en-US" w:eastAsia="zh-CN"/>
                    </w:rPr>
                    <w:t>新建</w:t>
                  </w:r>
                </w:p>
              </w:tc>
            </w:tr>
            <w:tr w14:paraId="4F90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37C28CD7">
                  <w:pPr>
                    <w:jc w:val="center"/>
                    <w:rPr>
                      <w:color w:val="auto"/>
                      <w:szCs w:val="21"/>
                      <w:highlight w:val="none"/>
                    </w:rPr>
                  </w:pPr>
                </w:p>
              </w:tc>
              <w:tc>
                <w:tcPr>
                  <w:tcW w:w="291" w:type="pct"/>
                  <w:gridSpan w:val="2"/>
                  <w:vMerge w:val="continue"/>
                  <w:vAlign w:val="center"/>
                </w:tcPr>
                <w:p w14:paraId="484D96E1">
                  <w:pPr>
                    <w:jc w:val="center"/>
                    <w:rPr>
                      <w:color w:val="auto"/>
                      <w:szCs w:val="21"/>
                      <w:highlight w:val="none"/>
                    </w:rPr>
                  </w:pPr>
                </w:p>
              </w:tc>
              <w:tc>
                <w:tcPr>
                  <w:tcW w:w="271" w:type="pct"/>
                  <w:vMerge w:val="continue"/>
                  <w:vAlign w:val="center"/>
                </w:tcPr>
                <w:p w14:paraId="3B409171">
                  <w:pPr>
                    <w:jc w:val="center"/>
                    <w:rPr>
                      <w:color w:val="auto"/>
                      <w:szCs w:val="21"/>
                      <w:highlight w:val="none"/>
                    </w:rPr>
                  </w:pPr>
                </w:p>
              </w:tc>
              <w:tc>
                <w:tcPr>
                  <w:tcW w:w="482" w:type="pct"/>
                  <w:vAlign w:val="center"/>
                </w:tcPr>
                <w:p w14:paraId="599D82D1">
                  <w:pPr>
                    <w:jc w:val="center"/>
                    <w:rPr>
                      <w:color w:val="auto"/>
                      <w:szCs w:val="21"/>
                      <w:highlight w:val="none"/>
                    </w:rPr>
                  </w:pPr>
                  <w:r>
                    <w:rPr>
                      <w:color w:val="auto"/>
                      <w:szCs w:val="21"/>
                      <w:highlight w:val="none"/>
                    </w:rPr>
                    <w:t>卸货区兼消防回车场</w:t>
                  </w:r>
                </w:p>
              </w:tc>
              <w:tc>
                <w:tcPr>
                  <w:tcW w:w="3241" w:type="pct"/>
                  <w:vAlign w:val="center"/>
                </w:tcPr>
                <w:p w14:paraId="15595C6D">
                  <w:pPr>
                    <w:jc w:val="center"/>
                    <w:rPr>
                      <w:rFonts w:hint="eastAsia" w:eastAsia="宋体"/>
                      <w:color w:val="auto"/>
                      <w:szCs w:val="21"/>
                      <w:highlight w:val="none"/>
                      <w:vertAlign w:val="baseline"/>
                      <w:lang w:eastAsia="zh-CN"/>
                    </w:rPr>
                  </w:pPr>
                  <w:r>
                    <w:rPr>
                      <w:color w:val="auto"/>
                      <w:szCs w:val="21"/>
                      <w:highlight w:val="none"/>
                    </w:rPr>
                    <w:t>项目区地块</w:t>
                  </w:r>
                  <w:r>
                    <w:rPr>
                      <w:rFonts w:hint="eastAsia"/>
                      <w:color w:val="auto"/>
                      <w:szCs w:val="21"/>
                      <w:highlight w:val="none"/>
                      <w:lang w:val="en-US" w:eastAsia="zh-CN"/>
                    </w:rPr>
                    <w:t>一</w:t>
                  </w:r>
                  <w:r>
                    <w:rPr>
                      <w:color w:val="auto"/>
                      <w:szCs w:val="21"/>
                      <w:highlight w:val="none"/>
                    </w:rPr>
                    <w:t>①②号烟花爆竹成品库中间位置全部作为卸货区兼消防回车场，占地面积约为</w:t>
                  </w:r>
                  <w:r>
                    <w:rPr>
                      <w:rFonts w:hint="eastAsia"/>
                      <w:color w:val="auto"/>
                      <w:szCs w:val="21"/>
                      <w:highlight w:val="none"/>
                      <w:lang w:val="en-US" w:eastAsia="zh-CN"/>
                    </w:rPr>
                    <w:t>1955.08</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p>
              </w:tc>
              <w:tc>
                <w:tcPr>
                  <w:tcW w:w="442" w:type="pct"/>
                  <w:vAlign w:val="center"/>
                </w:tcPr>
                <w:p w14:paraId="1B006861">
                  <w:pPr>
                    <w:jc w:val="center"/>
                    <w:rPr>
                      <w:color w:val="auto"/>
                      <w:szCs w:val="21"/>
                      <w:highlight w:val="none"/>
                    </w:rPr>
                  </w:pPr>
                  <w:r>
                    <w:rPr>
                      <w:rFonts w:hint="eastAsia"/>
                      <w:color w:val="auto"/>
                      <w:szCs w:val="21"/>
                      <w:highlight w:val="none"/>
                      <w:lang w:val="en-US" w:eastAsia="zh-CN"/>
                    </w:rPr>
                    <w:t>新建</w:t>
                  </w:r>
                </w:p>
              </w:tc>
            </w:tr>
            <w:tr w14:paraId="344C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511691F7">
                  <w:pPr>
                    <w:jc w:val="center"/>
                    <w:rPr>
                      <w:color w:val="auto"/>
                      <w:szCs w:val="21"/>
                      <w:highlight w:val="none"/>
                    </w:rPr>
                  </w:pPr>
                </w:p>
              </w:tc>
              <w:tc>
                <w:tcPr>
                  <w:tcW w:w="291" w:type="pct"/>
                  <w:gridSpan w:val="2"/>
                  <w:vMerge w:val="continue"/>
                  <w:vAlign w:val="center"/>
                </w:tcPr>
                <w:p w14:paraId="15127C20">
                  <w:pPr>
                    <w:jc w:val="center"/>
                    <w:rPr>
                      <w:color w:val="auto"/>
                      <w:szCs w:val="21"/>
                      <w:highlight w:val="none"/>
                    </w:rPr>
                  </w:pPr>
                </w:p>
              </w:tc>
              <w:tc>
                <w:tcPr>
                  <w:tcW w:w="271" w:type="pct"/>
                  <w:vMerge w:val="restart"/>
                  <w:vAlign w:val="center"/>
                </w:tcPr>
                <w:p w14:paraId="69B29E8F">
                  <w:pPr>
                    <w:jc w:val="center"/>
                    <w:rPr>
                      <w:rFonts w:hint="default" w:eastAsia="宋体"/>
                      <w:color w:val="auto"/>
                      <w:szCs w:val="21"/>
                      <w:highlight w:val="none"/>
                      <w:lang w:val="en-US" w:eastAsia="zh-CN"/>
                    </w:rPr>
                  </w:pPr>
                  <w:r>
                    <w:rPr>
                      <w:rFonts w:hint="eastAsia"/>
                      <w:color w:val="auto"/>
                      <w:szCs w:val="21"/>
                      <w:highlight w:val="none"/>
                      <w:lang w:val="en-US" w:eastAsia="zh-CN"/>
                    </w:rPr>
                    <w:t>地块二</w:t>
                  </w:r>
                </w:p>
              </w:tc>
              <w:tc>
                <w:tcPr>
                  <w:tcW w:w="482" w:type="pct"/>
                  <w:vAlign w:val="center"/>
                </w:tcPr>
                <w:p w14:paraId="2BC293F8">
                  <w:pPr>
                    <w:jc w:val="center"/>
                    <w:rPr>
                      <w:color w:val="auto"/>
                      <w:szCs w:val="21"/>
                      <w:highlight w:val="none"/>
                    </w:rPr>
                  </w:pPr>
                  <w:r>
                    <w:rPr>
                      <w:color w:val="auto"/>
                      <w:szCs w:val="21"/>
                      <w:highlight w:val="none"/>
                    </w:rPr>
                    <w:t>烟花爆竹存储仓库</w:t>
                  </w:r>
                </w:p>
              </w:tc>
              <w:tc>
                <w:tcPr>
                  <w:tcW w:w="3241" w:type="pct"/>
                  <w:vAlign w:val="center"/>
                </w:tcPr>
                <w:p w14:paraId="474C1005">
                  <w:pPr>
                    <w:jc w:val="center"/>
                    <w:rPr>
                      <w:color w:val="auto"/>
                      <w:szCs w:val="21"/>
                      <w:highlight w:val="none"/>
                    </w:rPr>
                  </w:pPr>
                  <w:r>
                    <w:rPr>
                      <w:rFonts w:hint="eastAsia"/>
                      <w:color w:val="auto"/>
                      <w:szCs w:val="21"/>
                      <w:highlight w:val="none"/>
                      <w:lang w:val="en-US" w:eastAsia="zh-CN"/>
                    </w:rPr>
                    <w:t>地块二</w:t>
                  </w:r>
                  <w:r>
                    <w:rPr>
                      <w:color w:val="auto"/>
                      <w:szCs w:val="21"/>
                      <w:highlight w:val="none"/>
                    </w:rPr>
                    <w:t>共建设1层高度为6m的</w:t>
                  </w:r>
                  <w:r>
                    <w:rPr>
                      <w:rFonts w:hint="eastAsia"/>
                      <w:color w:val="auto"/>
                      <w:szCs w:val="21"/>
                      <w:highlight w:val="none"/>
                      <w:lang w:val="en-US" w:eastAsia="zh-CN"/>
                    </w:rPr>
                    <w:t>1</w:t>
                  </w:r>
                  <w:r>
                    <w:rPr>
                      <w:color w:val="auto"/>
                      <w:szCs w:val="21"/>
                      <w:highlight w:val="none"/>
                    </w:rPr>
                    <w:t>个</w:t>
                  </w:r>
                  <w:r>
                    <w:rPr>
                      <w:rFonts w:hint="eastAsia"/>
                      <w:color w:val="auto"/>
                      <w:szCs w:val="21"/>
                      <w:highlight w:val="none"/>
                      <w:lang w:val="en-US" w:eastAsia="zh-CN"/>
                    </w:rPr>
                    <w:t>1.1</w:t>
                  </w:r>
                  <w:r>
                    <w:rPr>
                      <w:rFonts w:hint="eastAsia"/>
                      <w:color w:val="auto"/>
                      <w:szCs w:val="21"/>
                      <w:highlight w:val="none"/>
                      <w:vertAlign w:val="superscript"/>
                      <w:lang w:val="en-US" w:eastAsia="zh-CN"/>
                    </w:rPr>
                    <w:t>-2</w:t>
                  </w:r>
                  <w:r>
                    <w:rPr>
                      <w:rFonts w:hint="eastAsia"/>
                      <w:color w:val="auto"/>
                      <w:szCs w:val="21"/>
                      <w:highlight w:val="none"/>
                      <w:lang w:val="en-US" w:eastAsia="zh-CN"/>
                    </w:rPr>
                    <w:t>级</w:t>
                  </w:r>
                  <w:r>
                    <w:rPr>
                      <w:color w:val="auto"/>
                      <w:szCs w:val="21"/>
                      <w:highlight w:val="none"/>
                    </w:rPr>
                    <w:t>烟花爆竹存</w:t>
                  </w:r>
                  <w:r>
                    <w:rPr>
                      <w:color w:val="auto"/>
                      <w:szCs w:val="21"/>
                      <w:highlight w:val="none"/>
                      <w:lang w:val="zh-CN"/>
                    </w:rPr>
                    <w:t>储</w:t>
                  </w:r>
                  <w:r>
                    <w:rPr>
                      <w:color w:val="auto"/>
                      <w:szCs w:val="21"/>
                      <w:highlight w:val="none"/>
                    </w:rPr>
                    <w:t>仓库，地块</w:t>
                  </w:r>
                  <w:r>
                    <w:rPr>
                      <w:rFonts w:hint="eastAsia"/>
                      <w:color w:val="auto"/>
                      <w:szCs w:val="21"/>
                      <w:highlight w:val="none"/>
                      <w:lang w:val="en-US" w:eastAsia="zh-CN"/>
                    </w:rPr>
                    <w:t>二</w:t>
                  </w:r>
                  <w:r>
                    <w:rPr>
                      <w:color w:val="auto"/>
                      <w:szCs w:val="21"/>
                      <w:highlight w:val="none"/>
                    </w:rPr>
                    <w:t>总占地面积</w:t>
                  </w:r>
                  <w:r>
                    <w:rPr>
                      <w:rFonts w:hint="eastAsia"/>
                      <w:color w:val="auto"/>
                      <w:szCs w:val="21"/>
                      <w:highlight w:val="none"/>
                      <w:lang w:val="en-US" w:eastAsia="zh-CN"/>
                    </w:rPr>
                    <w:t>7130</w:t>
                  </w:r>
                  <w:r>
                    <w:rPr>
                      <w:color w:val="auto"/>
                      <w:szCs w:val="21"/>
                      <w:highlight w:val="none"/>
                    </w:rPr>
                    <w:t>m</w:t>
                  </w:r>
                  <w:r>
                    <w:rPr>
                      <w:color w:val="auto"/>
                      <w:szCs w:val="21"/>
                      <w:highlight w:val="none"/>
                      <w:vertAlign w:val="superscript"/>
                    </w:rPr>
                    <w:t>2</w:t>
                  </w:r>
                  <w:r>
                    <w:rPr>
                      <w:color w:val="auto"/>
                      <w:szCs w:val="21"/>
                      <w:highlight w:val="none"/>
                    </w:rPr>
                    <w:t>，其中烟花爆竹成品库</w:t>
                  </w:r>
                  <w:r>
                    <w:rPr>
                      <w:rFonts w:hint="eastAsia"/>
                      <w:color w:val="auto"/>
                      <w:szCs w:val="21"/>
                      <w:highlight w:val="none"/>
                    </w:rPr>
                    <w:t>用于存储烟花类</w:t>
                  </w:r>
                  <w:r>
                    <w:rPr>
                      <w:color w:val="auto"/>
                      <w:szCs w:val="21"/>
                      <w:highlight w:val="none"/>
                    </w:rPr>
                    <w:t>位于库区最</w:t>
                  </w:r>
                  <w:r>
                    <w:rPr>
                      <w:rFonts w:hint="eastAsia"/>
                      <w:color w:val="auto"/>
                      <w:szCs w:val="21"/>
                      <w:highlight w:val="none"/>
                      <w:lang w:val="en-US" w:eastAsia="zh-CN"/>
                    </w:rPr>
                    <w:t>北</w:t>
                  </w:r>
                  <w:r>
                    <w:rPr>
                      <w:color w:val="auto"/>
                      <w:szCs w:val="21"/>
                      <w:highlight w:val="none"/>
                    </w:rPr>
                    <w:t>侧，建筑面积为</w:t>
                  </w:r>
                  <w:r>
                    <w:rPr>
                      <w:rFonts w:hint="eastAsia"/>
                      <w:color w:val="auto"/>
                      <w:szCs w:val="21"/>
                      <w:highlight w:val="none"/>
                      <w:lang w:val="en-US" w:eastAsia="zh-CN"/>
                    </w:rPr>
                    <w:t>500</w:t>
                  </w:r>
                  <w:r>
                    <w:rPr>
                      <w:color w:val="auto"/>
                      <w:szCs w:val="21"/>
                      <w:highlight w:val="none"/>
                    </w:rPr>
                    <w:t>m</w:t>
                  </w:r>
                  <w:r>
                    <w:rPr>
                      <w:color w:val="auto"/>
                      <w:szCs w:val="21"/>
                      <w:highlight w:val="none"/>
                      <w:vertAlign w:val="superscript"/>
                    </w:rPr>
                    <w:t>2</w:t>
                  </w:r>
                  <w:r>
                    <w:rPr>
                      <w:color w:val="auto"/>
                      <w:szCs w:val="21"/>
                      <w:highlight w:val="none"/>
                    </w:rPr>
                    <w:t>；存储药量不大于</w:t>
                  </w:r>
                  <w:r>
                    <w:rPr>
                      <w:rFonts w:hint="eastAsia"/>
                      <w:color w:val="auto"/>
                      <w:szCs w:val="21"/>
                      <w:highlight w:val="none"/>
                      <w:lang w:val="en-US" w:eastAsia="zh-CN"/>
                    </w:rPr>
                    <w:t>1</w:t>
                  </w:r>
                  <w:r>
                    <w:rPr>
                      <w:color w:val="auto"/>
                      <w:szCs w:val="21"/>
                      <w:highlight w:val="none"/>
                    </w:rPr>
                    <w:t>0000kg。采用地上框架结构</w:t>
                  </w:r>
                  <w:r>
                    <w:rPr>
                      <w:rFonts w:hint="eastAsia"/>
                      <w:color w:val="auto"/>
                      <w:szCs w:val="21"/>
                      <w:highlight w:val="none"/>
                      <w:lang w:eastAsia="zh-CN"/>
                    </w:rPr>
                    <w:t>。</w:t>
                  </w:r>
                </w:p>
              </w:tc>
              <w:tc>
                <w:tcPr>
                  <w:tcW w:w="442" w:type="pct"/>
                  <w:vAlign w:val="center"/>
                </w:tcPr>
                <w:p w14:paraId="053FD1AA">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5359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7403D618">
                  <w:pPr>
                    <w:jc w:val="center"/>
                    <w:rPr>
                      <w:color w:val="auto"/>
                      <w:szCs w:val="21"/>
                      <w:highlight w:val="none"/>
                    </w:rPr>
                  </w:pPr>
                </w:p>
              </w:tc>
              <w:tc>
                <w:tcPr>
                  <w:tcW w:w="291" w:type="pct"/>
                  <w:gridSpan w:val="2"/>
                  <w:vMerge w:val="continue"/>
                  <w:vAlign w:val="center"/>
                </w:tcPr>
                <w:p w14:paraId="6B743E0A">
                  <w:pPr>
                    <w:jc w:val="center"/>
                    <w:rPr>
                      <w:color w:val="auto"/>
                      <w:szCs w:val="21"/>
                      <w:highlight w:val="none"/>
                    </w:rPr>
                  </w:pPr>
                </w:p>
              </w:tc>
              <w:tc>
                <w:tcPr>
                  <w:tcW w:w="271" w:type="pct"/>
                  <w:vMerge w:val="continue"/>
                  <w:vAlign w:val="center"/>
                </w:tcPr>
                <w:p w14:paraId="532C83B7">
                  <w:pPr>
                    <w:jc w:val="center"/>
                    <w:rPr>
                      <w:rFonts w:hint="eastAsia"/>
                      <w:color w:val="auto"/>
                      <w:szCs w:val="21"/>
                      <w:highlight w:val="none"/>
                      <w:lang w:val="en-US" w:eastAsia="zh-CN"/>
                    </w:rPr>
                  </w:pPr>
                </w:p>
              </w:tc>
              <w:tc>
                <w:tcPr>
                  <w:tcW w:w="482" w:type="pct"/>
                  <w:vAlign w:val="center"/>
                </w:tcPr>
                <w:p w14:paraId="69723DF3">
                  <w:pPr>
                    <w:jc w:val="center"/>
                    <w:rPr>
                      <w:rFonts w:hint="default" w:eastAsia="宋体"/>
                      <w:color w:val="auto"/>
                      <w:szCs w:val="21"/>
                      <w:highlight w:val="none"/>
                      <w:lang w:val="en-US" w:eastAsia="zh-CN"/>
                    </w:rPr>
                  </w:pPr>
                  <w:r>
                    <w:rPr>
                      <w:rFonts w:hint="eastAsia"/>
                      <w:color w:val="auto"/>
                      <w:szCs w:val="21"/>
                      <w:highlight w:val="none"/>
                      <w:lang w:val="en-US" w:eastAsia="zh-CN"/>
                    </w:rPr>
                    <w:t>防护土堤</w:t>
                  </w:r>
                </w:p>
              </w:tc>
              <w:tc>
                <w:tcPr>
                  <w:tcW w:w="3241" w:type="pct"/>
                  <w:vAlign w:val="center"/>
                </w:tcPr>
                <w:p w14:paraId="040CF84A">
                  <w:pPr>
                    <w:jc w:val="center"/>
                    <w:rPr>
                      <w:rFonts w:hint="default" w:eastAsia="宋体"/>
                      <w:color w:val="auto"/>
                      <w:szCs w:val="21"/>
                      <w:highlight w:val="none"/>
                      <w:lang w:val="en-US" w:eastAsia="zh-CN"/>
                    </w:rPr>
                  </w:pPr>
                  <w:r>
                    <w:rPr>
                      <w:rFonts w:hint="eastAsia"/>
                      <w:color w:val="auto"/>
                      <w:szCs w:val="21"/>
                      <w:highlight w:val="none"/>
                      <w:lang w:val="en-US" w:eastAsia="zh-CN"/>
                    </w:rPr>
                    <w:t>地块二1.1</w:t>
                  </w:r>
                  <w:r>
                    <w:rPr>
                      <w:rFonts w:hint="eastAsia"/>
                      <w:color w:val="auto"/>
                      <w:szCs w:val="21"/>
                      <w:highlight w:val="none"/>
                      <w:vertAlign w:val="superscript"/>
                      <w:lang w:val="en-US" w:eastAsia="zh-CN"/>
                    </w:rPr>
                    <w:t>-2</w:t>
                  </w:r>
                  <w:r>
                    <w:rPr>
                      <w:rFonts w:hint="eastAsia"/>
                      <w:color w:val="auto"/>
                      <w:szCs w:val="21"/>
                      <w:highlight w:val="none"/>
                      <w:lang w:val="en-US" w:eastAsia="zh-CN"/>
                    </w:rPr>
                    <w:t>级</w:t>
                  </w:r>
                  <w:r>
                    <w:rPr>
                      <w:color w:val="auto"/>
                      <w:szCs w:val="21"/>
                      <w:highlight w:val="none"/>
                    </w:rPr>
                    <w:t>烟花爆竹存</w:t>
                  </w:r>
                  <w:r>
                    <w:rPr>
                      <w:color w:val="auto"/>
                      <w:szCs w:val="21"/>
                      <w:highlight w:val="none"/>
                      <w:lang w:val="zh-CN"/>
                    </w:rPr>
                    <w:t>储</w:t>
                  </w:r>
                  <w:r>
                    <w:rPr>
                      <w:color w:val="auto"/>
                      <w:szCs w:val="21"/>
                      <w:highlight w:val="none"/>
                    </w:rPr>
                    <w:t>仓库</w:t>
                  </w:r>
                  <w:r>
                    <w:rPr>
                      <w:rFonts w:hint="eastAsia"/>
                      <w:color w:val="auto"/>
                      <w:szCs w:val="21"/>
                      <w:highlight w:val="none"/>
                      <w:lang w:val="en-US" w:eastAsia="zh-CN"/>
                    </w:rPr>
                    <w:t>采用防护土堤作为防护屏障，底部宽度12m，顶部宽度1m，高9.35m，长度为150.66m，北侧、南侧、东侧底部距仓库3m，西侧距仓库6m，开口位于仓库西南侧，开口宽度4m。</w:t>
                  </w:r>
                </w:p>
              </w:tc>
              <w:tc>
                <w:tcPr>
                  <w:tcW w:w="442" w:type="pct"/>
                  <w:vAlign w:val="center"/>
                </w:tcPr>
                <w:p w14:paraId="0457D2E6">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753C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63A0E798">
                  <w:pPr>
                    <w:jc w:val="center"/>
                    <w:rPr>
                      <w:color w:val="auto"/>
                      <w:szCs w:val="21"/>
                      <w:highlight w:val="none"/>
                    </w:rPr>
                  </w:pPr>
                </w:p>
              </w:tc>
              <w:tc>
                <w:tcPr>
                  <w:tcW w:w="291" w:type="pct"/>
                  <w:gridSpan w:val="2"/>
                  <w:vMerge w:val="continue"/>
                  <w:vAlign w:val="center"/>
                </w:tcPr>
                <w:p w14:paraId="75EFD05A">
                  <w:pPr>
                    <w:jc w:val="center"/>
                    <w:rPr>
                      <w:color w:val="auto"/>
                      <w:szCs w:val="21"/>
                      <w:highlight w:val="none"/>
                    </w:rPr>
                  </w:pPr>
                </w:p>
              </w:tc>
              <w:tc>
                <w:tcPr>
                  <w:tcW w:w="271" w:type="pct"/>
                  <w:vMerge w:val="continue"/>
                  <w:vAlign w:val="center"/>
                </w:tcPr>
                <w:p w14:paraId="2EF37F22">
                  <w:pPr>
                    <w:jc w:val="center"/>
                    <w:rPr>
                      <w:rFonts w:hint="eastAsia"/>
                      <w:color w:val="auto"/>
                      <w:szCs w:val="21"/>
                      <w:highlight w:val="none"/>
                      <w:lang w:val="en-US" w:eastAsia="zh-CN"/>
                    </w:rPr>
                  </w:pPr>
                </w:p>
              </w:tc>
              <w:tc>
                <w:tcPr>
                  <w:tcW w:w="482" w:type="pct"/>
                  <w:vAlign w:val="center"/>
                </w:tcPr>
                <w:p w14:paraId="6B6DBE13">
                  <w:pPr>
                    <w:jc w:val="center"/>
                    <w:rPr>
                      <w:rFonts w:hint="default" w:eastAsia="宋体"/>
                      <w:color w:val="auto"/>
                      <w:szCs w:val="21"/>
                      <w:highlight w:val="none"/>
                      <w:lang w:val="en-US" w:eastAsia="zh-CN"/>
                    </w:rPr>
                  </w:pPr>
                  <w:r>
                    <w:rPr>
                      <w:rFonts w:hint="eastAsia"/>
                      <w:color w:val="auto"/>
                      <w:szCs w:val="21"/>
                      <w:highlight w:val="none"/>
                      <w:lang w:val="en-US" w:eastAsia="zh-CN"/>
                    </w:rPr>
                    <w:t>装卸调度区、安全控制区</w:t>
                  </w:r>
                </w:p>
              </w:tc>
              <w:tc>
                <w:tcPr>
                  <w:tcW w:w="3241" w:type="pct"/>
                  <w:vAlign w:val="center"/>
                </w:tcPr>
                <w:p w14:paraId="208E5060">
                  <w:pPr>
                    <w:jc w:val="center"/>
                    <w:rPr>
                      <w:rFonts w:hint="default"/>
                      <w:color w:val="auto"/>
                      <w:szCs w:val="21"/>
                      <w:highlight w:val="none"/>
                      <w:lang w:val="en-US" w:eastAsia="zh-CN"/>
                    </w:rPr>
                  </w:pPr>
                  <w:r>
                    <w:rPr>
                      <w:color w:val="auto"/>
                      <w:szCs w:val="21"/>
                      <w:highlight w:val="none"/>
                    </w:rPr>
                    <w:t>项目区地块</w:t>
                  </w:r>
                  <w:r>
                    <w:rPr>
                      <w:rFonts w:hint="eastAsia"/>
                      <w:color w:val="auto"/>
                      <w:szCs w:val="21"/>
                      <w:highlight w:val="none"/>
                      <w:lang w:val="en-US" w:eastAsia="zh-CN"/>
                    </w:rPr>
                    <w:t>二装卸调度区、安全控制区位于地块二中部，占地面积</w:t>
                  </w:r>
                  <w:r>
                    <w:rPr>
                      <w:color w:val="auto"/>
                      <w:szCs w:val="21"/>
                      <w:highlight w:val="none"/>
                    </w:rPr>
                    <w:t>约为</w:t>
                  </w:r>
                  <w:r>
                    <w:rPr>
                      <w:rFonts w:hint="eastAsia"/>
                      <w:color w:val="auto"/>
                      <w:szCs w:val="21"/>
                      <w:highlight w:val="none"/>
                      <w:lang w:val="en-US" w:eastAsia="zh-CN"/>
                    </w:rPr>
                    <w:t>1585.4</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p>
              </w:tc>
              <w:tc>
                <w:tcPr>
                  <w:tcW w:w="442" w:type="pct"/>
                  <w:vAlign w:val="center"/>
                </w:tcPr>
                <w:p w14:paraId="4B0A41C6">
                  <w:pPr>
                    <w:jc w:val="center"/>
                    <w:rPr>
                      <w:color w:val="auto"/>
                      <w:szCs w:val="21"/>
                      <w:highlight w:val="none"/>
                    </w:rPr>
                  </w:pPr>
                  <w:r>
                    <w:rPr>
                      <w:rFonts w:hint="eastAsia"/>
                      <w:color w:val="auto"/>
                      <w:szCs w:val="21"/>
                      <w:highlight w:val="none"/>
                      <w:lang w:val="en-US" w:eastAsia="zh-CN"/>
                    </w:rPr>
                    <w:t>新建</w:t>
                  </w:r>
                </w:p>
              </w:tc>
            </w:tr>
            <w:tr w14:paraId="0924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56A0577F">
                  <w:pPr>
                    <w:jc w:val="center"/>
                    <w:rPr>
                      <w:color w:val="auto"/>
                      <w:szCs w:val="21"/>
                      <w:highlight w:val="none"/>
                    </w:rPr>
                  </w:pPr>
                </w:p>
              </w:tc>
              <w:tc>
                <w:tcPr>
                  <w:tcW w:w="291" w:type="pct"/>
                  <w:gridSpan w:val="2"/>
                  <w:vMerge w:val="continue"/>
                  <w:vAlign w:val="center"/>
                </w:tcPr>
                <w:p w14:paraId="64DBEBB8">
                  <w:pPr>
                    <w:jc w:val="center"/>
                    <w:rPr>
                      <w:color w:val="auto"/>
                      <w:szCs w:val="21"/>
                      <w:highlight w:val="none"/>
                    </w:rPr>
                  </w:pPr>
                </w:p>
              </w:tc>
              <w:tc>
                <w:tcPr>
                  <w:tcW w:w="271" w:type="pct"/>
                  <w:vMerge w:val="continue"/>
                  <w:vAlign w:val="center"/>
                </w:tcPr>
                <w:p w14:paraId="1CD47D3B">
                  <w:pPr>
                    <w:jc w:val="center"/>
                    <w:rPr>
                      <w:rFonts w:hint="eastAsia"/>
                      <w:color w:val="auto"/>
                      <w:szCs w:val="21"/>
                      <w:highlight w:val="none"/>
                      <w:lang w:val="en-US" w:eastAsia="zh-CN"/>
                    </w:rPr>
                  </w:pPr>
                </w:p>
              </w:tc>
              <w:tc>
                <w:tcPr>
                  <w:tcW w:w="482" w:type="pct"/>
                  <w:vAlign w:val="center"/>
                </w:tcPr>
                <w:p w14:paraId="540878F4">
                  <w:pPr>
                    <w:jc w:val="center"/>
                    <w:rPr>
                      <w:color w:val="auto"/>
                      <w:szCs w:val="21"/>
                      <w:highlight w:val="none"/>
                    </w:rPr>
                  </w:pPr>
                  <w:r>
                    <w:rPr>
                      <w:color w:val="auto"/>
                      <w:szCs w:val="21"/>
                      <w:highlight w:val="none"/>
                    </w:rPr>
                    <w:t>卸货区兼消防回车场</w:t>
                  </w:r>
                </w:p>
              </w:tc>
              <w:tc>
                <w:tcPr>
                  <w:tcW w:w="3241" w:type="pct"/>
                  <w:shd w:val="clear" w:color="auto" w:fill="auto"/>
                  <w:vAlign w:val="center"/>
                </w:tcPr>
                <w:p w14:paraId="0BE89747">
                  <w:pPr>
                    <w:jc w:val="center"/>
                    <w:rPr>
                      <w:rFonts w:hint="eastAsia" w:ascii="Times New Roman" w:hAnsi="Times New Roman" w:eastAsia="宋体" w:cs="Times New Roman"/>
                      <w:color w:val="auto"/>
                      <w:kern w:val="2"/>
                      <w:sz w:val="21"/>
                      <w:szCs w:val="21"/>
                      <w:highlight w:val="none"/>
                      <w:vertAlign w:val="baseline"/>
                      <w:lang w:val="en-US" w:eastAsia="zh-CN" w:bidi="ar-SA"/>
                    </w:rPr>
                  </w:pPr>
                  <w:r>
                    <w:rPr>
                      <w:color w:val="auto"/>
                      <w:szCs w:val="21"/>
                      <w:highlight w:val="none"/>
                    </w:rPr>
                    <w:t>项目区地块</w:t>
                  </w:r>
                  <w:r>
                    <w:rPr>
                      <w:rFonts w:hint="eastAsia"/>
                      <w:color w:val="auto"/>
                      <w:szCs w:val="21"/>
                      <w:highlight w:val="none"/>
                      <w:lang w:val="en-US" w:eastAsia="zh-CN"/>
                    </w:rPr>
                    <w:t>二</w:t>
                  </w:r>
                  <w:r>
                    <w:rPr>
                      <w:color w:val="auto"/>
                      <w:szCs w:val="21"/>
                      <w:highlight w:val="none"/>
                    </w:rPr>
                    <w:t>烟花爆竹成品库中间位置全部作为卸货区兼消防回车场，占地面积约为</w:t>
                  </w:r>
                  <w:r>
                    <w:rPr>
                      <w:rFonts w:hint="eastAsia"/>
                      <w:color w:val="auto"/>
                      <w:szCs w:val="21"/>
                      <w:highlight w:val="none"/>
                      <w:lang w:val="en-US" w:eastAsia="zh-CN"/>
                    </w:rPr>
                    <w:t>424.2</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p>
              </w:tc>
              <w:tc>
                <w:tcPr>
                  <w:tcW w:w="442" w:type="pct"/>
                  <w:shd w:val="clear" w:color="auto" w:fill="auto"/>
                  <w:vAlign w:val="center"/>
                </w:tcPr>
                <w:p w14:paraId="5169AFDB">
                  <w:pPr>
                    <w:jc w:val="center"/>
                    <w:rPr>
                      <w:color w:val="auto"/>
                      <w:szCs w:val="21"/>
                      <w:highlight w:val="none"/>
                    </w:rPr>
                  </w:pPr>
                  <w:r>
                    <w:rPr>
                      <w:rFonts w:hint="eastAsia"/>
                      <w:color w:val="auto"/>
                      <w:szCs w:val="21"/>
                      <w:highlight w:val="none"/>
                      <w:lang w:val="en-US" w:eastAsia="zh-CN"/>
                    </w:rPr>
                    <w:t>新建</w:t>
                  </w:r>
                </w:p>
              </w:tc>
            </w:tr>
            <w:tr w14:paraId="5005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07A71F8C">
                  <w:pPr>
                    <w:jc w:val="center"/>
                    <w:rPr>
                      <w:color w:val="auto"/>
                      <w:szCs w:val="21"/>
                      <w:highlight w:val="none"/>
                    </w:rPr>
                  </w:pPr>
                </w:p>
              </w:tc>
              <w:tc>
                <w:tcPr>
                  <w:tcW w:w="291" w:type="pct"/>
                  <w:gridSpan w:val="2"/>
                  <w:vMerge w:val="continue"/>
                  <w:vAlign w:val="center"/>
                </w:tcPr>
                <w:p w14:paraId="1DBC4431">
                  <w:pPr>
                    <w:jc w:val="center"/>
                    <w:rPr>
                      <w:color w:val="auto"/>
                      <w:szCs w:val="21"/>
                      <w:highlight w:val="none"/>
                    </w:rPr>
                  </w:pPr>
                </w:p>
              </w:tc>
              <w:tc>
                <w:tcPr>
                  <w:tcW w:w="271" w:type="pct"/>
                  <w:vMerge w:val="restart"/>
                  <w:vAlign w:val="center"/>
                </w:tcPr>
                <w:p w14:paraId="1703AA2A">
                  <w:pPr>
                    <w:jc w:val="center"/>
                    <w:rPr>
                      <w:rFonts w:hint="default" w:eastAsia="宋体"/>
                      <w:color w:val="auto"/>
                      <w:szCs w:val="21"/>
                      <w:highlight w:val="none"/>
                      <w:lang w:val="en-US" w:eastAsia="zh-CN"/>
                    </w:rPr>
                  </w:pPr>
                  <w:r>
                    <w:rPr>
                      <w:rFonts w:hint="eastAsia"/>
                      <w:color w:val="auto"/>
                      <w:szCs w:val="21"/>
                      <w:highlight w:val="none"/>
                      <w:lang w:val="en-US" w:eastAsia="zh-CN"/>
                    </w:rPr>
                    <w:t>地块三</w:t>
                  </w:r>
                </w:p>
              </w:tc>
              <w:tc>
                <w:tcPr>
                  <w:tcW w:w="482" w:type="pct"/>
                  <w:vAlign w:val="center"/>
                </w:tcPr>
                <w:p w14:paraId="3324C05F">
                  <w:pPr>
                    <w:jc w:val="center"/>
                    <w:rPr>
                      <w:rFonts w:hint="default" w:eastAsia="宋体"/>
                      <w:color w:val="auto"/>
                      <w:szCs w:val="21"/>
                      <w:highlight w:val="none"/>
                      <w:lang w:val="en-US" w:eastAsia="zh-CN"/>
                    </w:rPr>
                  </w:pPr>
                  <w:r>
                    <w:rPr>
                      <w:rFonts w:hint="eastAsia"/>
                      <w:color w:val="auto"/>
                      <w:szCs w:val="21"/>
                      <w:highlight w:val="none"/>
                      <w:lang w:val="en-US" w:eastAsia="zh-CN"/>
                    </w:rPr>
                    <w:t>企业展厅</w:t>
                  </w:r>
                </w:p>
              </w:tc>
              <w:tc>
                <w:tcPr>
                  <w:tcW w:w="3241" w:type="pct"/>
                  <w:vAlign w:val="center"/>
                </w:tcPr>
                <w:p w14:paraId="72096BE7">
                  <w:pPr>
                    <w:jc w:val="center"/>
                    <w:rPr>
                      <w:color w:val="auto"/>
                      <w:szCs w:val="21"/>
                      <w:highlight w:val="none"/>
                    </w:rPr>
                  </w:pPr>
                  <w:r>
                    <w:rPr>
                      <w:rFonts w:hint="eastAsia"/>
                      <w:color w:val="auto"/>
                      <w:szCs w:val="21"/>
                      <w:highlight w:val="none"/>
                      <w:lang w:val="en-US" w:eastAsia="zh-CN"/>
                    </w:rPr>
                    <w:t>地块三</w:t>
                  </w:r>
                  <w:r>
                    <w:rPr>
                      <w:color w:val="auto"/>
                      <w:szCs w:val="21"/>
                      <w:highlight w:val="none"/>
                    </w:rPr>
                    <w:t>共建设1层高度为</w:t>
                  </w:r>
                  <w:r>
                    <w:rPr>
                      <w:rFonts w:hint="eastAsia"/>
                      <w:color w:val="auto"/>
                      <w:szCs w:val="21"/>
                      <w:highlight w:val="none"/>
                      <w:lang w:val="en-US" w:eastAsia="zh-CN"/>
                    </w:rPr>
                    <w:t>8.4</w:t>
                  </w:r>
                  <w:r>
                    <w:rPr>
                      <w:color w:val="auto"/>
                      <w:szCs w:val="21"/>
                      <w:highlight w:val="none"/>
                    </w:rPr>
                    <w:t>m的</w:t>
                  </w:r>
                  <w:r>
                    <w:rPr>
                      <w:rFonts w:hint="eastAsia"/>
                      <w:color w:val="auto"/>
                      <w:szCs w:val="21"/>
                      <w:highlight w:val="none"/>
                      <w:lang w:val="en-US" w:eastAsia="zh-CN"/>
                    </w:rPr>
                    <w:t>企业展厅</w:t>
                  </w:r>
                  <w:r>
                    <w:rPr>
                      <w:color w:val="auto"/>
                      <w:szCs w:val="21"/>
                      <w:highlight w:val="none"/>
                    </w:rPr>
                    <w:t>，地块</w:t>
                  </w:r>
                  <w:r>
                    <w:rPr>
                      <w:rFonts w:hint="eastAsia"/>
                      <w:color w:val="auto"/>
                      <w:szCs w:val="21"/>
                      <w:highlight w:val="none"/>
                      <w:lang w:val="en-US" w:eastAsia="zh-CN"/>
                    </w:rPr>
                    <w:t>三</w:t>
                  </w:r>
                  <w:r>
                    <w:rPr>
                      <w:color w:val="auto"/>
                      <w:szCs w:val="21"/>
                      <w:highlight w:val="none"/>
                    </w:rPr>
                    <w:t>总占地面积</w:t>
                  </w:r>
                  <w:r>
                    <w:rPr>
                      <w:rFonts w:hint="eastAsia"/>
                      <w:color w:val="auto"/>
                      <w:szCs w:val="21"/>
                      <w:highlight w:val="none"/>
                      <w:lang w:val="en-US" w:eastAsia="zh-CN"/>
                    </w:rPr>
                    <w:t>7885</w:t>
                  </w:r>
                  <w:r>
                    <w:rPr>
                      <w:color w:val="auto"/>
                      <w:szCs w:val="21"/>
                      <w:highlight w:val="none"/>
                    </w:rPr>
                    <w:t>m</w:t>
                  </w:r>
                  <w:r>
                    <w:rPr>
                      <w:color w:val="auto"/>
                      <w:szCs w:val="21"/>
                      <w:highlight w:val="none"/>
                      <w:vertAlign w:val="superscript"/>
                    </w:rPr>
                    <w:t>2</w:t>
                  </w:r>
                  <w:r>
                    <w:rPr>
                      <w:color w:val="auto"/>
                      <w:szCs w:val="21"/>
                      <w:highlight w:val="none"/>
                    </w:rPr>
                    <w:t>，</w:t>
                  </w:r>
                  <w:r>
                    <w:rPr>
                      <w:rFonts w:hint="eastAsia"/>
                      <w:color w:val="auto"/>
                      <w:szCs w:val="21"/>
                      <w:highlight w:val="none"/>
                      <w:lang w:val="en-US" w:eastAsia="zh-CN"/>
                    </w:rPr>
                    <w:t>企业展厅</w:t>
                  </w:r>
                  <w:r>
                    <w:rPr>
                      <w:color w:val="auto"/>
                      <w:szCs w:val="21"/>
                      <w:highlight w:val="none"/>
                    </w:rPr>
                    <w:t>建筑面积为</w:t>
                  </w:r>
                  <w:r>
                    <w:rPr>
                      <w:rFonts w:hint="eastAsia"/>
                      <w:color w:val="auto"/>
                      <w:szCs w:val="21"/>
                      <w:highlight w:val="none"/>
                      <w:lang w:val="en-US" w:eastAsia="zh-CN"/>
                    </w:rPr>
                    <w:t>2200</w:t>
                  </w:r>
                  <w:r>
                    <w:rPr>
                      <w:color w:val="auto"/>
                      <w:szCs w:val="21"/>
                      <w:highlight w:val="none"/>
                    </w:rPr>
                    <w:t>m</w:t>
                  </w:r>
                  <w:r>
                    <w:rPr>
                      <w:color w:val="auto"/>
                      <w:szCs w:val="21"/>
                      <w:highlight w:val="none"/>
                      <w:vertAlign w:val="superscript"/>
                    </w:rPr>
                    <w:t>2</w:t>
                  </w:r>
                  <w:r>
                    <w:rPr>
                      <w:color w:val="auto"/>
                      <w:szCs w:val="21"/>
                      <w:highlight w:val="none"/>
                    </w:rPr>
                    <w:t>；采用地上框架结构</w:t>
                  </w:r>
                  <w:r>
                    <w:rPr>
                      <w:rFonts w:hint="eastAsia"/>
                      <w:color w:val="auto"/>
                      <w:szCs w:val="21"/>
                      <w:highlight w:val="none"/>
                      <w:lang w:eastAsia="zh-CN"/>
                    </w:rPr>
                    <w:t>。</w:t>
                  </w:r>
                </w:p>
              </w:tc>
              <w:tc>
                <w:tcPr>
                  <w:tcW w:w="442" w:type="pct"/>
                  <w:vAlign w:val="center"/>
                </w:tcPr>
                <w:p w14:paraId="5962C9D7">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53C4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vMerge w:val="continue"/>
                  <w:vAlign w:val="center"/>
                </w:tcPr>
                <w:p w14:paraId="16B638C9">
                  <w:pPr>
                    <w:jc w:val="center"/>
                    <w:rPr>
                      <w:color w:val="auto"/>
                      <w:szCs w:val="21"/>
                      <w:highlight w:val="none"/>
                    </w:rPr>
                  </w:pPr>
                </w:p>
              </w:tc>
              <w:tc>
                <w:tcPr>
                  <w:tcW w:w="291" w:type="pct"/>
                  <w:gridSpan w:val="2"/>
                  <w:vMerge w:val="continue"/>
                  <w:vAlign w:val="center"/>
                </w:tcPr>
                <w:p w14:paraId="7BDD43B5">
                  <w:pPr>
                    <w:jc w:val="center"/>
                    <w:rPr>
                      <w:color w:val="auto"/>
                      <w:szCs w:val="21"/>
                      <w:highlight w:val="none"/>
                    </w:rPr>
                  </w:pPr>
                </w:p>
              </w:tc>
              <w:tc>
                <w:tcPr>
                  <w:tcW w:w="271" w:type="pct"/>
                  <w:vMerge w:val="continue"/>
                  <w:vAlign w:val="center"/>
                </w:tcPr>
                <w:p w14:paraId="1156309E">
                  <w:pPr>
                    <w:jc w:val="center"/>
                    <w:rPr>
                      <w:rFonts w:hint="eastAsia"/>
                      <w:color w:val="auto"/>
                      <w:szCs w:val="21"/>
                      <w:highlight w:val="none"/>
                      <w:lang w:val="en-US" w:eastAsia="zh-CN"/>
                    </w:rPr>
                  </w:pPr>
                </w:p>
              </w:tc>
              <w:tc>
                <w:tcPr>
                  <w:tcW w:w="482" w:type="pct"/>
                  <w:vAlign w:val="center"/>
                </w:tcPr>
                <w:p w14:paraId="3BACDF08">
                  <w:pPr>
                    <w:jc w:val="center"/>
                    <w:rPr>
                      <w:rFonts w:hint="default" w:eastAsia="宋体"/>
                      <w:color w:val="auto"/>
                      <w:szCs w:val="21"/>
                      <w:highlight w:val="none"/>
                      <w:lang w:val="en-US" w:eastAsia="zh-CN"/>
                    </w:rPr>
                  </w:pPr>
                  <w:r>
                    <w:rPr>
                      <w:rFonts w:hint="eastAsia"/>
                      <w:color w:val="auto"/>
                      <w:szCs w:val="21"/>
                      <w:highlight w:val="none"/>
                      <w:lang w:val="en-US" w:eastAsia="zh-CN"/>
                    </w:rPr>
                    <w:t>辅助用房</w:t>
                  </w:r>
                </w:p>
              </w:tc>
              <w:tc>
                <w:tcPr>
                  <w:tcW w:w="3241" w:type="pct"/>
                  <w:vAlign w:val="center"/>
                </w:tcPr>
                <w:p w14:paraId="32F1BD7C">
                  <w:pPr>
                    <w:jc w:val="center"/>
                    <w:rPr>
                      <w:rFonts w:hint="default"/>
                      <w:color w:val="auto"/>
                      <w:szCs w:val="21"/>
                      <w:highlight w:val="none"/>
                      <w:lang w:val="en-US"/>
                    </w:rPr>
                  </w:pPr>
                  <w:r>
                    <w:rPr>
                      <w:rFonts w:hint="eastAsia"/>
                      <w:color w:val="auto"/>
                      <w:szCs w:val="21"/>
                      <w:highlight w:val="none"/>
                      <w:lang w:val="en-US" w:eastAsia="zh-CN"/>
                    </w:rPr>
                    <w:t>地块三</w:t>
                  </w:r>
                  <w:r>
                    <w:rPr>
                      <w:color w:val="auto"/>
                      <w:szCs w:val="21"/>
                      <w:highlight w:val="none"/>
                    </w:rPr>
                    <w:t>共建设1层高度为</w:t>
                  </w:r>
                  <w:r>
                    <w:rPr>
                      <w:rFonts w:hint="eastAsia"/>
                      <w:color w:val="auto"/>
                      <w:szCs w:val="21"/>
                      <w:highlight w:val="none"/>
                      <w:lang w:val="en-US" w:eastAsia="zh-CN"/>
                    </w:rPr>
                    <w:t>4.35</w:t>
                  </w:r>
                  <w:r>
                    <w:rPr>
                      <w:color w:val="auto"/>
                      <w:szCs w:val="21"/>
                      <w:highlight w:val="none"/>
                    </w:rPr>
                    <w:t>m的</w:t>
                  </w:r>
                  <w:r>
                    <w:rPr>
                      <w:rFonts w:hint="eastAsia"/>
                      <w:color w:val="auto"/>
                      <w:szCs w:val="21"/>
                      <w:highlight w:val="none"/>
                      <w:lang w:val="en-US" w:eastAsia="zh-CN"/>
                    </w:rPr>
                    <w:t>辅助用房，主要用于展厅服务工作人员办公场所，辅助用房</w:t>
                  </w:r>
                  <w:r>
                    <w:rPr>
                      <w:color w:val="auto"/>
                      <w:szCs w:val="21"/>
                      <w:highlight w:val="none"/>
                    </w:rPr>
                    <w:t>建筑面积为</w:t>
                  </w:r>
                  <w:r>
                    <w:rPr>
                      <w:rFonts w:hint="eastAsia"/>
                      <w:color w:val="auto"/>
                      <w:szCs w:val="21"/>
                      <w:highlight w:val="none"/>
                      <w:lang w:val="en-US" w:eastAsia="zh-CN"/>
                    </w:rPr>
                    <w:t>500</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r>
                    <w:rPr>
                      <w:rFonts w:hint="eastAsia"/>
                      <w:color w:val="auto"/>
                      <w:szCs w:val="21"/>
                      <w:highlight w:val="none"/>
                      <w:vertAlign w:val="baseline"/>
                      <w:lang w:val="en-US" w:eastAsia="zh-CN"/>
                    </w:rPr>
                    <w:t>其中地上建筑面积</w:t>
                  </w:r>
                  <w:r>
                    <w:rPr>
                      <w:rFonts w:hint="eastAsia"/>
                      <w:color w:val="auto"/>
                      <w:szCs w:val="21"/>
                      <w:highlight w:val="none"/>
                      <w:lang w:val="en-US" w:eastAsia="zh-CN"/>
                    </w:rPr>
                    <w:t>300</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r>
                    <w:rPr>
                      <w:rFonts w:hint="eastAsia"/>
                      <w:color w:val="auto"/>
                      <w:szCs w:val="21"/>
                      <w:highlight w:val="none"/>
                      <w:vertAlign w:val="baseline"/>
                      <w:lang w:val="en-US" w:eastAsia="zh-CN"/>
                    </w:rPr>
                    <w:t>地下建筑面积</w:t>
                  </w:r>
                  <w:r>
                    <w:rPr>
                      <w:rFonts w:hint="eastAsia"/>
                      <w:color w:val="auto"/>
                      <w:szCs w:val="21"/>
                      <w:highlight w:val="none"/>
                      <w:lang w:val="en-US" w:eastAsia="zh-CN"/>
                    </w:rPr>
                    <w:t>200</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r>
                    <w:rPr>
                      <w:color w:val="auto"/>
                      <w:szCs w:val="21"/>
                      <w:highlight w:val="none"/>
                    </w:rPr>
                    <w:t>；采用地上框架结构</w:t>
                  </w:r>
                  <w:r>
                    <w:rPr>
                      <w:rFonts w:hint="eastAsia"/>
                      <w:color w:val="auto"/>
                      <w:szCs w:val="21"/>
                      <w:highlight w:val="none"/>
                      <w:lang w:eastAsia="zh-CN"/>
                    </w:rPr>
                    <w:t>。</w:t>
                  </w:r>
                </w:p>
              </w:tc>
              <w:tc>
                <w:tcPr>
                  <w:tcW w:w="442" w:type="pct"/>
                  <w:vAlign w:val="center"/>
                </w:tcPr>
                <w:p w14:paraId="769BF99A">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5A1E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1" w:type="pct"/>
                  <w:vMerge w:val="restart"/>
                  <w:vAlign w:val="center"/>
                </w:tcPr>
                <w:p w14:paraId="55DCD496">
                  <w:pPr>
                    <w:jc w:val="center"/>
                    <w:rPr>
                      <w:color w:val="auto"/>
                      <w:szCs w:val="21"/>
                      <w:highlight w:val="none"/>
                    </w:rPr>
                  </w:pPr>
                  <w:r>
                    <w:rPr>
                      <w:color w:val="auto"/>
                      <w:szCs w:val="21"/>
                      <w:highlight w:val="none"/>
                    </w:rPr>
                    <w:t>2</w:t>
                  </w:r>
                </w:p>
              </w:tc>
              <w:tc>
                <w:tcPr>
                  <w:tcW w:w="291" w:type="pct"/>
                  <w:gridSpan w:val="2"/>
                  <w:vMerge w:val="restart"/>
                  <w:vAlign w:val="center"/>
                </w:tcPr>
                <w:p w14:paraId="3780E7AC">
                  <w:pPr>
                    <w:jc w:val="center"/>
                    <w:rPr>
                      <w:color w:val="auto"/>
                      <w:szCs w:val="21"/>
                      <w:highlight w:val="none"/>
                    </w:rPr>
                  </w:pPr>
                  <w:r>
                    <w:rPr>
                      <w:color w:val="auto"/>
                      <w:szCs w:val="21"/>
                      <w:highlight w:val="none"/>
                    </w:rPr>
                    <w:t>辅助工程</w:t>
                  </w:r>
                </w:p>
              </w:tc>
              <w:tc>
                <w:tcPr>
                  <w:tcW w:w="271" w:type="pct"/>
                  <w:vMerge w:val="restart"/>
                  <w:vAlign w:val="center"/>
                </w:tcPr>
                <w:p w14:paraId="55399ECF">
                  <w:pPr>
                    <w:jc w:val="center"/>
                    <w:rPr>
                      <w:rFonts w:hint="default" w:eastAsia="宋体"/>
                      <w:color w:val="auto"/>
                      <w:szCs w:val="21"/>
                      <w:highlight w:val="none"/>
                      <w:lang w:val="en-US" w:eastAsia="zh-CN"/>
                    </w:rPr>
                  </w:pPr>
                  <w:r>
                    <w:rPr>
                      <w:rFonts w:hint="eastAsia"/>
                      <w:color w:val="auto"/>
                      <w:szCs w:val="21"/>
                      <w:highlight w:val="none"/>
                      <w:lang w:val="en-US" w:eastAsia="zh-CN"/>
                    </w:rPr>
                    <w:t>地块一</w:t>
                  </w:r>
                </w:p>
              </w:tc>
              <w:tc>
                <w:tcPr>
                  <w:tcW w:w="482" w:type="pct"/>
                  <w:vAlign w:val="center"/>
                </w:tcPr>
                <w:p w14:paraId="375E501C">
                  <w:pPr>
                    <w:jc w:val="center"/>
                    <w:rPr>
                      <w:rFonts w:hint="default" w:eastAsia="宋体"/>
                      <w:color w:val="auto"/>
                      <w:szCs w:val="21"/>
                      <w:highlight w:val="none"/>
                      <w:lang w:val="en-US" w:eastAsia="zh-CN"/>
                    </w:rPr>
                  </w:pPr>
                  <w:r>
                    <w:rPr>
                      <w:rFonts w:hint="eastAsia"/>
                      <w:color w:val="auto"/>
                      <w:szCs w:val="21"/>
                      <w:highlight w:val="none"/>
                      <w:lang w:val="en-US" w:eastAsia="zh-CN"/>
                    </w:rPr>
                    <w:t>道闸系统</w:t>
                  </w:r>
                </w:p>
              </w:tc>
              <w:tc>
                <w:tcPr>
                  <w:tcW w:w="3241" w:type="pct"/>
                  <w:vAlign w:val="center"/>
                </w:tcPr>
                <w:p w14:paraId="23499891">
                  <w:pPr>
                    <w:jc w:val="center"/>
                    <w:rPr>
                      <w:rFonts w:hint="default"/>
                      <w:color w:val="auto"/>
                      <w:szCs w:val="21"/>
                      <w:highlight w:val="none"/>
                      <w:lang w:val="en-US"/>
                    </w:rPr>
                  </w:pPr>
                  <w:r>
                    <w:rPr>
                      <w:color w:val="auto"/>
                      <w:szCs w:val="21"/>
                      <w:highlight w:val="none"/>
                    </w:rPr>
                    <w:t>位于地块</w:t>
                  </w:r>
                  <w:r>
                    <w:rPr>
                      <w:rFonts w:hint="eastAsia"/>
                      <w:color w:val="auto"/>
                      <w:szCs w:val="21"/>
                      <w:highlight w:val="none"/>
                      <w:lang w:val="en-US" w:eastAsia="zh-CN"/>
                    </w:rPr>
                    <w:t>一南</w:t>
                  </w:r>
                  <w:r>
                    <w:rPr>
                      <w:color w:val="auto"/>
                      <w:szCs w:val="21"/>
                      <w:highlight w:val="none"/>
                    </w:rPr>
                    <w:t>侧，采用</w:t>
                  </w:r>
                  <w:r>
                    <w:rPr>
                      <w:rFonts w:hint="eastAsia"/>
                      <w:color w:val="auto"/>
                      <w:szCs w:val="21"/>
                      <w:highlight w:val="none"/>
                      <w:lang w:val="en-US" w:eastAsia="zh-CN"/>
                    </w:rPr>
                    <w:t>电子智能闸机系统。与南侧现有道路相连。</w:t>
                  </w:r>
                </w:p>
              </w:tc>
              <w:tc>
                <w:tcPr>
                  <w:tcW w:w="442" w:type="pct"/>
                  <w:vAlign w:val="center"/>
                </w:tcPr>
                <w:p w14:paraId="11465234">
                  <w:pPr>
                    <w:jc w:val="center"/>
                    <w:rPr>
                      <w:color w:val="auto"/>
                      <w:szCs w:val="21"/>
                      <w:highlight w:val="none"/>
                    </w:rPr>
                  </w:pPr>
                  <w:r>
                    <w:rPr>
                      <w:rFonts w:hint="eastAsia"/>
                      <w:color w:val="auto"/>
                      <w:szCs w:val="21"/>
                      <w:highlight w:val="none"/>
                      <w:lang w:val="en-US" w:eastAsia="zh-CN"/>
                    </w:rPr>
                    <w:t>新建</w:t>
                  </w:r>
                </w:p>
              </w:tc>
            </w:tr>
            <w:tr w14:paraId="2D3F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1" w:type="pct"/>
                  <w:vMerge w:val="continue"/>
                  <w:vAlign w:val="center"/>
                </w:tcPr>
                <w:p w14:paraId="3972EC95">
                  <w:pPr>
                    <w:jc w:val="center"/>
                    <w:rPr>
                      <w:color w:val="auto"/>
                      <w:szCs w:val="21"/>
                      <w:highlight w:val="none"/>
                    </w:rPr>
                  </w:pPr>
                </w:p>
              </w:tc>
              <w:tc>
                <w:tcPr>
                  <w:tcW w:w="291" w:type="pct"/>
                  <w:gridSpan w:val="2"/>
                  <w:vMerge w:val="continue"/>
                  <w:vAlign w:val="center"/>
                </w:tcPr>
                <w:p w14:paraId="14F8D5B2">
                  <w:pPr>
                    <w:jc w:val="center"/>
                    <w:rPr>
                      <w:color w:val="auto"/>
                      <w:szCs w:val="21"/>
                      <w:highlight w:val="none"/>
                    </w:rPr>
                  </w:pPr>
                </w:p>
              </w:tc>
              <w:tc>
                <w:tcPr>
                  <w:tcW w:w="271" w:type="pct"/>
                  <w:vMerge w:val="continue"/>
                  <w:vAlign w:val="center"/>
                </w:tcPr>
                <w:p w14:paraId="3D9508F2">
                  <w:pPr>
                    <w:jc w:val="center"/>
                    <w:rPr>
                      <w:rFonts w:hint="eastAsia"/>
                      <w:color w:val="auto"/>
                      <w:szCs w:val="21"/>
                      <w:highlight w:val="none"/>
                      <w:lang w:val="en-US" w:eastAsia="zh-CN"/>
                    </w:rPr>
                  </w:pPr>
                </w:p>
              </w:tc>
              <w:tc>
                <w:tcPr>
                  <w:tcW w:w="482" w:type="pct"/>
                  <w:vAlign w:val="center"/>
                </w:tcPr>
                <w:p w14:paraId="7F132400">
                  <w:pPr>
                    <w:jc w:val="center"/>
                    <w:rPr>
                      <w:rFonts w:hint="default"/>
                      <w:color w:val="auto"/>
                      <w:szCs w:val="21"/>
                      <w:highlight w:val="none"/>
                      <w:lang w:val="en-US" w:eastAsia="zh-CN"/>
                    </w:rPr>
                  </w:pPr>
                  <w:r>
                    <w:rPr>
                      <w:rFonts w:hint="eastAsia"/>
                      <w:color w:val="auto"/>
                      <w:szCs w:val="21"/>
                      <w:highlight w:val="none"/>
                      <w:lang w:val="en-US" w:eastAsia="zh-CN"/>
                    </w:rPr>
                    <w:t>围墙</w:t>
                  </w:r>
                </w:p>
              </w:tc>
              <w:tc>
                <w:tcPr>
                  <w:tcW w:w="3241" w:type="pct"/>
                  <w:vAlign w:val="center"/>
                </w:tcPr>
                <w:p w14:paraId="6B22B20B">
                  <w:pPr>
                    <w:jc w:val="center"/>
                    <w:rPr>
                      <w:rFonts w:hint="default" w:eastAsia="宋体"/>
                      <w:color w:val="auto"/>
                      <w:szCs w:val="21"/>
                      <w:highlight w:val="none"/>
                      <w:lang w:val="en-US" w:eastAsia="zh-CN"/>
                    </w:rPr>
                  </w:pPr>
                  <w:r>
                    <w:rPr>
                      <w:rFonts w:hint="eastAsia"/>
                      <w:color w:val="auto"/>
                      <w:szCs w:val="21"/>
                      <w:highlight w:val="none"/>
                      <w:lang w:val="en-US" w:eastAsia="zh-CN"/>
                    </w:rPr>
                    <w:t>使用砖砌围墙，东侧使用原项目围墙，南侧、北侧、西侧新建围墙455m，高2.2m。</w:t>
                  </w:r>
                </w:p>
              </w:tc>
              <w:tc>
                <w:tcPr>
                  <w:tcW w:w="442" w:type="pct"/>
                  <w:vAlign w:val="center"/>
                </w:tcPr>
                <w:p w14:paraId="40577308">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3C66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1" w:type="pct"/>
                  <w:vMerge w:val="continue"/>
                  <w:vAlign w:val="center"/>
                </w:tcPr>
                <w:p w14:paraId="4EE9852F">
                  <w:pPr>
                    <w:jc w:val="center"/>
                    <w:rPr>
                      <w:color w:val="auto"/>
                      <w:szCs w:val="21"/>
                      <w:highlight w:val="none"/>
                    </w:rPr>
                  </w:pPr>
                </w:p>
              </w:tc>
              <w:tc>
                <w:tcPr>
                  <w:tcW w:w="291" w:type="pct"/>
                  <w:gridSpan w:val="2"/>
                  <w:vMerge w:val="continue"/>
                  <w:vAlign w:val="center"/>
                </w:tcPr>
                <w:p w14:paraId="2585E4FF">
                  <w:pPr>
                    <w:jc w:val="center"/>
                    <w:rPr>
                      <w:color w:val="auto"/>
                      <w:szCs w:val="21"/>
                      <w:highlight w:val="none"/>
                    </w:rPr>
                  </w:pPr>
                </w:p>
              </w:tc>
              <w:tc>
                <w:tcPr>
                  <w:tcW w:w="271" w:type="pct"/>
                  <w:vMerge w:val="restart"/>
                  <w:vAlign w:val="center"/>
                </w:tcPr>
                <w:p w14:paraId="2C424C9C">
                  <w:pPr>
                    <w:jc w:val="center"/>
                    <w:rPr>
                      <w:rFonts w:hint="eastAsia"/>
                      <w:color w:val="auto"/>
                      <w:szCs w:val="21"/>
                      <w:highlight w:val="none"/>
                      <w:lang w:val="en-US" w:eastAsia="zh-CN"/>
                    </w:rPr>
                  </w:pPr>
                  <w:r>
                    <w:rPr>
                      <w:rFonts w:hint="eastAsia"/>
                      <w:color w:val="auto"/>
                      <w:szCs w:val="21"/>
                      <w:highlight w:val="none"/>
                      <w:lang w:val="en-US" w:eastAsia="zh-CN"/>
                    </w:rPr>
                    <w:t>地块二</w:t>
                  </w:r>
                </w:p>
              </w:tc>
              <w:tc>
                <w:tcPr>
                  <w:tcW w:w="482" w:type="pct"/>
                  <w:shd w:val="clear" w:color="auto" w:fill="auto"/>
                  <w:vAlign w:val="center"/>
                </w:tcPr>
                <w:p w14:paraId="60B8890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道闸系统</w:t>
                  </w:r>
                </w:p>
              </w:tc>
              <w:tc>
                <w:tcPr>
                  <w:tcW w:w="3241" w:type="pct"/>
                  <w:shd w:val="clear" w:color="auto" w:fill="auto"/>
                  <w:vAlign w:val="center"/>
                </w:tcPr>
                <w:p w14:paraId="68CDF8E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位于地块三仓储区南侧，</w:t>
                  </w:r>
                  <w:r>
                    <w:rPr>
                      <w:color w:val="auto"/>
                      <w:szCs w:val="21"/>
                      <w:highlight w:val="none"/>
                    </w:rPr>
                    <w:t>采用</w:t>
                  </w:r>
                  <w:r>
                    <w:rPr>
                      <w:rFonts w:hint="eastAsia"/>
                      <w:color w:val="auto"/>
                      <w:szCs w:val="21"/>
                      <w:highlight w:val="none"/>
                      <w:lang w:val="en-US" w:eastAsia="zh-CN"/>
                    </w:rPr>
                    <w:t>电子智能闸机系统。与北侧现有道路相连。</w:t>
                  </w:r>
                </w:p>
              </w:tc>
              <w:tc>
                <w:tcPr>
                  <w:tcW w:w="442" w:type="pct"/>
                  <w:vAlign w:val="center"/>
                </w:tcPr>
                <w:p w14:paraId="7E93F508">
                  <w:pPr>
                    <w:jc w:val="center"/>
                    <w:rPr>
                      <w:rFonts w:hint="eastAsia"/>
                      <w:color w:val="auto"/>
                      <w:szCs w:val="21"/>
                      <w:highlight w:val="none"/>
                      <w:lang w:val="en-US" w:eastAsia="zh-CN"/>
                    </w:rPr>
                  </w:pPr>
                </w:p>
              </w:tc>
            </w:tr>
            <w:tr w14:paraId="1360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1" w:type="pct"/>
                  <w:vMerge w:val="continue"/>
                  <w:vAlign w:val="center"/>
                </w:tcPr>
                <w:p w14:paraId="2D464069">
                  <w:pPr>
                    <w:jc w:val="center"/>
                    <w:rPr>
                      <w:color w:val="auto"/>
                      <w:szCs w:val="21"/>
                      <w:highlight w:val="none"/>
                    </w:rPr>
                  </w:pPr>
                </w:p>
              </w:tc>
              <w:tc>
                <w:tcPr>
                  <w:tcW w:w="291" w:type="pct"/>
                  <w:gridSpan w:val="2"/>
                  <w:vMerge w:val="continue"/>
                  <w:vAlign w:val="center"/>
                </w:tcPr>
                <w:p w14:paraId="0BF4B6A2">
                  <w:pPr>
                    <w:jc w:val="center"/>
                    <w:rPr>
                      <w:color w:val="auto"/>
                      <w:szCs w:val="21"/>
                      <w:highlight w:val="none"/>
                    </w:rPr>
                  </w:pPr>
                </w:p>
              </w:tc>
              <w:tc>
                <w:tcPr>
                  <w:tcW w:w="271" w:type="pct"/>
                  <w:vMerge w:val="continue"/>
                  <w:vAlign w:val="center"/>
                </w:tcPr>
                <w:p w14:paraId="2A8F8EDC">
                  <w:pPr>
                    <w:jc w:val="center"/>
                    <w:rPr>
                      <w:rFonts w:hint="eastAsia"/>
                      <w:color w:val="auto"/>
                      <w:szCs w:val="21"/>
                      <w:highlight w:val="none"/>
                      <w:lang w:val="en-US" w:eastAsia="zh-CN"/>
                    </w:rPr>
                  </w:pPr>
                </w:p>
              </w:tc>
              <w:tc>
                <w:tcPr>
                  <w:tcW w:w="482" w:type="pct"/>
                  <w:shd w:val="clear" w:color="auto" w:fill="auto"/>
                  <w:vAlign w:val="center"/>
                </w:tcPr>
                <w:p w14:paraId="4EA9B3F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围墙</w:t>
                  </w:r>
                </w:p>
              </w:tc>
              <w:tc>
                <w:tcPr>
                  <w:tcW w:w="3241" w:type="pct"/>
                  <w:shd w:val="clear" w:color="auto" w:fill="auto"/>
                  <w:vAlign w:val="center"/>
                </w:tcPr>
                <w:p w14:paraId="2CDBE39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使用砖砌围墙，新建围墙405m（仓库区275m，值班区130m），高2.2m。</w:t>
                  </w:r>
                </w:p>
              </w:tc>
              <w:tc>
                <w:tcPr>
                  <w:tcW w:w="442" w:type="pct"/>
                  <w:vAlign w:val="center"/>
                </w:tcPr>
                <w:p w14:paraId="1EF3CAF0">
                  <w:pPr>
                    <w:jc w:val="center"/>
                    <w:rPr>
                      <w:rFonts w:hint="eastAsia"/>
                      <w:color w:val="auto"/>
                      <w:szCs w:val="21"/>
                      <w:highlight w:val="none"/>
                      <w:lang w:val="en-US" w:eastAsia="zh-CN"/>
                    </w:rPr>
                  </w:pPr>
                </w:p>
              </w:tc>
            </w:tr>
            <w:tr w14:paraId="4985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1" w:type="pct"/>
                  <w:vMerge w:val="continue"/>
                  <w:vAlign w:val="center"/>
                </w:tcPr>
                <w:p w14:paraId="32498BEF">
                  <w:pPr>
                    <w:jc w:val="center"/>
                    <w:rPr>
                      <w:color w:val="auto"/>
                      <w:szCs w:val="21"/>
                      <w:highlight w:val="none"/>
                    </w:rPr>
                  </w:pPr>
                </w:p>
              </w:tc>
              <w:tc>
                <w:tcPr>
                  <w:tcW w:w="291" w:type="pct"/>
                  <w:gridSpan w:val="2"/>
                  <w:vMerge w:val="continue"/>
                  <w:vAlign w:val="center"/>
                </w:tcPr>
                <w:p w14:paraId="2416621B">
                  <w:pPr>
                    <w:jc w:val="center"/>
                    <w:rPr>
                      <w:color w:val="auto"/>
                      <w:szCs w:val="21"/>
                      <w:highlight w:val="none"/>
                    </w:rPr>
                  </w:pPr>
                </w:p>
              </w:tc>
              <w:tc>
                <w:tcPr>
                  <w:tcW w:w="271" w:type="pct"/>
                  <w:vMerge w:val="continue"/>
                  <w:vAlign w:val="center"/>
                </w:tcPr>
                <w:p w14:paraId="0A4BE2FB">
                  <w:pPr>
                    <w:jc w:val="center"/>
                    <w:rPr>
                      <w:rFonts w:hint="eastAsia"/>
                      <w:color w:val="auto"/>
                      <w:szCs w:val="21"/>
                      <w:highlight w:val="none"/>
                      <w:lang w:val="en-US" w:eastAsia="zh-CN"/>
                    </w:rPr>
                  </w:pPr>
                </w:p>
              </w:tc>
              <w:tc>
                <w:tcPr>
                  <w:tcW w:w="482" w:type="pct"/>
                  <w:shd w:val="clear" w:color="auto" w:fill="auto"/>
                  <w:vAlign w:val="center"/>
                </w:tcPr>
                <w:p w14:paraId="7E9F63C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值班室</w:t>
                  </w:r>
                </w:p>
              </w:tc>
              <w:tc>
                <w:tcPr>
                  <w:tcW w:w="3241" w:type="pct"/>
                  <w:shd w:val="clear" w:color="auto" w:fill="auto"/>
                  <w:vAlign w:val="center"/>
                </w:tcPr>
                <w:p w14:paraId="3FD31E2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位于地块三南侧，值班室为1层、</w:t>
                  </w:r>
                  <w:r>
                    <w:rPr>
                      <w:color w:val="auto"/>
                      <w:szCs w:val="21"/>
                      <w:highlight w:val="none"/>
                    </w:rPr>
                    <w:t>高度为</w:t>
                  </w:r>
                  <w:r>
                    <w:rPr>
                      <w:rFonts w:hint="eastAsia"/>
                      <w:color w:val="auto"/>
                      <w:szCs w:val="21"/>
                      <w:highlight w:val="none"/>
                      <w:lang w:val="en-US" w:eastAsia="zh-CN"/>
                    </w:rPr>
                    <w:t>4.05</w:t>
                  </w:r>
                  <w:r>
                    <w:rPr>
                      <w:color w:val="auto"/>
                      <w:szCs w:val="21"/>
                      <w:highlight w:val="none"/>
                    </w:rPr>
                    <w:t>m</w:t>
                  </w:r>
                  <w:r>
                    <w:rPr>
                      <w:rFonts w:hint="eastAsia"/>
                      <w:color w:val="auto"/>
                      <w:szCs w:val="21"/>
                      <w:highlight w:val="none"/>
                      <w:lang w:eastAsia="zh-CN"/>
                    </w:rPr>
                    <w:t>，</w:t>
                  </w:r>
                  <w:r>
                    <w:rPr>
                      <w:rFonts w:hint="eastAsia"/>
                      <w:color w:val="auto"/>
                      <w:szCs w:val="21"/>
                      <w:highlight w:val="none"/>
                      <w:vertAlign w:val="baseline"/>
                      <w:lang w:val="en-US" w:eastAsia="zh-CN"/>
                    </w:rPr>
                    <w:t>建筑面积</w:t>
                  </w:r>
                  <w:r>
                    <w:rPr>
                      <w:rFonts w:hint="eastAsia"/>
                      <w:color w:val="auto"/>
                      <w:szCs w:val="21"/>
                      <w:highlight w:val="none"/>
                      <w:lang w:val="en-US" w:eastAsia="zh-CN"/>
                    </w:rPr>
                    <w:t>118.47</w:t>
                  </w:r>
                  <w:r>
                    <w:rPr>
                      <w:color w:val="auto"/>
                      <w:szCs w:val="21"/>
                      <w:highlight w:val="none"/>
                    </w:rPr>
                    <w:t>m</w:t>
                  </w:r>
                  <w:r>
                    <w:rPr>
                      <w:color w:val="auto"/>
                      <w:szCs w:val="21"/>
                      <w:highlight w:val="none"/>
                      <w:vertAlign w:val="superscript"/>
                    </w:rPr>
                    <w:t>2</w:t>
                  </w:r>
                  <w:r>
                    <w:rPr>
                      <w:rFonts w:hint="eastAsia"/>
                      <w:color w:val="auto"/>
                      <w:szCs w:val="21"/>
                      <w:highlight w:val="none"/>
                      <w:vertAlign w:val="baseline"/>
                      <w:lang w:eastAsia="zh-CN"/>
                    </w:rPr>
                    <w:t>，</w:t>
                  </w:r>
                  <w:r>
                    <w:rPr>
                      <w:color w:val="auto"/>
                      <w:szCs w:val="21"/>
                      <w:highlight w:val="none"/>
                    </w:rPr>
                    <w:t>采用地上框架结构</w:t>
                  </w:r>
                  <w:r>
                    <w:rPr>
                      <w:rFonts w:hint="eastAsia"/>
                      <w:color w:val="auto"/>
                      <w:szCs w:val="21"/>
                      <w:highlight w:val="none"/>
                      <w:lang w:eastAsia="zh-CN"/>
                    </w:rPr>
                    <w:t>。</w:t>
                  </w:r>
                </w:p>
              </w:tc>
              <w:tc>
                <w:tcPr>
                  <w:tcW w:w="442" w:type="pct"/>
                  <w:vAlign w:val="center"/>
                </w:tcPr>
                <w:p w14:paraId="6AA49A00">
                  <w:pPr>
                    <w:jc w:val="center"/>
                    <w:rPr>
                      <w:rFonts w:hint="eastAsia"/>
                      <w:color w:val="auto"/>
                      <w:szCs w:val="21"/>
                      <w:highlight w:val="none"/>
                      <w:lang w:val="en-US" w:eastAsia="zh-CN"/>
                    </w:rPr>
                  </w:pPr>
                </w:p>
              </w:tc>
            </w:tr>
            <w:tr w14:paraId="08AE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71" w:type="pct"/>
                  <w:vMerge w:val="continue"/>
                  <w:vAlign w:val="center"/>
                </w:tcPr>
                <w:p w14:paraId="4263E00D">
                  <w:pPr>
                    <w:jc w:val="center"/>
                    <w:rPr>
                      <w:color w:val="auto"/>
                      <w:szCs w:val="21"/>
                      <w:highlight w:val="none"/>
                    </w:rPr>
                  </w:pPr>
                </w:p>
              </w:tc>
              <w:tc>
                <w:tcPr>
                  <w:tcW w:w="291" w:type="pct"/>
                  <w:gridSpan w:val="2"/>
                  <w:vMerge w:val="continue"/>
                  <w:vAlign w:val="center"/>
                </w:tcPr>
                <w:p w14:paraId="2F53569E">
                  <w:pPr>
                    <w:jc w:val="center"/>
                    <w:rPr>
                      <w:color w:val="auto"/>
                      <w:szCs w:val="21"/>
                      <w:highlight w:val="none"/>
                    </w:rPr>
                  </w:pPr>
                </w:p>
              </w:tc>
              <w:tc>
                <w:tcPr>
                  <w:tcW w:w="271" w:type="pct"/>
                  <w:vMerge w:val="restart"/>
                  <w:vAlign w:val="center"/>
                </w:tcPr>
                <w:p w14:paraId="272D94E7">
                  <w:pPr>
                    <w:jc w:val="center"/>
                    <w:rPr>
                      <w:rFonts w:hint="default" w:eastAsia="宋体"/>
                      <w:color w:val="auto"/>
                      <w:szCs w:val="21"/>
                      <w:highlight w:val="none"/>
                      <w:lang w:val="en-US" w:eastAsia="zh-CN"/>
                    </w:rPr>
                  </w:pPr>
                  <w:r>
                    <w:rPr>
                      <w:rFonts w:hint="eastAsia"/>
                      <w:color w:val="auto"/>
                      <w:szCs w:val="21"/>
                      <w:highlight w:val="none"/>
                      <w:lang w:val="en-US" w:eastAsia="zh-CN"/>
                    </w:rPr>
                    <w:t>地块三</w:t>
                  </w:r>
                </w:p>
              </w:tc>
              <w:tc>
                <w:tcPr>
                  <w:tcW w:w="482" w:type="pct"/>
                  <w:vAlign w:val="center"/>
                </w:tcPr>
                <w:p w14:paraId="180436BF">
                  <w:pPr>
                    <w:jc w:val="center"/>
                    <w:rPr>
                      <w:rFonts w:hint="eastAsia" w:eastAsia="宋体"/>
                      <w:color w:val="auto"/>
                      <w:szCs w:val="21"/>
                      <w:highlight w:val="none"/>
                      <w:lang w:val="en-US" w:eastAsia="zh-CN"/>
                    </w:rPr>
                  </w:pPr>
                  <w:r>
                    <w:rPr>
                      <w:rFonts w:hint="eastAsia"/>
                      <w:color w:val="auto"/>
                      <w:szCs w:val="21"/>
                      <w:highlight w:val="none"/>
                      <w:lang w:val="en-US" w:eastAsia="zh-CN"/>
                    </w:rPr>
                    <w:t>值班室</w:t>
                  </w:r>
                </w:p>
              </w:tc>
              <w:tc>
                <w:tcPr>
                  <w:tcW w:w="3241" w:type="pct"/>
                  <w:vAlign w:val="center"/>
                </w:tcPr>
                <w:p w14:paraId="605649FB">
                  <w:pPr>
                    <w:jc w:val="center"/>
                    <w:rPr>
                      <w:rFonts w:hint="default" w:eastAsia="宋体"/>
                      <w:color w:val="auto"/>
                      <w:szCs w:val="21"/>
                      <w:highlight w:val="none"/>
                      <w:lang w:val="en-US" w:eastAsia="zh-CN"/>
                    </w:rPr>
                  </w:pPr>
                  <w:r>
                    <w:rPr>
                      <w:rFonts w:hint="eastAsia"/>
                      <w:color w:val="auto"/>
                      <w:szCs w:val="21"/>
                      <w:highlight w:val="none"/>
                      <w:lang w:val="en-US" w:eastAsia="zh-CN"/>
                    </w:rPr>
                    <w:t>辅助用房东侧第一间设为值班室，面积为25m</w:t>
                  </w:r>
                  <w:r>
                    <w:rPr>
                      <w:rFonts w:hint="eastAsia"/>
                      <w:color w:val="auto"/>
                      <w:szCs w:val="21"/>
                      <w:highlight w:val="none"/>
                      <w:vertAlign w:val="superscript"/>
                      <w:lang w:val="en-US" w:eastAsia="zh-CN"/>
                    </w:rPr>
                    <w:t>2</w:t>
                  </w:r>
                  <w:r>
                    <w:rPr>
                      <w:rFonts w:hint="eastAsia"/>
                      <w:color w:val="auto"/>
                      <w:szCs w:val="21"/>
                      <w:highlight w:val="none"/>
                      <w:lang w:val="en-US" w:eastAsia="zh-CN"/>
                    </w:rPr>
                    <w:t>。</w:t>
                  </w:r>
                </w:p>
              </w:tc>
              <w:tc>
                <w:tcPr>
                  <w:tcW w:w="442" w:type="pct"/>
                  <w:vAlign w:val="center"/>
                </w:tcPr>
                <w:p w14:paraId="407BF405">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6FCA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71" w:type="pct"/>
                  <w:vMerge w:val="continue"/>
                  <w:vAlign w:val="center"/>
                </w:tcPr>
                <w:p w14:paraId="350C234C">
                  <w:pPr>
                    <w:jc w:val="center"/>
                    <w:rPr>
                      <w:color w:val="auto"/>
                      <w:szCs w:val="21"/>
                      <w:highlight w:val="none"/>
                    </w:rPr>
                  </w:pPr>
                </w:p>
              </w:tc>
              <w:tc>
                <w:tcPr>
                  <w:tcW w:w="291" w:type="pct"/>
                  <w:gridSpan w:val="2"/>
                  <w:vMerge w:val="continue"/>
                  <w:vAlign w:val="center"/>
                </w:tcPr>
                <w:p w14:paraId="65761032">
                  <w:pPr>
                    <w:jc w:val="center"/>
                    <w:rPr>
                      <w:color w:val="auto"/>
                      <w:szCs w:val="21"/>
                      <w:highlight w:val="none"/>
                    </w:rPr>
                  </w:pPr>
                </w:p>
              </w:tc>
              <w:tc>
                <w:tcPr>
                  <w:tcW w:w="271" w:type="pct"/>
                  <w:vMerge w:val="continue"/>
                  <w:vAlign w:val="center"/>
                </w:tcPr>
                <w:p w14:paraId="751E1A69">
                  <w:pPr>
                    <w:jc w:val="center"/>
                    <w:rPr>
                      <w:rFonts w:hint="eastAsia"/>
                      <w:color w:val="auto"/>
                      <w:szCs w:val="21"/>
                      <w:highlight w:val="none"/>
                      <w:lang w:val="en-US" w:eastAsia="zh-CN"/>
                    </w:rPr>
                  </w:pPr>
                </w:p>
              </w:tc>
              <w:tc>
                <w:tcPr>
                  <w:tcW w:w="482" w:type="pct"/>
                  <w:vAlign w:val="center"/>
                </w:tcPr>
                <w:p w14:paraId="23BB97AB">
                  <w:pPr>
                    <w:jc w:val="center"/>
                    <w:rPr>
                      <w:rFonts w:hint="default"/>
                      <w:color w:val="auto"/>
                      <w:szCs w:val="21"/>
                      <w:highlight w:val="none"/>
                      <w:lang w:val="en-US" w:eastAsia="zh-CN"/>
                    </w:rPr>
                  </w:pPr>
                  <w:r>
                    <w:rPr>
                      <w:rFonts w:hint="eastAsia"/>
                      <w:color w:val="auto"/>
                      <w:szCs w:val="21"/>
                      <w:highlight w:val="none"/>
                      <w:lang w:val="en-US" w:eastAsia="zh-CN"/>
                    </w:rPr>
                    <w:t>围墙</w:t>
                  </w:r>
                </w:p>
              </w:tc>
              <w:tc>
                <w:tcPr>
                  <w:tcW w:w="3241" w:type="pct"/>
                  <w:vAlign w:val="center"/>
                </w:tcPr>
                <w:p w14:paraId="469BDBFF">
                  <w:pPr>
                    <w:jc w:val="center"/>
                    <w:rPr>
                      <w:rFonts w:hint="eastAsia"/>
                      <w:color w:val="auto"/>
                      <w:szCs w:val="21"/>
                      <w:highlight w:val="none"/>
                      <w:lang w:val="en-US" w:eastAsia="zh-CN"/>
                    </w:rPr>
                  </w:pPr>
                  <w:r>
                    <w:rPr>
                      <w:rFonts w:hint="eastAsia"/>
                      <w:color w:val="auto"/>
                      <w:szCs w:val="21"/>
                      <w:highlight w:val="none"/>
                      <w:lang w:val="en-US" w:eastAsia="zh-CN"/>
                    </w:rPr>
                    <w:t>使用砖砌围墙，新建围墙528m，高2.2m。</w:t>
                  </w:r>
                </w:p>
              </w:tc>
              <w:tc>
                <w:tcPr>
                  <w:tcW w:w="442" w:type="pct"/>
                  <w:vAlign w:val="center"/>
                </w:tcPr>
                <w:p w14:paraId="2964A4EC">
                  <w:pPr>
                    <w:jc w:val="center"/>
                    <w:rPr>
                      <w:rFonts w:hint="eastAsia"/>
                      <w:color w:val="auto"/>
                      <w:szCs w:val="21"/>
                      <w:highlight w:val="none"/>
                      <w:lang w:val="en-US" w:eastAsia="zh-CN"/>
                    </w:rPr>
                  </w:pPr>
                  <w:r>
                    <w:rPr>
                      <w:rFonts w:hint="eastAsia"/>
                      <w:color w:val="auto"/>
                      <w:szCs w:val="21"/>
                      <w:highlight w:val="none"/>
                      <w:lang w:val="en-US" w:eastAsia="zh-CN"/>
                    </w:rPr>
                    <w:t>新建</w:t>
                  </w:r>
                </w:p>
              </w:tc>
            </w:tr>
            <w:tr w14:paraId="119C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71" w:type="pct"/>
                  <w:vMerge w:val="restart"/>
                  <w:vAlign w:val="center"/>
                </w:tcPr>
                <w:p w14:paraId="42097778">
                  <w:pPr>
                    <w:jc w:val="center"/>
                    <w:rPr>
                      <w:color w:val="auto"/>
                      <w:szCs w:val="21"/>
                      <w:highlight w:val="none"/>
                    </w:rPr>
                  </w:pPr>
                  <w:r>
                    <w:rPr>
                      <w:color w:val="auto"/>
                      <w:szCs w:val="21"/>
                      <w:highlight w:val="none"/>
                    </w:rPr>
                    <w:t>3</w:t>
                  </w:r>
                </w:p>
              </w:tc>
              <w:tc>
                <w:tcPr>
                  <w:tcW w:w="562" w:type="pct"/>
                  <w:gridSpan w:val="3"/>
                  <w:vMerge w:val="restart"/>
                  <w:vAlign w:val="center"/>
                </w:tcPr>
                <w:p w14:paraId="1EF679AB">
                  <w:pPr>
                    <w:jc w:val="center"/>
                    <w:rPr>
                      <w:color w:val="auto"/>
                      <w:szCs w:val="21"/>
                      <w:highlight w:val="none"/>
                    </w:rPr>
                  </w:pPr>
                  <w:r>
                    <w:rPr>
                      <w:color w:val="auto"/>
                      <w:szCs w:val="21"/>
                      <w:highlight w:val="none"/>
                    </w:rPr>
                    <w:t>储运工程</w:t>
                  </w:r>
                </w:p>
              </w:tc>
              <w:tc>
                <w:tcPr>
                  <w:tcW w:w="482" w:type="pct"/>
                  <w:vAlign w:val="center"/>
                </w:tcPr>
                <w:p w14:paraId="11A2AE8D">
                  <w:pPr>
                    <w:jc w:val="center"/>
                    <w:rPr>
                      <w:color w:val="auto"/>
                      <w:szCs w:val="21"/>
                      <w:highlight w:val="none"/>
                    </w:rPr>
                  </w:pPr>
                  <w:r>
                    <w:rPr>
                      <w:color w:val="auto"/>
                      <w:szCs w:val="21"/>
                      <w:highlight w:val="none"/>
                    </w:rPr>
                    <w:t>运输</w:t>
                  </w:r>
                </w:p>
              </w:tc>
              <w:tc>
                <w:tcPr>
                  <w:tcW w:w="3241" w:type="pct"/>
                  <w:vAlign w:val="center"/>
                </w:tcPr>
                <w:p w14:paraId="40756E28">
                  <w:pPr>
                    <w:jc w:val="center"/>
                    <w:rPr>
                      <w:rFonts w:hint="eastAsia" w:eastAsia="宋体"/>
                      <w:color w:val="auto"/>
                      <w:szCs w:val="21"/>
                      <w:highlight w:val="none"/>
                      <w:lang w:eastAsia="zh-CN"/>
                    </w:rPr>
                  </w:pPr>
                  <w:r>
                    <w:rPr>
                      <w:color w:val="auto"/>
                      <w:szCs w:val="21"/>
                      <w:highlight w:val="none"/>
                    </w:rPr>
                    <w:t>公司</w:t>
                  </w:r>
                  <w:r>
                    <w:rPr>
                      <w:rFonts w:hint="eastAsia"/>
                      <w:color w:val="auto"/>
                      <w:szCs w:val="21"/>
                      <w:highlight w:val="none"/>
                      <w:lang w:val="en-US" w:eastAsia="zh-CN"/>
                    </w:rPr>
                    <w:t>购买的烟花爆竹由</w:t>
                  </w:r>
                  <w:r>
                    <w:rPr>
                      <w:color w:val="auto"/>
                      <w:szCs w:val="21"/>
                      <w:highlight w:val="none"/>
                    </w:rPr>
                    <w:t>浏阳市东风烟花制造厂配置专用防爆</w:t>
                  </w:r>
                  <w:r>
                    <w:rPr>
                      <w:rFonts w:hint="eastAsia"/>
                      <w:color w:val="auto"/>
                      <w:szCs w:val="21"/>
                      <w:highlight w:val="none"/>
                      <w:lang w:eastAsia="zh-CN"/>
                    </w:rPr>
                    <w:t>厢式</w:t>
                  </w:r>
                  <w:r>
                    <w:rPr>
                      <w:color w:val="auto"/>
                      <w:szCs w:val="21"/>
                      <w:highlight w:val="none"/>
                    </w:rPr>
                    <w:t>货车进行烟花爆竹成品的运输入库，再由</w:t>
                  </w:r>
                  <w:r>
                    <w:rPr>
                      <w:rFonts w:hint="eastAsia"/>
                      <w:color w:val="auto"/>
                      <w:szCs w:val="21"/>
                      <w:highlight w:val="none"/>
                      <w:lang w:val="en-US" w:eastAsia="zh-CN"/>
                    </w:rPr>
                    <w:t>本公司的烟花爆竹专用车</w:t>
                  </w:r>
                  <w:r>
                    <w:rPr>
                      <w:color w:val="auto"/>
                      <w:szCs w:val="21"/>
                      <w:highlight w:val="none"/>
                    </w:rPr>
                    <w:t>运输发放给零散经营部</w:t>
                  </w:r>
                  <w:r>
                    <w:rPr>
                      <w:rFonts w:hint="eastAsia"/>
                      <w:color w:val="auto"/>
                      <w:szCs w:val="21"/>
                      <w:highlight w:val="none"/>
                      <w:lang w:eastAsia="zh-CN"/>
                    </w:rPr>
                    <w:t>。</w:t>
                  </w:r>
                </w:p>
              </w:tc>
              <w:tc>
                <w:tcPr>
                  <w:tcW w:w="442" w:type="pct"/>
                  <w:vAlign w:val="center"/>
                </w:tcPr>
                <w:p w14:paraId="3E8484FC">
                  <w:pPr>
                    <w:jc w:val="center"/>
                    <w:rPr>
                      <w:rFonts w:hint="default" w:eastAsia="宋体"/>
                      <w:color w:val="auto"/>
                      <w:szCs w:val="21"/>
                      <w:highlight w:val="none"/>
                      <w:lang w:val="en-US" w:eastAsia="zh-CN"/>
                    </w:rPr>
                  </w:pPr>
                  <w:r>
                    <w:rPr>
                      <w:rFonts w:hint="eastAsia"/>
                      <w:color w:val="auto"/>
                      <w:szCs w:val="21"/>
                      <w:highlight w:val="none"/>
                      <w:lang w:val="en-US" w:eastAsia="zh-CN"/>
                    </w:rPr>
                    <w:t>依托现有</w:t>
                  </w:r>
                </w:p>
              </w:tc>
            </w:tr>
            <w:tr w14:paraId="2612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1" w:type="pct"/>
                  <w:vMerge w:val="continue"/>
                  <w:vAlign w:val="center"/>
                </w:tcPr>
                <w:p w14:paraId="65CAEC1A">
                  <w:pPr>
                    <w:jc w:val="center"/>
                    <w:rPr>
                      <w:color w:val="auto"/>
                      <w:szCs w:val="21"/>
                      <w:highlight w:val="none"/>
                    </w:rPr>
                  </w:pPr>
                </w:p>
              </w:tc>
              <w:tc>
                <w:tcPr>
                  <w:tcW w:w="562" w:type="pct"/>
                  <w:gridSpan w:val="3"/>
                  <w:vMerge w:val="continue"/>
                  <w:vAlign w:val="center"/>
                </w:tcPr>
                <w:p w14:paraId="42B260F5">
                  <w:pPr>
                    <w:jc w:val="center"/>
                    <w:rPr>
                      <w:color w:val="auto"/>
                      <w:szCs w:val="21"/>
                      <w:highlight w:val="none"/>
                    </w:rPr>
                  </w:pPr>
                </w:p>
              </w:tc>
              <w:tc>
                <w:tcPr>
                  <w:tcW w:w="482" w:type="pct"/>
                  <w:vAlign w:val="center"/>
                </w:tcPr>
                <w:p w14:paraId="4AAE17CD">
                  <w:pPr>
                    <w:jc w:val="center"/>
                    <w:rPr>
                      <w:color w:val="auto"/>
                      <w:szCs w:val="21"/>
                      <w:highlight w:val="none"/>
                    </w:rPr>
                  </w:pPr>
                  <w:r>
                    <w:rPr>
                      <w:color w:val="auto"/>
                      <w:szCs w:val="21"/>
                      <w:highlight w:val="none"/>
                    </w:rPr>
                    <w:t>道路</w:t>
                  </w:r>
                </w:p>
              </w:tc>
              <w:tc>
                <w:tcPr>
                  <w:tcW w:w="3241" w:type="pct"/>
                  <w:vAlign w:val="center"/>
                </w:tcPr>
                <w:p w14:paraId="48AA7B18">
                  <w:pPr>
                    <w:jc w:val="center"/>
                    <w:rPr>
                      <w:rFonts w:hint="eastAsia" w:eastAsia="宋体"/>
                      <w:color w:val="auto"/>
                      <w:szCs w:val="21"/>
                      <w:highlight w:val="none"/>
                      <w:lang w:eastAsia="zh-CN"/>
                    </w:rPr>
                  </w:pPr>
                  <w:r>
                    <w:rPr>
                      <w:color w:val="auto"/>
                      <w:szCs w:val="21"/>
                      <w:highlight w:val="none"/>
                    </w:rPr>
                    <w:t>库区内道路全部进行硬化，出库道路与</w:t>
                  </w:r>
                  <w:r>
                    <w:rPr>
                      <w:rFonts w:hint="eastAsia"/>
                      <w:color w:val="auto"/>
                      <w:szCs w:val="21"/>
                      <w:highlight w:val="none"/>
                      <w:lang w:val="en-US" w:eastAsia="zh-CN"/>
                    </w:rPr>
                    <w:t>现有场外道路相连，场外道路与</w:t>
                  </w:r>
                  <w:r>
                    <w:rPr>
                      <w:color w:val="auto"/>
                      <w:szCs w:val="21"/>
                      <w:highlight w:val="none"/>
                    </w:rPr>
                    <w:t>项目南侧城北高速连接线相连</w:t>
                  </w:r>
                  <w:r>
                    <w:rPr>
                      <w:rFonts w:hint="eastAsia"/>
                      <w:color w:val="auto"/>
                      <w:szCs w:val="21"/>
                      <w:highlight w:val="none"/>
                      <w:lang w:eastAsia="zh-CN"/>
                    </w:rPr>
                    <w:t>。</w:t>
                  </w:r>
                </w:p>
              </w:tc>
              <w:tc>
                <w:tcPr>
                  <w:tcW w:w="442" w:type="pct"/>
                  <w:vAlign w:val="center"/>
                </w:tcPr>
                <w:p w14:paraId="059F02C1">
                  <w:pPr>
                    <w:jc w:val="center"/>
                    <w:rPr>
                      <w:color w:val="auto"/>
                      <w:szCs w:val="21"/>
                      <w:highlight w:val="none"/>
                    </w:rPr>
                  </w:pPr>
                  <w:r>
                    <w:rPr>
                      <w:rFonts w:hint="eastAsia"/>
                      <w:color w:val="auto"/>
                      <w:szCs w:val="21"/>
                      <w:highlight w:val="none"/>
                      <w:lang w:val="en-US" w:eastAsia="zh-CN"/>
                    </w:rPr>
                    <w:t>新建</w:t>
                  </w:r>
                </w:p>
              </w:tc>
            </w:tr>
            <w:tr w14:paraId="4268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1" w:type="pct"/>
                  <w:vMerge w:val="restart"/>
                  <w:vAlign w:val="center"/>
                </w:tcPr>
                <w:p w14:paraId="1463204B">
                  <w:pPr>
                    <w:jc w:val="center"/>
                    <w:rPr>
                      <w:color w:val="auto"/>
                      <w:szCs w:val="21"/>
                      <w:highlight w:val="none"/>
                    </w:rPr>
                  </w:pPr>
                  <w:r>
                    <w:rPr>
                      <w:rFonts w:hint="eastAsia"/>
                      <w:color w:val="auto"/>
                      <w:szCs w:val="21"/>
                      <w:highlight w:val="none"/>
                    </w:rPr>
                    <w:t>4</w:t>
                  </w:r>
                </w:p>
              </w:tc>
              <w:tc>
                <w:tcPr>
                  <w:tcW w:w="562" w:type="pct"/>
                  <w:gridSpan w:val="3"/>
                  <w:vMerge w:val="restart"/>
                  <w:vAlign w:val="center"/>
                </w:tcPr>
                <w:p w14:paraId="0590F90E">
                  <w:pPr>
                    <w:jc w:val="center"/>
                    <w:rPr>
                      <w:color w:val="auto"/>
                      <w:szCs w:val="21"/>
                      <w:highlight w:val="none"/>
                    </w:rPr>
                  </w:pPr>
                  <w:r>
                    <w:rPr>
                      <w:rFonts w:hint="eastAsia"/>
                      <w:color w:val="auto"/>
                      <w:szCs w:val="21"/>
                      <w:highlight w:val="none"/>
                    </w:rPr>
                    <w:t>公用工程</w:t>
                  </w:r>
                </w:p>
              </w:tc>
              <w:tc>
                <w:tcPr>
                  <w:tcW w:w="482" w:type="pct"/>
                  <w:vAlign w:val="center"/>
                </w:tcPr>
                <w:p w14:paraId="4D48DC90">
                  <w:pPr>
                    <w:jc w:val="center"/>
                    <w:rPr>
                      <w:color w:val="auto"/>
                      <w:szCs w:val="21"/>
                      <w:highlight w:val="none"/>
                    </w:rPr>
                  </w:pPr>
                  <w:r>
                    <w:rPr>
                      <w:color w:val="auto"/>
                      <w:szCs w:val="21"/>
                      <w:highlight w:val="none"/>
                    </w:rPr>
                    <w:t>给水</w:t>
                  </w:r>
                </w:p>
              </w:tc>
              <w:tc>
                <w:tcPr>
                  <w:tcW w:w="3241" w:type="pct"/>
                  <w:vAlign w:val="center"/>
                </w:tcPr>
                <w:p w14:paraId="16DE01D2">
                  <w:pPr>
                    <w:jc w:val="center"/>
                    <w:rPr>
                      <w:color w:val="auto"/>
                      <w:szCs w:val="21"/>
                      <w:highlight w:val="none"/>
                    </w:rPr>
                  </w:pPr>
                  <w:r>
                    <w:rPr>
                      <w:rFonts w:hint="eastAsia"/>
                      <w:color w:val="auto"/>
                      <w:szCs w:val="21"/>
                      <w:highlight w:val="none"/>
                      <w:lang w:val="en-US" w:eastAsia="zh-CN"/>
                    </w:rPr>
                    <w:t>现自来水管道已修建好，用水来源于市政供水管网。</w:t>
                  </w:r>
                </w:p>
              </w:tc>
              <w:tc>
                <w:tcPr>
                  <w:tcW w:w="442" w:type="pct"/>
                  <w:vAlign w:val="center"/>
                </w:tcPr>
                <w:p w14:paraId="3A9F33E2">
                  <w:pPr>
                    <w:jc w:val="center"/>
                    <w:rPr>
                      <w:rFonts w:hint="default"/>
                      <w:color w:val="auto"/>
                      <w:szCs w:val="21"/>
                      <w:highlight w:val="none"/>
                      <w:lang w:val="en-US" w:eastAsia="zh-CN"/>
                    </w:rPr>
                  </w:pPr>
                  <w:r>
                    <w:rPr>
                      <w:rFonts w:hint="eastAsia"/>
                      <w:color w:val="auto"/>
                      <w:szCs w:val="21"/>
                      <w:highlight w:val="none"/>
                      <w:lang w:val="en-US" w:eastAsia="zh-CN"/>
                    </w:rPr>
                    <w:t>依托现有</w:t>
                  </w:r>
                </w:p>
              </w:tc>
            </w:tr>
            <w:tr w14:paraId="01AD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71" w:type="pct"/>
                  <w:vMerge w:val="continue"/>
                  <w:vAlign w:val="center"/>
                </w:tcPr>
                <w:p w14:paraId="31EA170F">
                  <w:pPr>
                    <w:jc w:val="center"/>
                    <w:rPr>
                      <w:color w:val="auto"/>
                      <w:szCs w:val="21"/>
                      <w:highlight w:val="none"/>
                    </w:rPr>
                  </w:pPr>
                </w:p>
              </w:tc>
              <w:tc>
                <w:tcPr>
                  <w:tcW w:w="562" w:type="pct"/>
                  <w:gridSpan w:val="3"/>
                  <w:vMerge w:val="continue"/>
                  <w:vAlign w:val="center"/>
                </w:tcPr>
                <w:p w14:paraId="0CBC9467">
                  <w:pPr>
                    <w:jc w:val="center"/>
                    <w:rPr>
                      <w:color w:val="auto"/>
                      <w:szCs w:val="21"/>
                      <w:highlight w:val="none"/>
                    </w:rPr>
                  </w:pPr>
                </w:p>
              </w:tc>
              <w:tc>
                <w:tcPr>
                  <w:tcW w:w="482" w:type="pct"/>
                  <w:vMerge w:val="restart"/>
                  <w:vAlign w:val="center"/>
                </w:tcPr>
                <w:p w14:paraId="379A22B1">
                  <w:pPr>
                    <w:jc w:val="center"/>
                    <w:rPr>
                      <w:color w:val="auto"/>
                      <w:szCs w:val="21"/>
                      <w:highlight w:val="none"/>
                    </w:rPr>
                  </w:pPr>
                  <w:r>
                    <w:rPr>
                      <w:color w:val="auto"/>
                      <w:szCs w:val="21"/>
                      <w:highlight w:val="none"/>
                    </w:rPr>
                    <w:t>排水</w:t>
                  </w:r>
                </w:p>
              </w:tc>
              <w:tc>
                <w:tcPr>
                  <w:tcW w:w="3241" w:type="pct"/>
                  <w:vAlign w:val="center"/>
                </w:tcPr>
                <w:p w14:paraId="1A8A44DA">
                  <w:pPr>
                    <w:spacing w:line="360" w:lineRule="auto"/>
                    <w:ind w:firstLine="420" w:firstLineChars="200"/>
                    <w:rPr>
                      <w:color w:val="auto"/>
                      <w:szCs w:val="21"/>
                      <w:highlight w:val="none"/>
                    </w:rPr>
                  </w:pPr>
                  <w:r>
                    <w:rPr>
                      <w:rFonts w:hint="eastAsia"/>
                      <w:color w:val="auto"/>
                      <w:szCs w:val="21"/>
                      <w:highlight w:val="none"/>
                    </w:rPr>
                    <w:t>项目</w:t>
                  </w:r>
                  <w:r>
                    <w:rPr>
                      <w:color w:val="auto"/>
                      <w:highlight w:val="none"/>
                    </w:rPr>
                    <w:t>排水采用雨污水分流的排水体制</w:t>
                  </w:r>
                  <w:r>
                    <w:rPr>
                      <w:color w:val="auto"/>
                      <w:szCs w:val="21"/>
                      <w:highlight w:val="none"/>
                    </w:rPr>
                    <w:t>，生活污水排入化粪池后委托</w:t>
                  </w:r>
                  <w:r>
                    <w:rPr>
                      <w:rFonts w:hint="eastAsia"/>
                      <w:color w:val="auto"/>
                      <w:szCs w:val="21"/>
                      <w:highlight w:val="none"/>
                    </w:rPr>
                    <w:t>寻甸县</w:t>
                  </w:r>
                  <w:r>
                    <w:rPr>
                      <w:color w:val="auto"/>
                      <w:szCs w:val="21"/>
                      <w:highlight w:val="none"/>
                    </w:rPr>
                    <w:t>环卫部门抽运</w:t>
                  </w:r>
                  <w:r>
                    <w:rPr>
                      <w:rFonts w:hint="eastAsia"/>
                      <w:color w:val="auto"/>
                      <w:szCs w:val="21"/>
                      <w:highlight w:val="none"/>
                    </w:rPr>
                    <w:t>至寻甸县污水处理厂处理</w:t>
                  </w:r>
                  <w:r>
                    <w:rPr>
                      <w:color w:val="auto"/>
                      <w:szCs w:val="21"/>
                      <w:highlight w:val="none"/>
                    </w:rPr>
                    <w:t>。</w:t>
                  </w:r>
                </w:p>
              </w:tc>
              <w:tc>
                <w:tcPr>
                  <w:tcW w:w="442" w:type="pct"/>
                  <w:vAlign w:val="center"/>
                </w:tcPr>
                <w:p w14:paraId="620B1674">
                  <w:pPr>
                    <w:spacing w:line="360" w:lineRule="auto"/>
                    <w:rPr>
                      <w:rFonts w:hint="eastAsia"/>
                      <w:color w:val="auto"/>
                      <w:szCs w:val="21"/>
                      <w:highlight w:val="none"/>
                    </w:rPr>
                  </w:pPr>
                  <w:r>
                    <w:rPr>
                      <w:rFonts w:hint="eastAsia"/>
                      <w:color w:val="auto"/>
                      <w:szCs w:val="21"/>
                      <w:highlight w:val="none"/>
                      <w:lang w:val="en-US" w:eastAsia="zh-CN"/>
                    </w:rPr>
                    <w:t>依托现有</w:t>
                  </w:r>
                </w:p>
              </w:tc>
            </w:tr>
            <w:tr w14:paraId="12ED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271" w:type="pct"/>
                  <w:vMerge w:val="continue"/>
                  <w:vAlign w:val="center"/>
                </w:tcPr>
                <w:p w14:paraId="0CA231EF">
                  <w:pPr>
                    <w:jc w:val="center"/>
                    <w:rPr>
                      <w:color w:val="auto"/>
                      <w:szCs w:val="21"/>
                      <w:highlight w:val="none"/>
                    </w:rPr>
                  </w:pPr>
                </w:p>
              </w:tc>
              <w:tc>
                <w:tcPr>
                  <w:tcW w:w="562" w:type="pct"/>
                  <w:gridSpan w:val="3"/>
                  <w:vMerge w:val="continue"/>
                  <w:vAlign w:val="center"/>
                </w:tcPr>
                <w:p w14:paraId="3422A5C4">
                  <w:pPr>
                    <w:jc w:val="center"/>
                    <w:rPr>
                      <w:color w:val="auto"/>
                      <w:szCs w:val="21"/>
                      <w:highlight w:val="none"/>
                    </w:rPr>
                  </w:pPr>
                </w:p>
              </w:tc>
              <w:tc>
                <w:tcPr>
                  <w:tcW w:w="482" w:type="pct"/>
                  <w:vMerge w:val="continue"/>
                  <w:vAlign w:val="center"/>
                </w:tcPr>
                <w:p w14:paraId="0AAD65A1">
                  <w:pPr>
                    <w:jc w:val="center"/>
                    <w:rPr>
                      <w:color w:val="auto"/>
                      <w:szCs w:val="21"/>
                      <w:highlight w:val="none"/>
                    </w:rPr>
                  </w:pPr>
                </w:p>
              </w:tc>
              <w:tc>
                <w:tcPr>
                  <w:tcW w:w="3241" w:type="pct"/>
                  <w:vAlign w:val="center"/>
                </w:tcPr>
                <w:p w14:paraId="335AB505">
                  <w:pPr>
                    <w:spacing w:line="360" w:lineRule="auto"/>
                    <w:ind w:firstLine="420" w:firstLineChars="200"/>
                    <w:rPr>
                      <w:color w:val="auto"/>
                      <w:highlight w:val="none"/>
                    </w:rPr>
                  </w:pPr>
                  <w:r>
                    <w:rPr>
                      <w:rFonts w:hint="eastAsia"/>
                      <w:color w:val="auto"/>
                      <w:szCs w:val="21"/>
                      <w:highlight w:val="none"/>
                      <w:lang w:val="en-US" w:eastAsia="zh-CN"/>
                    </w:rPr>
                    <w:t>地块一：</w:t>
                  </w:r>
                  <w:r>
                    <w:rPr>
                      <w:color w:val="auto"/>
                      <w:szCs w:val="21"/>
                      <w:highlight w:val="none"/>
                    </w:rPr>
                    <w:t>库区除东</w:t>
                  </w:r>
                  <w:r>
                    <w:rPr>
                      <w:rFonts w:hint="eastAsia"/>
                      <w:color w:val="auto"/>
                      <w:szCs w:val="21"/>
                      <w:highlight w:val="none"/>
                      <w:lang w:val="en-US" w:eastAsia="zh-CN"/>
                    </w:rPr>
                    <w:t>侧</w:t>
                  </w:r>
                  <w:r>
                    <w:rPr>
                      <w:color w:val="auto"/>
                      <w:szCs w:val="21"/>
                      <w:highlight w:val="none"/>
                    </w:rPr>
                    <w:t>为</w:t>
                  </w:r>
                  <w:r>
                    <w:rPr>
                      <w:rFonts w:hint="eastAsia"/>
                      <w:color w:val="auto"/>
                      <w:szCs w:val="21"/>
                      <w:highlight w:val="none"/>
                      <w:lang w:val="en-US" w:eastAsia="zh-CN"/>
                    </w:rPr>
                    <w:t>现有项目库房，</w:t>
                  </w:r>
                  <w:r>
                    <w:rPr>
                      <w:color w:val="auto"/>
                      <w:szCs w:val="21"/>
                      <w:highlight w:val="none"/>
                    </w:rPr>
                    <w:t>周围都是山沟，库区</w:t>
                  </w:r>
                  <w:r>
                    <w:rPr>
                      <w:rFonts w:hint="eastAsia"/>
                      <w:color w:val="auto"/>
                      <w:szCs w:val="21"/>
                      <w:highlight w:val="none"/>
                    </w:rPr>
                    <w:t>内</w:t>
                  </w:r>
                  <w:r>
                    <w:rPr>
                      <w:rFonts w:hint="eastAsia"/>
                      <w:color w:val="auto"/>
                      <w:szCs w:val="21"/>
                      <w:highlight w:val="none"/>
                      <w:lang w:val="en-US" w:eastAsia="zh-CN"/>
                    </w:rPr>
                    <w:t>新建设</w:t>
                  </w:r>
                  <w:r>
                    <w:rPr>
                      <w:rFonts w:hint="eastAsia"/>
                      <w:color w:val="auto"/>
                      <w:szCs w:val="21"/>
                      <w:highlight w:val="none"/>
                    </w:rPr>
                    <w:t>截排水沟</w:t>
                  </w:r>
                  <w:r>
                    <w:rPr>
                      <w:rFonts w:hint="eastAsia"/>
                      <w:color w:val="auto"/>
                      <w:highlight w:val="none"/>
                    </w:rPr>
                    <w:t>，</w:t>
                  </w:r>
                  <w:r>
                    <w:rPr>
                      <w:color w:val="auto"/>
                      <w:highlight w:val="none"/>
                    </w:rPr>
                    <w:t>雨水经截排水沟收集后</w:t>
                  </w:r>
                  <w:r>
                    <w:rPr>
                      <w:rFonts w:hint="eastAsia"/>
                      <w:color w:val="auto"/>
                      <w:highlight w:val="none"/>
                    </w:rPr>
                    <w:t>，</w:t>
                  </w:r>
                  <w:r>
                    <w:rPr>
                      <w:color w:val="auto"/>
                      <w:highlight w:val="none"/>
                    </w:rPr>
                    <w:t>排入</w:t>
                  </w:r>
                  <w:r>
                    <w:rPr>
                      <w:rFonts w:hint="eastAsia"/>
                      <w:color w:val="auto"/>
                      <w:highlight w:val="none"/>
                    </w:rPr>
                    <w:t>库区外</w:t>
                  </w:r>
                  <w:r>
                    <w:rPr>
                      <w:color w:val="auto"/>
                      <w:highlight w:val="none"/>
                    </w:rPr>
                    <w:t>。</w:t>
                  </w:r>
                </w:p>
                <w:p w14:paraId="423396ED">
                  <w:pPr>
                    <w:spacing w:line="360" w:lineRule="auto"/>
                    <w:ind w:firstLine="420" w:firstLineChars="200"/>
                    <w:rPr>
                      <w:color w:val="auto"/>
                      <w:highlight w:val="none"/>
                    </w:rPr>
                  </w:pPr>
                  <w:r>
                    <w:rPr>
                      <w:rFonts w:hint="eastAsia"/>
                      <w:color w:val="auto"/>
                      <w:highlight w:val="none"/>
                      <w:lang w:val="en-US" w:eastAsia="zh-CN"/>
                    </w:rPr>
                    <w:t>地块二：库区四周新建设</w:t>
                  </w:r>
                  <w:r>
                    <w:rPr>
                      <w:rFonts w:hint="eastAsia"/>
                      <w:color w:val="auto"/>
                      <w:szCs w:val="21"/>
                      <w:highlight w:val="none"/>
                    </w:rPr>
                    <w:t>截排水沟</w:t>
                  </w:r>
                  <w:r>
                    <w:rPr>
                      <w:rFonts w:hint="eastAsia"/>
                      <w:color w:val="auto"/>
                      <w:highlight w:val="none"/>
                    </w:rPr>
                    <w:t>，</w:t>
                  </w:r>
                  <w:r>
                    <w:rPr>
                      <w:color w:val="auto"/>
                      <w:highlight w:val="none"/>
                    </w:rPr>
                    <w:t>雨水经截排水沟收集后</w:t>
                  </w:r>
                  <w:r>
                    <w:rPr>
                      <w:rFonts w:hint="eastAsia"/>
                      <w:color w:val="auto"/>
                      <w:highlight w:val="none"/>
                    </w:rPr>
                    <w:t>，</w:t>
                  </w:r>
                  <w:r>
                    <w:rPr>
                      <w:color w:val="auto"/>
                      <w:highlight w:val="none"/>
                    </w:rPr>
                    <w:t>排入</w:t>
                  </w:r>
                  <w:r>
                    <w:rPr>
                      <w:rFonts w:hint="eastAsia"/>
                      <w:color w:val="auto"/>
                      <w:highlight w:val="none"/>
                    </w:rPr>
                    <w:t>库区外</w:t>
                  </w:r>
                  <w:r>
                    <w:rPr>
                      <w:color w:val="auto"/>
                      <w:highlight w:val="none"/>
                    </w:rPr>
                    <w:t>。</w:t>
                  </w:r>
                </w:p>
                <w:p w14:paraId="066D161F">
                  <w:pPr>
                    <w:spacing w:line="360" w:lineRule="auto"/>
                    <w:ind w:firstLine="420" w:firstLineChars="200"/>
                    <w:rPr>
                      <w:rFonts w:hint="default" w:eastAsia="宋体"/>
                      <w:color w:val="auto"/>
                      <w:lang w:val="en-US" w:eastAsia="zh-CN"/>
                    </w:rPr>
                  </w:pPr>
                  <w:r>
                    <w:rPr>
                      <w:rFonts w:hint="eastAsia"/>
                      <w:color w:val="auto"/>
                      <w:lang w:val="en-US" w:eastAsia="zh-CN"/>
                    </w:rPr>
                    <w:t>地块三：</w:t>
                  </w:r>
                  <w:r>
                    <w:rPr>
                      <w:color w:val="auto"/>
                      <w:szCs w:val="21"/>
                      <w:highlight w:val="none"/>
                    </w:rPr>
                    <w:t>除</w:t>
                  </w:r>
                  <w:r>
                    <w:rPr>
                      <w:rFonts w:hint="eastAsia"/>
                      <w:color w:val="auto"/>
                      <w:szCs w:val="21"/>
                      <w:highlight w:val="none"/>
                      <w:lang w:val="en-US" w:eastAsia="zh-CN"/>
                    </w:rPr>
                    <w:t>北侧</w:t>
                  </w:r>
                  <w:r>
                    <w:rPr>
                      <w:color w:val="auto"/>
                      <w:szCs w:val="21"/>
                      <w:highlight w:val="none"/>
                    </w:rPr>
                    <w:t>为</w:t>
                  </w:r>
                  <w:r>
                    <w:rPr>
                      <w:rFonts w:hint="eastAsia"/>
                      <w:color w:val="auto"/>
                      <w:szCs w:val="21"/>
                      <w:highlight w:val="none"/>
                      <w:lang w:val="en-US" w:eastAsia="zh-CN"/>
                    </w:rPr>
                    <w:t>现有进场道路，</w:t>
                  </w:r>
                  <w:r>
                    <w:rPr>
                      <w:color w:val="auto"/>
                      <w:szCs w:val="21"/>
                      <w:highlight w:val="none"/>
                    </w:rPr>
                    <w:t>周围都是山沟，</w:t>
                  </w:r>
                  <w:r>
                    <w:rPr>
                      <w:rFonts w:hint="eastAsia"/>
                      <w:color w:val="auto"/>
                      <w:szCs w:val="21"/>
                      <w:highlight w:val="none"/>
                    </w:rPr>
                    <w:t>内</w:t>
                  </w:r>
                  <w:r>
                    <w:rPr>
                      <w:rFonts w:hint="eastAsia"/>
                      <w:color w:val="auto"/>
                      <w:szCs w:val="21"/>
                      <w:highlight w:val="none"/>
                      <w:lang w:val="en-US" w:eastAsia="zh-CN"/>
                    </w:rPr>
                    <w:t>新建设</w:t>
                  </w:r>
                  <w:r>
                    <w:rPr>
                      <w:rFonts w:hint="eastAsia"/>
                      <w:color w:val="auto"/>
                      <w:szCs w:val="21"/>
                      <w:highlight w:val="none"/>
                    </w:rPr>
                    <w:t>截排水沟</w:t>
                  </w:r>
                  <w:r>
                    <w:rPr>
                      <w:rFonts w:hint="eastAsia"/>
                      <w:color w:val="auto"/>
                      <w:highlight w:val="none"/>
                    </w:rPr>
                    <w:t>，</w:t>
                  </w:r>
                  <w:r>
                    <w:rPr>
                      <w:color w:val="auto"/>
                      <w:highlight w:val="none"/>
                    </w:rPr>
                    <w:t>雨水经截排水沟收集后</w:t>
                  </w:r>
                  <w:r>
                    <w:rPr>
                      <w:rFonts w:hint="eastAsia"/>
                      <w:color w:val="auto"/>
                      <w:highlight w:val="none"/>
                    </w:rPr>
                    <w:t>，</w:t>
                  </w:r>
                  <w:r>
                    <w:rPr>
                      <w:color w:val="auto"/>
                      <w:highlight w:val="none"/>
                    </w:rPr>
                    <w:t>排入</w:t>
                  </w:r>
                  <w:r>
                    <w:rPr>
                      <w:rFonts w:hint="eastAsia"/>
                      <w:color w:val="auto"/>
                      <w:highlight w:val="none"/>
                    </w:rPr>
                    <w:t>区外</w:t>
                  </w:r>
                  <w:r>
                    <w:rPr>
                      <w:color w:val="auto"/>
                      <w:highlight w:val="none"/>
                    </w:rPr>
                    <w:t>。</w:t>
                  </w:r>
                </w:p>
              </w:tc>
              <w:tc>
                <w:tcPr>
                  <w:tcW w:w="442" w:type="pct"/>
                  <w:vAlign w:val="center"/>
                </w:tcPr>
                <w:p w14:paraId="29712E51">
                  <w:pPr>
                    <w:spacing w:line="360" w:lineRule="auto"/>
                    <w:rPr>
                      <w:rFonts w:hint="default"/>
                      <w:color w:val="auto"/>
                      <w:szCs w:val="21"/>
                      <w:highlight w:val="none"/>
                      <w:lang w:val="en-US" w:eastAsia="zh-CN"/>
                    </w:rPr>
                  </w:pPr>
                  <w:r>
                    <w:rPr>
                      <w:rFonts w:hint="eastAsia"/>
                      <w:color w:val="auto"/>
                      <w:szCs w:val="21"/>
                      <w:highlight w:val="none"/>
                      <w:lang w:val="en-US" w:eastAsia="zh-CN"/>
                    </w:rPr>
                    <w:t>新建</w:t>
                  </w:r>
                </w:p>
              </w:tc>
            </w:tr>
            <w:tr w14:paraId="24D5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1" w:type="pct"/>
                  <w:vMerge w:val="continue"/>
                  <w:vAlign w:val="center"/>
                </w:tcPr>
                <w:p w14:paraId="5ADE30FE">
                  <w:pPr>
                    <w:jc w:val="center"/>
                    <w:rPr>
                      <w:color w:val="auto"/>
                      <w:szCs w:val="21"/>
                      <w:highlight w:val="none"/>
                    </w:rPr>
                  </w:pPr>
                </w:p>
              </w:tc>
              <w:tc>
                <w:tcPr>
                  <w:tcW w:w="562" w:type="pct"/>
                  <w:gridSpan w:val="3"/>
                  <w:vMerge w:val="continue"/>
                  <w:vAlign w:val="center"/>
                </w:tcPr>
                <w:p w14:paraId="10FC5055">
                  <w:pPr>
                    <w:jc w:val="center"/>
                    <w:rPr>
                      <w:color w:val="auto"/>
                      <w:szCs w:val="21"/>
                      <w:highlight w:val="none"/>
                    </w:rPr>
                  </w:pPr>
                </w:p>
              </w:tc>
              <w:tc>
                <w:tcPr>
                  <w:tcW w:w="482" w:type="pct"/>
                  <w:vAlign w:val="center"/>
                </w:tcPr>
                <w:p w14:paraId="3DA473AD">
                  <w:pPr>
                    <w:jc w:val="center"/>
                    <w:rPr>
                      <w:color w:val="auto"/>
                      <w:szCs w:val="21"/>
                      <w:highlight w:val="none"/>
                    </w:rPr>
                  </w:pPr>
                  <w:r>
                    <w:rPr>
                      <w:color w:val="auto"/>
                      <w:szCs w:val="21"/>
                      <w:highlight w:val="none"/>
                    </w:rPr>
                    <w:t>供电</w:t>
                  </w:r>
                </w:p>
              </w:tc>
              <w:tc>
                <w:tcPr>
                  <w:tcW w:w="3241" w:type="pct"/>
                  <w:vAlign w:val="center"/>
                </w:tcPr>
                <w:p w14:paraId="2915E06F">
                  <w:pPr>
                    <w:jc w:val="center"/>
                    <w:rPr>
                      <w:color w:val="auto"/>
                      <w:szCs w:val="21"/>
                      <w:highlight w:val="none"/>
                    </w:rPr>
                  </w:pPr>
                  <w:r>
                    <w:rPr>
                      <w:color w:val="auto"/>
                      <w:szCs w:val="21"/>
                      <w:highlight w:val="none"/>
                    </w:rPr>
                    <w:t>库区安全距离外有电力公司的供电电源</w:t>
                  </w:r>
                </w:p>
              </w:tc>
              <w:tc>
                <w:tcPr>
                  <w:tcW w:w="442" w:type="pct"/>
                  <w:vAlign w:val="center"/>
                </w:tcPr>
                <w:p w14:paraId="0BCAEE73">
                  <w:pPr>
                    <w:jc w:val="center"/>
                    <w:rPr>
                      <w:color w:val="auto"/>
                      <w:szCs w:val="21"/>
                      <w:highlight w:val="none"/>
                    </w:rPr>
                  </w:pPr>
                  <w:r>
                    <w:rPr>
                      <w:rFonts w:hint="eastAsia"/>
                      <w:color w:val="auto"/>
                      <w:szCs w:val="21"/>
                      <w:highlight w:val="none"/>
                      <w:lang w:val="en-US" w:eastAsia="zh-CN"/>
                    </w:rPr>
                    <w:t>依托现有</w:t>
                  </w:r>
                </w:p>
              </w:tc>
            </w:tr>
            <w:tr w14:paraId="466C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1" w:type="pct"/>
                  <w:vMerge w:val="continue"/>
                  <w:vAlign w:val="center"/>
                </w:tcPr>
                <w:p w14:paraId="05313676">
                  <w:pPr>
                    <w:jc w:val="center"/>
                    <w:rPr>
                      <w:color w:val="auto"/>
                      <w:szCs w:val="21"/>
                      <w:highlight w:val="none"/>
                    </w:rPr>
                  </w:pPr>
                </w:p>
              </w:tc>
              <w:tc>
                <w:tcPr>
                  <w:tcW w:w="562" w:type="pct"/>
                  <w:gridSpan w:val="3"/>
                  <w:vMerge w:val="continue"/>
                  <w:vAlign w:val="center"/>
                </w:tcPr>
                <w:p w14:paraId="6FF6F750">
                  <w:pPr>
                    <w:jc w:val="center"/>
                    <w:rPr>
                      <w:color w:val="auto"/>
                      <w:szCs w:val="21"/>
                      <w:highlight w:val="none"/>
                    </w:rPr>
                  </w:pPr>
                </w:p>
              </w:tc>
              <w:tc>
                <w:tcPr>
                  <w:tcW w:w="482" w:type="pct"/>
                  <w:vAlign w:val="center"/>
                </w:tcPr>
                <w:p w14:paraId="472C2C20">
                  <w:pPr>
                    <w:jc w:val="center"/>
                    <w:rPr>
                      <w:color w:val="auto"/>
                      <w:szCs w:val="21"/>
                      <w:highlight w:val="none"/>
                    </w:rPr>
                  </w:pPr>
                  <w:r>
                    <w:rPr>
                      <w:color w:val="auto"/>
                      <w:szCs w:val="21"/>
                      <w:highlight w:val="none"/>
                    </w:rPr>
                    <w:t>防雷与防静电</w:t>
                  </w:r>
                </w:p>
              </w:tc>
              <w:tc>
                <w:tcPr>
                  <w:tcW w:w="3241" w:type="pct"/>
                  <w:vAlign w:val="center"/>
                </w:tcPr>
                <w:p w14:paraId="34B426FF">
                  <w:pPr>
                    <w:jc w:val="center"/>
                    <w:rPr>
                      <w:color w:val="auto"/>
                      <w:szCs w:val="21"/>
                      <w:highlight w:val="none"/>
                    </w:rPr>
                  </w:pPr>
                  <w:r>
                    <w:rPr>
                      <w:color w:val="auto"/>
                      <w:szCs w:val="21"/>
                      <w:highlight w:val="none"/>
                    </w:rPr>
                    <w:t>本项目</w:t>
                  </w:r>
                  <w:r>
                    <w:rPr>
                      <w:rFonts w:hint="eastAsia"/>
                      <w:color w:val="auto"/>
                      <w:szCs w:val="21"/>
                      <w:highlight w:val="none"/>
                      <w:lang w:val="en-US" w:eastAsia="zh-CN"/>
                    </w:rPr>
                    <w:t>地块一</w:t>
                  </w:r>
                  <w:r>
                    <w:rPr>
                      <w:color w:val="auto"/>
                      <w:szCs w:val="21"/>
                      <w:highlight w:val="none"/>
                    </w:rPr>
                    <w:t>仓库（1.3级</w:t>
                  </w:r>
                  <w:r>
                    <w:rPr>
                      <w:rFonts w:hint="eastAsia"/>
                      <w:color w:val="auto"/>
                      <w:szCs w:val="21"/>
                      <w:highlight w:val="none"/>
                      <w:lang w:eastAsia="zh-CN"/>
                    </w:rPr>
                    <w:t>）</w:t>
                  </w:r>
                  <w:r>
                    <w:rPr>
                      <w:color w:val="auto"/>
                      <w:szCs w:val="21"/>
                      <w:highlight w:val="none"/>
                    </w:rPr>
                    <w:t>防雷类别按二类防雷设计</w:t>
                  </w:r>
                  <w:r>
                    <w:rPr>
                      <w:rFonts w:hint="eastAsia"/>
                      <w:color w:val="auto"/>
                      <w:szCs w:val="21"/>
                      <w:highlight w:val="none"/>
                      <w:lang w:eastAsia="zh-CN"/>
                    </w:rPr>
                    <w:t>，</w:t>
                  </w:r>
                  <w:r>
                    <w:rPr>
                      <w:rFonts w:hint="eastAsia"/>
                      <w:color w:val="auto"/>
                      <w:szCs w:val="21"/>
                      <w:highlight w:val="none"/>
                      <w:lang w:val="en-US" w:eastAsia="zh-CN"/>
                    </w:rPr>
                    <w:t>地块二仓库（1.1级</w:t>
                  </w:r>
                  <w:r>
                    <w:rPr>
                      <w:color w:val="auto"/>
                      <w:szCs w:val="21"/>
                      <w:highlight w:val="none"/>
                    </w:rPr>
                    <w:t>）防雷类别按</w:t>
                  </w:r>
                  <w:r>
                    <w:rPr>
                      <w:rFonts w:hint="eastAsia"/>
                      <w:color w:val="auto"/>
                      <w:szCs w:val="21"/>
                      <w:highlight w:val="none"/>
                      <w:lang w:val="en-US" w:eastAsia="zh-CN"/>
                    </w:rPr>
                    <w:t>一</w:t>
                  </w:r>
                  <w:r>
                    <w:rPr>
                      <w:color w:val="auto"/>
                      <w:szCs w:val="21"/>
                      <w:highlight w:val="none"/>
                    </w:rPr>
                    <w:t>类防雷设计</w:t>
                  </w:r>
                </w:p>
              </w:tc>
              <w:tc>
                <w:tcPr>
                  <w:tcW w:w="442" w:type="pct"/>
                  <w:vAlign w:val="center"/>
                </w:tcPr>
                <w:p w14:paraId="637D8602">
                  <w:pPr>
                    <w:jc w:val="center"/>
                    <w:rPr>
                      <w:rFonts w:hint="eastAsia" w:eastAsia="宋体"/>
                      <w:color w:val="auto"/>
                      <w:szCs w:val="21"/>
                      <w:highlight w:val="none"/>
                      <w:lang w:val="en-US" w:eastAsia="zh-CN"/>
                    </w:rPr>
                  </w:pPr>
                  <w:r>
                    <w:rPr>
                      <w:rFonts w:hint="eastAsia"/>
                      <w:color w:val="auto"/>
                      <w:szCs w:val="21"/>
                      <w:highlight w:val="none"/>
                      <w:lang w:val="en-US" w:eastAsia="zh-CN"/>
                    </w:rPr>
                    <w:t>新建</w:t>
                  </w:r>
                </w:p>
              </w:tc>
            </w:tr>
            <w:tr w14:paraId="402F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71" w:type="pct"/>
                  <w:vMerge w:val="continue"/>
                  <w:vAlign w:val="center"/>
                </w:tcPr>
                <w:p w14:paraId="05FF1474">
                  <w:pPr>
                    <w:jc w:val="center"/>
                    <w:rPr>
                      <w:color w:val="auto"/>
                      <w:szCs w:val="21"/>
                      <w:highlight w:val="none"/>
                    </w:rPr>
                  </w:pPr>
                </w:p>
              </w:tc>
              <w:tc>
                <w:tcPr>
                  <w:tcW w:w="562" w:type="pct"/>
                  <w:gridSpan w:val="3"/>
                  <w:vMerge w:val="continue"/>
                  <w:vAlign w:val="center"/>
                </w:tcPr>
                <w:p w14:paraId="2471D5D9">
                  <w:pPr>
                    <w:jc w:val="center"/>
                    <w:rPr>
                      <w:color w:val="auto"/>
                      <w:szCs w:val="21"/>
                      <w:highlight w:val="none"/>
                    </w:rPr>
                  </w:pPr>
                </w:p>
              </w:tc>
              <w:tc>
                <w:tcPr>
                  <w:tcW w:w="482" w:type="pct"/>
                  <w:vMerge w:val="restart"/>
                  <w:vAlign w:val="center"/>
                </w:tcPr>
                <w:p w14:paraId="4AA7D92C">
                  <w:pPr>
                    <w:jc w:val="center"/>
                    <w:rPr>
                      <w:color w:val="auto"/>
                      <w:szCs w:val="21"/>
                      <w:highlight w:val="none"/>
                    </w:rPr>
                  </w:pPr>
                  <w:r>
                    <w:rPr>
                      <w:color w:val="auto"/>
                      <w:szCs w:val="21"/>
                      <w:highlight w:val="none"/>
                    </w:rPr>
                    <w:t>消防</w:t>
                  </w:r>
                </w:p>
              </w:tc>
              <w:tc>
                <w:tcPr>
                  <w:tcW w:w="3241" w:type="pct"/>
                  <w:vAlign w:val="center"/>
                </w:tcPr>
                <w:p w14:paraId="62C9005E">
                  <w:pPr>
                    <w:spacing w:line="240" w:lineRule="auto"/>
                    <w:jc w:val="left"/>
                    <w:rPr>
                      <w:rFonts w:hint="default"/>
                      <w:color w:val="auto"/>
                      <w:highlight w:val="none"/>
                      <w:lang w:val="en-US" w:eastAsia="zh-CN"/>
                    </w:rPr>
                  </w:pPr>
                  <w:r>
                    <w:rPr>
                      <w:rFonts w:hint="eastAsia"/>
                      <w:b/>
                      <w:bCs/>
                      <w:color w:val="auto"/>
                      <w:szCs w:val="21"/>
                      <w:highlight w:val="none"/>
                      <w:lang w:val="en-US" w:eastAsia="zh-CN"/>
                    </w:rPr>
                    <w:t>地块一：</w:t>
                  </w:r>
                  <w:r>
                    <w:rPr>
                      <w:rFonts w:hint="eastAsia"/>
                      <w:color w:val="auto"/>
                      <w:szCs w:val="21"/>
                      <w:highlight w:val="none"/>
                      <w:lang w:val="en-US" w:eastAsia="zh-CN"/>
                    </w:rPr>
                    <w:t>依托现有的</w:t>
                  </w:r>
                  <w:r>
                    <w:rPr>
                      <w:rFonts w:hint="eastAsia"/>
                      <w:color w:val="auto"/>
                      <w:szCs w:val="21"/>
                      <w:highlight w:val="none"/>
                    </w:rPr>
                    <w:t>2个</w:t>
                  </w:r>
                  <w:r>
                    <w:rPr>
                      <w:color w:val="auto"/>
                      <w:szCs w:val="21"/>
                      <w:highlight w:val="none"/>
                    </w:rPr>
                    <w:t>295m</w:t>
                  </w:r>
                  <w:r>
                    <w:rPr>
                      <w:color w:val="auto"/>
                      <w:szCs w:val="21"/>
                      <w:highlight w:val="none"/>
                      <w:vertAlign w:val="superscript"/>
                    </w:rPr>
                    <w:t>3</w:t>
                  </w:r>
                  <w:r>
                    <w:rPr>
                      <w:rFonts w:hint="eastAsia"/>
                      <w:color w:val="auto"/>
                      <w:szCs w:val="21"/>
                      <w:highlight w:val="none"/>
                    </w:rPr>
                    <w:t>的</w:t>
                  </w:r>
                  <w:r>
                    <w:rPr>
                      <w:color w:val="auto"/>
                      <w:szCs w:val="21"/>
                      <w:highlight w:val="none"/>
                    </w:rPr>
                    <w:t>消防水池</w:t>
                  </w:r>
                  <w:r>
                    <w:rPr>
                      <w:rFonts w:hint="eastAsia"/>
                      <w:color w:val="auto"/>
                      <w:szCs w:val="21"/>
                      <w:highlight w:val="none"/>
                      <w:lang w:eastAsia="zh-CN"/>
                    </w:rPr>
                    <w:t>。</w:t>
                  </w:r>
                  <w:r>
                    <w:rPr>
                      <w:rFonts w:hint="eastAsia"/>
                      <w:color w:val="auto"/>
                      <w:szCs w:val="21"/>
                      <w:highlight w:val="none"/>
                      <w:lang w:val="en-US" w:eastAsia="zh-CN"/>
                    </w:rPr>
                    <w:t>新增灭火器22个、消防栓4个</w:t>
                  </w:r>
                  <w:r>
                    <w:rPr>
                      <w:rFonts w:hint="eastAsia"/>
                      <w:color w:val="auto"/>
                      <w:szCs w:val="21"/>
                      <w:highlight w:val="none"/>
                      <w:lang w:eastAsia="zh-CN"/>
                    </w:rPr>
                    <w:t>。</w:t>
                  </w:r>
                </w:p>
              </w:tc>
              <w:tc>
                <w:tcPr>
                  <w:tcW w:w="442" w:type="pct"/>
                  <w:vAlign w:val="center"/>
                </w:tcPr>
                <w:p w14:paraId="258266D4">
                  <w:pPr>
                    <w:spacing w:line="240" w:lineRule="auto"/>
                    <w:jc w:val="left"/>
                    <w:rPr>
                      <w:rFonts w:hint="eastAsia"/>
                      <w:b/>
                      <w:bCs/>
                      <w:color w:val="auto"/>
                      <w:szCs w:val="21"/>
                      <w:highlight w:val="none"/>
                      <w:lang w:val="en-US" w:eastAsia="zh-CN"/>
                    </w:rPr>
                  </w:pPr>
                  <w:r>
                    <w:rPr>
                      <w:rFonts w:hint="eastAsia"/>
                      <w:color w:val="auto"/>
                      <w:szCs w:val="21"/>
                      <w:highlight w:val="none"/>
                      <w:lang w:val="en-US" w:eastAsia="zh-CN"/>
                    </w:rPr>
                    <w:t>依托现有</w:t>
                  </w:r>
                </w:p>
              </w:tc>
            </w:tr>
            <w:tr w14:paraId="0069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71" w:type="pct"/>
                  <w:vMerge w:val="continue"/>
                  <w:vAlign w:val="center"/>
                </w:tcPr>
                <w:p w14:paraId="0A12462A">
                  <w:pPr>
                    <w:jc w:val="center"/>
                    <w:rPr>
                      <w:color w:val="auto"/>
                      <w:szCs w:val="21"/>
                      <w:highlight w:val="none"/>
                    </w:rPr>
                  </w:pPr>
                </w:p>
              </w:tc>
              <w:tc>
                <w:tcPr>
                  <w:tcW w:w="562" w:type="pct"/>
                  <w:gridSpan w:val="3"/>
                  <w:vMerge w:val="continue"/>
                  <w:vAlign w:val="center"/>
                </w:tcPr>
                <w:p w14:paraId="466BBCAC">
                  <w:pPr>
                    <w:jc w:val="center"/>
                    <w:rPr>
                      <w:color w:val="auto"/>
                      <w:szCs w:val="21"/>
                      <w:highlight w:val="none"/>
                    </w:rPr>
                  </w:pPr>
                </w:p>
              </w:tc>
              <w:tc>
                <w:tcPr>
                  <w:tcW w:w="482" w:type="pct"/>
                  <w:vMerge w:val="continue"/>
                  <w:vAlign w:val="center"/>
                </w:tcPr>
                <w:p w14:paraId="71C76C37">
                  <w:pPr>
                    <w:jc w:val="center"/>
                    <w:rPr>
                      <w:color w:val="auto"/>
                      <w:szCs w:val="21"/>
                      <w:highlight w:val="none"/>
                    </w:rPr>
                  </w:pPr>
                </w:p>
              </w:tc>
              <w:tc>
                <w:tcPr>
                  <w:tcW w:w="3241" w:type="pct"/>
                  <w:vAlign w:val="center"/>
                </w:tcPr>
                <w:p w14:paraId="2BE641FF">
                  <w:pPr>
                    <w:pStyle w:val="32"/>
                    <w:spacing w:line="240" w:lineRule="auto"/>
                    <w:ind w:left="0" w:leftChars="0" w:firstLine="0" w:firstLineChars="0"/>
                    <w:rPr>
                      <w:rFonts w:hint="eastAsia"/>
                      <w:b/>
                      <w:bCs/>
                      <w:color w:val="auto"/>
                      <w:szCs w:val="21"/>
                      <w:highlight w:val="none"/>
                      <w:lang w:val="en-US" w:eastAsia="zh-CN"/>
                    </w:rPr>
                  </w:pPr>
                  <w:r>
                    <w:rPr>
                      <w:rFonts w:hint="eastAsia" w:ascii="Times New Roman" w:hAnsi="Times New Roman" w:eastAsia="宋体" w:cs="Times New Roman"/>
                      <w:b/>
                      <w:bCs/>
                      <w:color w:val="auto"/>
                      <w:kern w:val="2"/>
                      <w:sz w:val="21"/>
                      <w:szCs w:val="21"/>
                      <w:highlight w:val="none"/>
                      <w:lang w:val="en-US" w:eastAsia="zh-CN" w:bidi="ar-SA"/>
                    </w:rPr>
                    <w:t>地块二：</w:t>
                  </w:r>
                  <w:r>
                    <w:rPr>
                      <w:rFonts w:hint="eastAsia" w:ascii="Times New Roman" w:hAnsi="Times New Roman" w:eastAsia="宋体" w:cs="Times New Roman"/>
                      <w:b w:val="0"/>
                      <w:bCs w:val="0"/>
                      <w:color w:val="auto"/>
                      <w:kern w:val="2"/>
                      <w:sz w:val="21"/>
                      <w:szCs w:val="21"/>
                      <w:highlight w:val="none"/>
                      <w:lang w:val="en-US" w:eastAsia="zh-CN" w:bidi="ar-SA"/>
                    </w:rPr>
                    <w:t>新增1个162m</w:t>
                  </w:r>
                  <w:r>
                    <w:rPr>
                      <w:rFonts w:hint="eastAsia" w:ascii="Times New Roman" w:hAnsi="Times New Roman" w:eastAsia="宋体" w:cs="Times New Roman"/>
                      <w:b w:val="0"/>
                      <w:bCs w:val="0"/>
                      <w:color w:val="auto"/>
                      <w:kern w:val="2"/>
                      <w:sz w:val="21"/>
                      <w:szCs w:val="21"/>
                      <w:highlight w:val="none"/>
                      <w:vertAlign w:val="superscript"/>
                      <w:lang w:val="en-US" w:eastAsia="zh-CN" w:bidi="ar-SA"/>
                    </w:rPr>
                    <w:t>3</w:t>
                  </w:r>
                  <w:r>
                    <w:rPr>
                      <w:rFonts w:hint="eastAsia" w:ascii="Times New Roman" w:hAnsi="Times New Roman" w:eastAsia="宋体" w:cs="Times New Roman"/>
                      <w:b w:val="0"/>
                      <w:bCs w:val="0"/>
                      <w:color w:val="auto"/>
                      <w:kern w:val="2"/>
                      <w:sz w:val="21"/>
                      <w:szCs w:val="21"/>
                      <w:highlight w:val="none"/>
                      <w:lang w:val="en-US" w:eastAsia="zh-CN" w:bidi="ar-SA"/>
                    </w:rPr>
                    <w:t>的消防水池，新增灭火器12个、消防栓2个，</w:t>
                  </w:r>
                </w:p>
              </w:tc>
              <w:tc>
                <w:tcPr>
                  <w:tcW w:w="442" w:type="pct"/>
                  <w:vAlign w:val="center"/>
                </w:tcPr>
                <w:p w14:paraId="5F52E0A4">
                  <w:pPr>
                    <w:pStyle w:val="32"/>
                    <w:spacing w:line="240" w:lineRule="auto"/>
                    <w:ind w:left="0" w:leftChars="0" w:firstLine="0" w:firstLineChars="0"/>
                    <w:rPr>
                      <w:rFonts w:hint="eastAsia" w:ascii="Times New Roman" w:hAnsi="Times New Roman" w:eastAsia="宋体" w:cs="Times New Roman"/>
                      <w:b/>
                      <w:bCs/>
                      <w:color w:val="auto"/>
                      <w:kern w:val="2"/>
                      <w:sz w:val="21"/>
                      <w:szCs w:val="21"/>
                      <w:highlight w:val="none"/>
                      <w:lang w:val="en-US" w:eastAsia="zh-CN" w:bidi="ar-SA"/>
                    </w:rPr>
                  </w:pPr>
                  <w:r>
                    <w:rPr>
                      <w:rFonts w:hint="eastAsia"/>
                      <w:color w:val="auto"/>
                      <w:szCs w:val="21"/>
                      <w:highlight w:val="none"/>
                      <w:lang w:val="en-US" w:eastAsia="zh-CN"/>
                    </w:rPr>
                    <w:t>新建</w:t>
                  </w:r>
                </w:p>
              </w:tc>
            </w:tr>
            <w:tr w14:paraId="0F3E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71" w:type="pct"/>
                  <w:vMerge w:val="continue"/>
                  <w:vAlign w:val="center"/>
                </w:tcPr>
                <w:p w14:paraId="5341BBEE">
                  <w:pPr>
                    <w:jc w:val="center"/>
                    <w:rPr>
                      <w:color w:val="auto"/>
                      <w:szCs w:val="21"/>
                      <w:highlight w:val="none"/>
                    </w:rPr>
                  </w:pPr>
                </w:p>
              </w:tc>
              <w:tc>
                <w:tcPr>
                  <w:tcW w:w="562" w:type="pct"/>
                  <w:gridSpan w:val="3"/>
                  <w:vMerge w:val="continue"/>
                  <w:vAlign w:val="center"/>
                </w:tcPr>
                <w:p w14:paraId="3E7A7947">
                  <w:pPr>
                    <w:jc w:val="center"/>
                    <w:rPr>
                      <w:color w:val="auto"/>
                      <w:szCs w:val="21"/>
                      <w:highlight w:val="none"/>
                    </w:rPr>
                  </w:pPr>
                </w:p>
              </w:tc>
              <w:tc>
                <w:tcPr>
                  <w:tcW w:w="482" w:type="pct"/>
                  <w:vMerge w:val="continue"/>
                  <w:vAlign w:val="center"/>
                </w:tcPr>
                <w:p w14:paraId="2CFBA8F9">
                  <w:pPr>
                    <w:jc w:val="center"/>
                    <w:rPr>
                      <w:color w:val="auto"/>
                      <w:szCs w:val="21"/>
                      <w:highlight w:val="none"/>
                    </w:rPr>
                  </w:pPr>
                </w:p>
              </w:tc>
              <w:tc>
                <w:tcPr>
                  <w:tcW w:w="3241" w:type="pct"/>
                  <w:vAlign w:val="center"/>
                </w:tcPr>
                <w:p w14:paraId="563EEFD1">
                  <w:pPr>
                    <w:pStyle w:val="32"/>
                    <w:spacing w:line="240" w:lineRule="auto"/>
                    <w:ind w:left="0" w:leftChars="0" w:firstLine="0" w:firstLineChars="0"/>
                    <w:rPr>
                      <w:rFonts w:hint="eastAsia"/>
                      <w:b/>
                      <w:bCs/>
                      <w:color w:val="auto"/>
                      <w:szCs w:val="21"/>
                      <w:highlight w:val="none"/>
                      <w:lang w:val="en-US" w:eastAsia="zh-CN"/>
                    </w:rPr>
                  </w:pPr>
                  <w:r>
                    <w:rPr>
                      <w:rFonts w:hint="eastAsia"/>
                      <w:b/>
                      <w:bCs/>
                      <w:color w:val="auto"/>
                      <w:szCs w:val="21"/>
                      <w:highlight w:val="none"/>
                      <w:lang w:val="en-US" w:eastAsia="zh-CN"/>
                    </w:rPr>
                    <w:t>地块三：</w:t>
                  </w:r>
                  <w:r>
                    <w:rPr>
                      <w:rFonts w:hint="eastAsia"/>
                      <w:color w:val="auto"/>
                      <w:szCs w:val="21"/>
                      <w:highlight w:val="none"/>
                      <w:lang w:val="en-US" w:eastAsia="zh-CN"/>
                    </w:rPr>
                    <w:t>新增没灭火器20个，消防柜1个。</w:t>
                  </w:r>
                </w:p>
              </w:tc>
              <w:tc>
                <w:tcPr>
                  <w:tcW w:w="442" w:type="pct"/>
                  <w:vAlign w:val="center"/>
                </w:tcPr>
                <w:p w14:paraId="2CA30A84">
                  <w:pPr>
                    <w:pStyle w:val="32"/>
                    <w:spacing w:line="240" w:lineRule="auto"/>
                    <w:ind w:left="0" w:leftChars="0" w:firstLine="0" w:firstLineChars="0"/>
                    <w:rPr>
                      <w:rFonts w:hint="eastAsia"/>
                      <w:b/>
                      <w:bCs/>
                      <w:color w:val="auto"/>
                      <w:szCs w:val="21"/>
                      <w:highlight w:val="none"/>
                      <w:lang w:val="en-US" w:eastAsia="zh-CN"/>
                    </w:rPr>
                  </w:pPr>
                  <w:r>
                    <w:rPr>
                      <w:rFonts w:hint="eastAsia"/>
                      <w:color w:val="auto"/>
                      <w:szCs w:val="21"/>
                      <w:highlight w:val="none"/>
                      <w:lang w:val="en-US" w:eastAsia="zh-CN"/>
                    </w:rPr>
                    <w:t>新建</w:t>
                  </w:r>
                </w:p>
              </w:tc>
            </w:tr>
            <w:tr w14:paraId="223C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1" w:type="pct"/>
                  <w:vMerge w:val="continue"/>
                  <w:vAlign w:val="center"/>
                </w:tcPr>
                <w:p w14:paraId="4FE98C69">
                  <w:pPr>
                    <w:jc w:val="center"/>
                    <w:rPr>
                      <w:color w:val="auto"/>
                      <w:szCs w:val="21"/>
                      <w:highlight w:val="none"/>
                    </w:rPr>
                  </w:pPr>
                </w:p>
              </w:tc>
              <w:tc>
                <w:tcPr>
                  <w:tcW w:w="562" w:type="pct"/>
                  <w:gridSpan w:val="3"/>
                  <w:vMerge w:val="continue"/>
                  <w:vAlign w:val="center"/>
                </w:tcPr>
                <w:p w14:paraId="59F75D8D">
                  <w:pPr>
                    <w:jc w:val="center"/>
                    <w:rPr>
                      <w:color w:val="auto"/>
                      <w:szCs w:val="21"/>
                      <w:highlight w:val="none"/>
                    </w:rPr>
                  </w:pPr>
                </w:p>
              </w:tc>
              <w:tc>
                <w:tcPr>
                  <w:tcW w:w="482" w:type="pct"/>
                  <w:vAlign w:val="center"/>
                </w:tcPr>
                <w:p w14:paraId="5BC304B0">
                  <w:pPr>
                    <w:jc w:val="center"/>
                    <w:rPr>
                      <w:color w:val="auto"/>
                      <w:szCs w:val="21"/>
                      <w:highlight w:val="none"/>
                    </w:rPr>
                  </w:pPr>
                  <w:r>
                    <w:rPr>
                      <w:color w:val="auto"/>
                      <w:szCs w:val="21"/>
                      <w:highlight w:val="none"/>
                    </w:rPr>
                    <w:t>通信及监控系统</w:t>
                  </w:r>
                </w:p>
              </w:tc>
              <w:tc>
                <w:tcPr>
                  <w:tcW w:w="3241" w:type="pct"/>
                  <w:vAlign w:val="center"/>
                </w:tcPr>
                <w:p w14:paraId="01484CFF">
                  <w:pPr>
                    <w:jc w:val="center"/>
                    <w:rPr>
                      <w:rFonts w:hint="eastAsia" w:eastAsia="宋体"/>
                      <w:color w:val="auto"/>
                      <w:szCs w:val="21"/>
                      <w:highlight w:val="none"/>
                      <w:lang w:eastAsia="zh-CN"/>
                    </w:rPr>
                  </w:pPr>
                  <w:r>
                    <w:rPr>
                      <w:rFonts w:hint="eastAsia"/>
                      <w:color w:val="auto"/>
                      <w:szCs w:val="21"/>
                      <w:highlight w:val="none"/>
                    </w:rPr>
                    <w:t>设置1个</w:t>
                  </w:r>
                  <w:r>
                    <w:rPr>
                      <w:color w:val="auto"/>
                      <w:szCs w:val="21"/>
                      <w:highlight w:val="none"/>
                    </w:rPr>
                    <w:t>固定电话</w:t>
                  </w:r>
                  <w:r>
                    <w:rPr>
                      <w:rFonts w:hint="eastAsia"/>
                      <w:color w:val="auto"/>
                      <w:szCs w:val="21"/>
                      <w:highlight w:val="none"/>
                    </w:rPr>
                    <w:t>、</w:t>
                  </w:r>
                  <w:r>
                    <w:rPr>
                      <w:color w:val="auto"/>
                      <w:szCs w:val="21"/>
                      <w:highlight w:val="none"/>
                    </w:rPr>
                    <w:t>红外报警装置</w:t>
                  </w:r>
                  <w:r>
                    <w:rPr>
                      <w:rFonts w:hint="eastAsia"/>
                      <w:color w:val="auto"/>
                      <w:szCs w:val="21"/>
                      <w:highlight w:val="none"/>
                    </w:rPr>
                    <w:t>、</w:t>
                  </w:r>
                  <w:r>
                    <w:rPr>
                      <w:color w:val="auto"/>
                      <w:szCs w:val="21"/>
                      <w:highlight w:val="none"/>
                    </w:rPr>
                    <w:t>配置专职人员</w:t>
                  </w:r>
                  <w:r>
                    <w:rPr>
                      <w:rFonts w:hint="eastAsia"/>
                      <w:color w:val="auto"/>
                      <w:szCs w:val="21"/>
                      <w:highlight w:val="none"/>
                    </w:rPr>
                    <w:t>查看</w:t>
                  </w:r>
                  <w:r>
                    <w:rPr>
                      <w:color w:val="auto"/>
                      <w:szCs w:val="21"/>
                      <w:highlight w:val="none"/>
                    </w:rPr>
                    <w:t>视频监控</w:t>
                  </w:r>
                  <w:r>
                    <w:rPr>
                      <w:rFonts w:hint="eastAsia"/>
                      <w:color w:val="auto"/>
                      <w:szCs w:val="21"/>
                      <w:highlight w:val="none"/>
                    </w:rPr>
                    <w:t>、</w:t>
                  </w:r>
                  <w:r>
                    <w:rPr>
                      <w:color w:val="auto"/>
                      <w:szCs w:val="21"/>
                      <w:highlight w:val="none"/>
                    </w:rPr>
                    <w:t>温度计</w:t>
                  </w:r>
                  <w:r>
                    <w:rPr>
                      <w:rFonts w:hint="eastAsia"/>
                      <w:color w:val="auto"/>
                      <w:szCs w:val="21"/>
                      <w:highlight w:val="none"/>
                    </w:rPr>
                    <w:t>及</w:t>
                  </w:r>
                  <w:r>
                    <w:rPr>
                      <w:color w:val="auto"/>
                      <w:szCs w:val="21"/>
                      <w:highlight w:val="none"/>
                    </w:rPr>
                    <w:t>湿度计</w:t>
                  </w:r>
                  <w:r>
                    <w:rPr>
                      <w:rFonts w:hint="eastAsia"/>
                      <w:color w:val="auto"/>
                      <w:szCs w:val="21"/>
                      <w:highlight w:val="none"/>
                      <w:lang w:eastAsia="zh-CN"/>
                    </w:rPr>
                    <w:t>。</w:t>
                  </w:r>
                </w:p>
              </w:tc>
              <w:tc>
                <w:tcPr>
                  <w:tcW w:w="442" w:type="pct"/>
                  <w:vAlign w:val="center"/>
                </w:tcPr>
                <w:p w14:paraId="630CDFDF">
                  <w:pPr>
                    <w:jc w:val="center"/>
                    <w:rPr>
                      <w:rFonts w:hint="eastAsia"/>
                      <w:color w:val="auto"/>
                      <w:szCs w:val="21"/>
                      <w:highlight w:val="none"/>
                    </w:rPr>
                  </w:pPr>
                  <w:r>
                    <w:rPr>
                      <w:rFonts w:hint="eastAsia"/>
                      <w:color w:val="auto"/>
                      <w:szCs w:val="21"/>
                      <w:highlight w:val="none"/>
                      <w:lang w:val="en-US" w:eastAsia="zh-CN"/>
                    </w:rPr>
                    <w:t>依托现有</w:t>
                  </w:r>
                </w:p>
              </w:tc>
            </w:tr>
            <w:tr w14:paraId="2D4B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1" w:type="pct"/>
                  <w:vMerge w:val="restart"/>
                  <w:vAlign w:val="center"/>
                </w:tcPr>
                <w:p w14:paraId="13358189">
                  <w:pPr>
                    <w:jc w:val="center"/>
                    <w:rPr>
                      <w:color w:val="auto"/>
                      <w:szCs w:val="21"/>
                      <w:highlight w:val="none"/>
                    </w:rPr>
                  </w:pPr>
                  <w:r>
                    <w:rPr>
                      <w:rFonts w:hint="eastAsia"/>
                      <w:color w:val="auto"/>
                      <w:szCs w:val="21"/>
                      <w:highlight w:val="none"/>
                    </w:rPr>
                    <w:t>5</w:t>
                  </w:r>
                </w:p>
              </w:tc>
              <w:tc>
                <w:tcPr>
                  <w:tcW w:w="269" w:type="pct"/>
                  <w:vMerge w:val="restart"/>
                  <w:vAlign w:val="center"/>
                </w:tcPr>
                <w:p w14:paraId="7F9CCBAF">
                  <w:pPr>
                    <w:jc w:val="center"/>
                    <w:rPr>
                      <w:color w:val="auto"/>
                      <w:szCs w:val="21"/>
                      <w:highlight w:val="none"/>
                    </w:rPr>
                  </w:pPr>
                  <w:r>
                    <w:rPr>
                      <w:rFonts w:hint="eastAsia"/>
                      <w:color w:val="auto"/>
                      <w:szCs w:val="21"/>
                      <w:highlight w:val="none"/>
                    </w:rPr>
                    <w:t>环保工程</w:t>
                  </w:r>
                </w:p>
              </w:tc>
              <w:tc>
                <w:tcPr>
                  <w:tcW w:w="292" w:type="pct"/>
                  <w:gridSpan w:val="2"/>
                  <w:vMerge w:val="restart"/>
                  <w:vAlign w:val="center"/>
                </w:tcPr>
                <w:p w14:paraId="1E923512">
                  <w:pPr>
                    <w:jc w:val="center"/>
                    <w:rPr>
                      <w:color w:val="auto"/>
                      <w:szCs w:val="21"/>
                      <w:highlight w:val="none"/>
                    </w:rPr>
                  </w:pPr>
                  <w:r>
                    <w:rPr>
                      <w:rFonts w:hint="eastAsia"/>
                      <w:color w:val="auto"/>
                      <w:szCs w:val="21"/>
                      <w:highlight w:val="none"/>
                    </w:rPr>
                    <w:t>废水</w:t>
                  </w:r>
                </w:p>
              </w:tc>
              <w:tc>
                <w:tcPr>
                  <w:tcW w:w="482" w:type="pct"/>
                  <w:vAlign w:val="center"/>
                </w:tcPr>
                <w:p w14:paraId="0B042D6E">
                  <w:pPr>
                    <w:jc w:val="center"/>
                    <w:rPr>
                      <w:color w:val="auto"/>
                      <w:szCs w:val="21"/>
                      <w:highlight w:val="none"/>
                    </w:rPr>
                  </w:pPr>
                  <w:r>
                    <w:rPr>
                      <w:rFonts w:hint="eastAsia"/>
                      <w:color w:val="auto"/>
                      <w:szCs w:val="21"/>
                      <w:highlight w:val="none"/>
                      <w:lang w:val="en-US" w:eastAsia="zh-CN"/>
                    </w:rPr>
                    <w:t>地块一</w:t>
                  </w:r>
                  <w:r>
                    <w:rPr>
                      <w:color w:val="auto"/>
                      <w:szCs w:val="21"/>
                      <w:highlight w:val="none"/>
                    </w:rPr>
                    <w:t>化粪池</w:t>
                  </w:r>
                </w:p>
              </w:tc>
              <w:tc>
                <w:tcPr>
                  <w:tcW w:w="3241" w:type="pct"/>
                  <w:vAlign w:val="center"/>
                </w:tcPr>
                <w:p w14:paraId="03FB5F8B">
                  <w:pPr>
                    <w:jc w:val="left"/>
                    <w:rPr>
                      <w:rFonts w:hint="eastAsia" w:eastAsia="宋体"/>
                      <w:color w:val="auto"/>
                      <w:szCs w:val="21"/>
                      <w:highlight w:val="none"/>
                      <w:lang w:eastAsia="zh-CN"/>
                    </w:rPr>
                  </w:pPr>
                  <w:r>
                    <w:rPr>
                      <w:rFonts w:hint="eastAsia"/>
                      <w:color w:val="auto"/>
                      <w:szCs w:val="21"/>
                      <w:highlight w:val="none"/>
                      <w:lang w:val="en-US" w:eastAsia="zh-CN"/>
                    </w:rPr>
                    <w:t>本次扩建项目生活区沿用已建生活区，现员工生活污水经</w:t>
                  </w:r>
                  <w:r>
                    <w:rPr>
                      <w:color w:val="auto"/>
                      <w:szCs w:val="21"/>
                      <w:highlight w:val="none"/>
                    </w:rPr>
                    <w:t>一个容积为</w:t>
                  </w:r>
                  <w:r>
                    <w:rPr>
                      <w:rFonts w:hint="eastAsia"/>
                      <w:color w:val="auto"/>
                      <w:szCs w:val="21"/>
                      <w:highlight w:val="none"/>
                      <w:lang w:val="en-US" w:eastAsia="zh-CN"/>
                    </w:rPr>
                    <w:t>15</w:t>
                  </w:r>
                  <w:r>
                    <w:rPr>
                      <w:color w:val="auto"/>
                      <w:szCs w:val="21"/>
                      <w:highlight w:val="none"/>
                    </w:rPr>
                    <w:t>m</w:t>
                  </w:r>
                  <w:r>
                    <w:rPr>
                      <w:color w:val="auto"/>
                      <w:szCs w:val="21"/>
                      <w:highlight w:val="none"/>
                      <w:vertAlign w:val="superscript"/>
                    </w:rPr>
                    <w:t>3</w:t>
                  </w:r>
                  <w:r>
                    <w:rPr>
                      <w:color w:val="auto"/>
                      <w:szCs w:val="21"/>
                      <w:highlight w:val="none"/>
                    </w:rPr>
                    <w:t>的化粪池</w:t>
                  </w:r>
                  <w:r>
                    <w:rPr>
                      <w:rFonts w:hint="eastAsia"/>
                      <w:color w:val="auto"/>
                      <w:szCs w:val="21"/>
                      <w:highlight w:val="none"/>
                      <w:lang w:val="en-US" w:eastAsia="zh-CN"/>
                    </w:rPr>
                    <w:t>处理后</w:t>
                  </w:r>
                  <w:r>
                    <w:rPr>
                      <w:color w:val="auto"/>
                      <w:szCs w:val="21"/>
                      <w:highlight w:val="none"/>
                    </w:rPr>
                    <w:t>委托</w:t>
                  </w:r>
                  <w:r>
                    <w:rPr>
                      <w:rFonts w:hint="eastAsia"/>
                      <w:color w:val="auto"/>
                      <w:szCs w:val="21"/>
                      <w:highlight w:val="none"/>
                    </w:rPr>
                    <w:t>寻甸县</w:t>
                  </w:r>
                  <w:r>
                    <w:rPr>
                      <w:color w:val="auto"/>
                      <w:szCs w:val="21"/>
                      <w:highlight w:val="none"/>
                    </w:rPr>
                    <w:t>环卫部门</w:t>
                  </w:r>
                  <w:r>
                    <w:rPr>
                      <w:rFonts w:hint="eastAsia"/>
                      <w:color w:val="auto"/>
                      <w:szCs w:val="21"/>
                      <w:highlight w:val="none"/>
                      <w:lang w:val="en-US" w:eastAsia="zh-CN"/>
                    </w:rPr>
                    <w:t>15天</w:t>
                  </w:r>
                  <w:r>
                    <w:rPr>
                      <w:color w:val="auto"/>
                      <w:szCs w:val="21"/>
                      <w:highlight w:val="none"/>
                    </w:rPr>
                    <w:t>抽运一次</w:t>
                  </w:r>
                  <w:r>
                    <w:rPr>
                      <w:rFonts w:hint="eastAsia"/>
                      <w:color w:val="auto"/>
                      <w:szCs w:val="21"/>
                      <w:highlight w:val="none"/>
                    </w:rPr>
                    <w:t>，运至寻甸县污水处理厂处理，不外排</w:t>
                  </w:r>
                  <w:r>
                    <w:rPr>
                      <w:rFonts w:hint="eastAsia"/>
                      <w:color w:val="auto"/>
                      <w:szCs w:val="21"/>
                      <w:highlight w:val="none"/>
                      <w:lang w:eastAsia="zh-CN"/>
                    </w:rPr>
                    <w:t>。</w:t>
                  </w:r>
                </w:p>
              </w:tc>
              <w:tc>
                <w:tcPr>
                  <w:tcW w:w="442" w:type="pct"/>
                  <w:vAlign w:val="center"/>
                </w:tcPr>
                <w:p w14:paraId="593F2FCE">
                  <w:pPr>
                    <w:jc w:val="left"/>
                    <w:rPr>
                      <w:rFonts w:hint="eastAsia"/>
                      <w:color w:val="auto"/>
                      <w:szCs w:val="21"/>
                      <w:highlight w:val="none"/>
                      <w:lang w:val="en-US" w:eastAsia="zh-CN"/>
                    </w:rPr>
                  </w:pPr>
                  <w:r>
                    <w:rPr>
                      <w:rFonts w:hint="eastAsia"/>
                      <w:color w:val="auto"/>
                      <w:szCs w:val="21"/>
                      <w:highlight w:val="none"/>
                      <w:lang w:val="en-US" w:eastAsia="zh-CN"/>
                    </w:rPr>
                    <w:t>依托现有</w:t>
                  </w:r>
                </w:p>
              </w:tc>
            </w:tr>
            <w:tr w14:paraId="0508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1" w:type="pct"/>
                  <w:vMerge w:val="continue"/>
                  <w:vAlign w:val="center"/>
                </w:tcPr>
                <w:p w14:paraId="5E66E648">
                  <w:pPr>
                    <w:jc w:val="center"/>
                    <w:rPr>
                      <w:rFonts w:hint="eastAsia"/>
                      <w:color w:val="auto"/>
                      <w:szCs w:val="21"/>
                      <w:highlight w:val="none"/>
                    </w:rPr>
                  </w:pPr>
                </w:p>
              </w:tc>
              <w:tc>
                <w:tcPr>
                  <w:tcW w:w="269" w:type="pct"/>
                  <w:vMerge w:val="continue"/>
                  <w:vAlign w:val="center"/>
                </w:tcPr>
                <w:p w14:paraId="77572E16">
                  <w:pPr>
                    <w:jc w:val="center"/>
                    <w:rPr>
                      <w:rFonts w:hint="eastAsia"/>
                      <w:color w:val="auto"/>
                      <w:szCs w:val="21"/>
                      <w:highlight w:val="none"/>
                    </w:rPr>
                  </w:pPr>
                </w:p>
              </w:tc>
              <w:tc>
                <w:tcPr>
                  <w:tcW w:w="292" w:type="pct"/>
                  <w:gridSpan w:val="2"/>
                  <w:vMerge w:val="continue"/>
                  <w:vAlign w:val="center"/>
                </w:tcPr>
                <w:p w14:paraId="2D434182">
                  <w:pPr>
                    <w:jc w:val="center"/>
                    <w:rPr>
                      <w:rFonts w:hint="eastAsia"/>
                      <w:color w:val="auto"/>
                      <w:szCs w:val="21"/>
                      <w:highlight w:val="none"/>
                    </w:rPr>
                  </w:pPr>
                </w:p>
              </w:tc>
              <w:tc>
                <w:tcPr>
                  <w:tcW w:w="482" w:type="pct"/>
                  <w:vAlign w:val="center"/>
                </w:tcPr>
                <w:p w14:paraId="2A03563D">
                  <w:pPr>
                    <w:jc w:val="center"/>
                    <w:rPr>
                      <w:rFonts w:hint="default"/>
                      <w:color w:val="auto"/>
                      <w:szCs w:val="21"/>
                      <w:highlight w:val="none"/>
                      <w:lang w:val="en-US" w:eastAsia="zh-CN"/>
                    </w:rPr>
                  </w:pPr>
                  <w:r>
                    <w:rPr>
                      <w:rFonts w:hint="eastAsia"/>
                      <w:color w:val="auto"/>
                      <w:szCs w:val="21"/>
                      <w:highlight w:val="none"/>
                      <w:lang w:val="en-US" w:eastAsia="zh-CN"/>
                    </w:rPr>
                    <w:t>地块三化粪池</w:t>
                  </w:r>
                </w:p>
              </w:tc>
              <w:tc>
                <w:tcPr>
                  <w:tcW w:w="3241" w:type="pct"/>
                  <w:vAlign w:val="center"/>
                </w:tcPr>
                <w:p w14:paraId="7335F1B7">
                  <w:pPr>
                    <w:jc w:val="left"/>
                    <w:rPr>
                      <w:rFonts w:hint="default"/>
                      <w:color w:val="auto"/>
                      <w:szCs w:val="21"/>
                      <w:highlight w:val="none"/>
                      <w:lang w:val="en-US" w:eastAsia="zh-CN"/>
                    </w:rPr>
                  </w:pPr>
                  <w:r>
                    <w:rPr>
                      <w:rFonts w:hint="eastAsia"/>
                      <w:color w:val="auto"/>
                      <w:szCs w:val="21"/>
                      <w:highlight w:val="none"/>
                      <w:lang w:val="en-US" w:eastAsia="zh-CN"/>
                    </w:rPr>
                    <w:t>新建1座25m</w:t>
                  </w:r>
                  <w:r>
                    <w:rPr>
                      <w:rFonts w:hint="eastAsia"/>
                      <w:color w:val="auto"/>
                      <w:szCs w:val="21"/>
                      <w:highlight w:val="none"/>
                      <w:vertAlign w:val="superscript"/>
                      <w:lang w:val="en-US" w:eastAsia="zh-CN"/>
                    </w:rPr>
                    <w:t>3</w:t>
                  </w:r>
                  <w:r>
                    <w:rPr>
                      <w:rFonts w:hint="eastAsia"/>
                      <w:color w:val="auto"/>
                      <w:szCs w:val="21"/>
                      <w:highlight w:val="none"/>
                      <w:lang w:val="en-US" w:eastAsia="zh-CN"/>
                    </w:rPr>
                    <w:t>化粪池，废水经化粪池处理后</w:t>
                  </w:r>
                  <w:r>
                    <w:rPr>
                      <w:color w:val="auto"/>
                      <w:szCs w:val="21"/>
                      <w:highlight w:val="none"/>
                    </w:rPr>
                    <w:t>委托</w:t>
                  </w:r>
                  <w:r>
                    <w:rPr>
                      <w:rFonts w:hint="eastAsia"/>
                      <w:color w:val="auto"/>
                      <w:szCs w:val="21"/>
                      <w:highlight w:val="none"/>
                    </w:rPr>
                    <w:t>寻甸县</w:t>
                  </w:r>
                  <w:r>
                    <w:rPr>
                      <w:color w:val="auto"/>
                      <w:szCs w:val="21"/>
                      <w:highlight w:val="none"/>
                    </w:rPr>
                    <w:t>环卫部门</w:t>
                  </w:r>
                  <w:r>
                    <w:rPr>
                      <w:rFonts w:hint="eastAsia"/>
                      <w:color w:val="auto"/>
                      <w:szCs w:val="21"/>
                      <w:highlight w:val="none"/>
                      <w:lang w:val="en-US" w:eastAsia="zh-CN"/>
                    </w:rPr>
                    <w:t>15天</w:t>
                  </w:r>
                  <w:r>
                    <w:rPr>
                      <w:color w:val="auto"/>
                      <w:szCs w:val="21"/>
                      <w:highlight w:val="none"/>
                    </w:rPr>
                    <w:t>抽运一次</w:t>
                  </w:r>
                  <w:r>
                    <w:rPr>
                      <w:rFonts w:hint="eastAsia"/>
                      <w:color w:val="auto"/>
                      <w:szCs w:val="21"/>
                      <w:highlight w:val="none"/>
                    </w:rPr>
                    <w:t>，运至寻甸县污水处理厂处理，不外排</w:t>
                  </w:r>
                  <w:r>
                    <w:rPr>
                      <w:rFonts w:hint="eastAsia"/>
                      <w:color w:val="auto"/>
                      <w:szCs w:val="21"/>
                      <w:highlight w:val="none"/>
                      <w:lang w:eastAsia="zh-CN"/>
                    </w:rPr>
                    <w:t>。</w:t>
                  </w:r>
                </w:p>
              </w:tc>
              <w:tc>
                <w:tcPr>
                  <w:tcW w:w="442" w:type="pct"/>
                  <w:vAlign w:val="center"/>
                </w:tcPr>
                <w:p w14:paraId="6D99D746">
                  <w:pPr>
                    <w:jc w:val="left"/>
                    <w:rPr>
                      <w:rFonts w:hint="default"/>
                      <w:color w:val="auto"/>
                      <w:szCs w:val="21"/>
                      <w:highlight w:val="none"/>
                      <w:lang w:val="en-US" w:eastAsia="zh-CN"/>
                    </w:rPr>
                  </w:pPr>
                  <w:r>
                    <w:rPr>
                      <w:rFonts w:hint="eastAsia"/>
                      <w:color w:val="auto"/>
                      <w:szCs w:val="21"/>
                      <w:highlight w:val="none"/>
                      <w:lang w:val="en-US" w:eastAsia="zh-CN"/>
                    </w:rPr>
                    <w:t>新建</w:t>
                  </w:r>
                </w:p>
              </w:tc>
            </w:tr>
            <w:tr w14:paraId="7C83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1" w:type="pct"/>
                  <w:vMerge w:val="continue"/>
                  <w:vAlign w:val="center"/>
                </w:tcPr>
                <w:p w14:paraId="18AD59D8">
                  <w:pPr>
                    <w:jc w:val="center"/>
                    <w:rPr>
                      <w:color w:val="auto"/>
                      <w:szCs w:val="21"/>
                      <w:highlight w:val="none"/>
                    </w:rPr>
                  </w:pPr>
                </w:p>
              </w:tc>
              <w:tc>
                <w:tcPr>
                  <w:tcW w:w="269" w:type="pct"/>
                  <w:vMerge w:val="continue"/>
                  <w:vAlign w:val="center"/>
                </w:tcPr>
                <w:p w14:paraId="01E7AC83">
                  <w:pPr>
                    <w:jc w:val="center"/>
                    <w:rPr>
                      <w:color w:val="auto"/>
                      <w:szCs w:val="21"/>
                      <w:highlight w:val="none"/>
                    </w:rPr>
                  </w:pPr>
                </w:p>
              </w:tc>
              <w:tc>
                <w:tcPr>
                  <w:tcW w:w="292" w:type="pct"/>
                  <w:gridSpan w:val="2"/>
                  <w:vAlign w:val="center"/>
                </w:tcPr>
                <w:p w14:paraId="2841562E">
                  <w:pPr>
                    <w:jc w:val="center"/>
                    <w:rPr>
                      <w:color w:val="auto"/>
                      <w:szCs w:val="21"/>
                      <w:highlight w:val="none"/>
                    </w:rPr>
                  </w:pPr>
                  <w:r>
                    <w:rPr>
                      <w:rFonts w:hint="eastAsia"/>
                      <w:color w:val="auto"/>
                      <w:szCs w:val="21"/>
                      <w:highlight w:val="none"/>
                    </w:rPr>
                    <w:t>噪声</w:t>
                  </w:r>
                </w:p>
              </w:tc>
              <w:tc>
                <w:tcPr>
                  <w:tcW w:w="482" w:type="pct"/>
                  <w:vAlign w:val="center"/>
                </w:tcPr>
                <w:p w14:paraId="39E3C1EA">
                  <w:pPr>
                    <w:jc w:val="center"/>
                    <w:rPr>
                      <w:color w:val="auto"/>
                      <w:szCs w:val="21"/>
                      <w:highlight w:val="none"/>
                    </w:rPr>
                  </w:pPr>
                  <w:r>
                    <w:rPr>
                      <w:rFonts w:hint="eastAsia"/>
                      <w:color w:val="auto"/>
                      <w:szCs w:val="21"/>
                      <w:highlight w:val="none"/>
                    </w:rPr>
                    <w:t>运输噪声</w:t>
                  </w:r>
                </w:p>
              </w:tc>
              <w:tc>
                <w:tcPr>
                  <w:tcW w:w="3241" w:type="pct"/>
                  <w:vAlign w:val="center"/>
                </w:tcPr>
                <w:p w14:paraId="135E3ECB">
                  <w:pPr>
                    <w:jc w:val="center"/>
                    <w:rPr>
                      <w:color w:val="auto"/>
                      <w:szCs w:val="21"/>
                      <w:highlight w:val="none"/>
                    </w:rPr>
                  </w:pPr>
                  <w:r>
                    <w:rPr>
                      <w:rFonts w:hint="eastAsia"/>
                      <w:color w:val="auto"/>
                      <w:szCs w:val="21"/>
                      <w:highlight w:val="none"/>
                    </w:rPr>
                    <w:t>站内设“限速”、“禁鸣”标识。</w:t>
                  </w:r>
                </w:p>
              </w:tc>
              <w:tc>
                <w:tcPr>
                  <w:tcW w:w="442" w:type="pct"/>
                  <w:vAlign w:val="center"/>
                </w:tcPr>
                <w:p w14:paraId="6F00A17F">
                  <w:pPr>
                    <w:jc w:val="center"/>
                    <w:rPr>
                      <w:rFonts w:hint="eastAsia" w:eastAsia="宋体"/>
                      <w:color w:val="auto"/>
                      <w:szCs w:val="21"/>
                      <w:highlight w:val="none"/>
                      <w:lang w:val="en-US" w:eastAsia="zh-CN"/>
                    </w:rPr>
                  </w:pPr>
                  <w:r>
                    <w:rPr>
                      <w:rFonts w:hint="eastAsia"/>
                      <w:color w:val="auto"/>
                      <w:szCs w:val="21"/>
                      <w:highlight w:val="none"/>
                      <w:lang w:val="en-US" w:eastAsia="zh-CN"/>
                    </w:rPr>
                    <w:t>新建</w:t>
                  </w:r>
                </w:p>
              </w:tc>
            </w:tr>
            <w:tr w14:paraId="36AB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71" w:type="pct"/>
                  <w:vMerge w:val="continue"/>
                  <w:vAlign w:val="center"/>
                </w:tcPr>
                <w:p w14:paraId="3E39EF01">
                  <w:pPr>
                    <w:jc w:val="center"/>
                    <w:rPr>
                      <w:color w:val="auto"/>
                      <w:szCs w:val="21"/>
                      <w:highlight w:val="none"/>
                    </w:rPr>
                  </w:pPr>
                </w:p>
              </w:tc>
              <w:tc>
                <w:tcPr>
                  <w:tcW w:w="269" w:type="pct"/>
                  <w:vMerge w:val="continue"/>
                  <w:vAlign w:val="center"/>
                </w:tcPr>
                <w:p w14:paraId="5FF0E12C">
                  <w:pPr>
                    <w:jc w:val="center"/>
                    <w:rPr>
                      <w:color w:val="auto"/>
                      <w:szCs w:val="21"/>
                      <w:highlight w:val="none"/>
                    </w:rPr>
                  </w:pPr>
                </w:p>
              </w:tc>
              <w:tc>
                <w:tcPr>
                  <w:tcW w:w="292" w:type="pct"/>
                  <w:gridSpan w:val="2"/>
                  <w:vMerge w:val="restart"/>
                  <w:vAlign w:val="center"/>
                </w:tcPr>
                <w:p w14:paraId="69D77795">
                  <w:pPr>
                    <w:jc w:val="center"/>
                    <w:rPr>
                      <w:color w:val="auto"/>
                      <w:szCs w:val="21"/>
                      <w:highlight w:val="none"/>
                    </w:rPr>
                  </w:pPr>
                  <w:r>
                    <w:rPr>
                      <w:rFonts w:hint="eastAsia"/>
                      <w:color w:val="auto"/>
                      <w:szCs w:val="21"/>
                      <w:highlight w:val="none"/>
                    </w:rPr>
                    <w:t>固废</w:t>
                  </w:r>
                </w:p>
              </w:tc>
              <w:tc>
                <w:tcPr>
                  <w:tcW w:w="482" w:type="pct"/>
                  <w:vAlign w:val="center"/>
                </w:tcPr>
                <w:p w14:paraId="4CF9FFC3">
                  <w:pPr>
                    <w:jc w:val="center"/>
                    <w:rPr>
                      <w:color w:val="auto"/>
                      <w:szCs w:val="21"/>
                      <w:highlight w:val="none"/>
                    </w:rPr>
                  </w:pPr>
                  <w:r>
                    <w:rPr>
                      <w:color w:val="auto"/>
                      <w:szCs w:val="21"/>
                      <w:highlight w:val="none"/>
                    </w:rPr>
                    <w:t>垃圾桶</w:t>
                  </w:r>
                </w:p>
              </w:tc>
              <w:tc>
                <w:tcPr>
                  <w:tcW w:w="3241" w:type="pct"/>
                  <w:vAlign w:val="center"/>
                </w:tcPr>
                <w:p w14:paraId="1704AC44">
                  <w:pPr>
                    <w:jc w:val="center"/>
                    <w:rPr>
                      <w:color w:val="auto"/>
                      <w:szCs w:val="21"/>
                      <w:highlight w:val="none"/>
                    </w:rPr>
                  </w:pPr>
                  <w:r>
                    <w:rPr>
                      <w:rFonts w:hint="eastAsia"/>
                      <w:color w:val="auto"/>
                      <w:szCs w:val="21"/>
                      <w:highlight w:val="none"/>
                      <w:lang w:val="en-US" w:eastAsia="zh-CN"/>
                    </w:rPr>
                    <w:t>各地块</w:t>
                  </w:r>
                  <w:r>
                    <w:rPr>
                      <w:color w:val="auto"/>
                      <w:szCs w:val="21"/>
                      <w:highlight w:val="none"/>
                    </w:rPr>
                    <w:t>建设移动式垃圾桶收集生活垃圾</w:t>
                  </w:r>
                </w:p>
              </w:tc>
              <w:tc>
                <w:tcPr>
                  <w:tcW w:w="442" w:type="pct"/>
                  <w:vAlign w:val="center"/>
                </w:tcPr>
                <w:p w14:paraId="1C10266F">
                  <w:pPr>
                    <w:jc w:val="center"/>
                    <w:rPr>
                      <w:rFonts w:hint="default"/>
                      <w:color w:val="auto"/>
                      <w:szCs w:val="21"/>
                      <w:highlight w:val="none"/>
                      <w:lang w:val="en-US" w:eastAsia="zh-CN"/>
                    </w:rPr>
                  </w:pPr>
                  <w:r>
                    <w:rPr>
                      <w:rFonts w:hint="eastAsia"/>
                      <w:color w:val="auto"/>
                      <w:szCs w:val="21"/>
                      <w:highlight w:val="none"/>
                      <w:lang w:val="en-US" w:eastAsia="zh-CN"/>
                    </w:rPr>
                    <w:t>新建</w:t>
                  </w:r>
                </w:p>
              </w:tc>
            </w:tr>
            <w:tr w14:paraId="49B2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71" w:type="pct"/>
                  <w:vMerge w:val="continue"/>
                  <w:vAlign w:val="center"/>
                </w:tcPr>
                <w:p w14:paraId="066D2CBF">
                  <w:pPr>
                    <w:jc w:val="center"/>
                    <w:rPr>
                      <w:color w:val="auto"/>
                      <w:szCs w:val="21"/>
                      <w:highlight w:val="none"/>
                    </w:rPr>
                  </w:pPr>
                </w:p>
              </w:tc>
              <w:tc>
                <w:tcPr>
                  <w:tcW w:w="269" w:type="pct"/>
                  <w:vMerge w:val="continue"/>
                  <w:vAlign w:val="center"/>
                </w:tcPr>
                <w:p w14:paraId="01899658">
                  <w:pPr>
                    <w:jc w:val="center"/>
                    <w:rPr>
                      <w:color w:val="auto"/>
                      <w:szCs w:val="21"/>
                      <w:highlight w:val="none"/>
                    </w:rPr>
                  </w:pPr>
                </w:p>
              </w:tc>
              <w:tc>
                <w:tcPr>
                  <w:tcW w:w="292" w:type="pct"/>
                  <w:gridSpan w:val="2"/>
                  <w:vMerge w:val="continue"/>
                  <w:vAlign w:val="center"/>
                </w:tcPr>
                <w:p w14:paraId="0C4A7AEA">
                  <w:pPr>
                    <w:jc w:val="center"/>
                    <w:rPr>
                      <w:color w:val="auto"/>
                      <w:szCs w:val="21"/>
                      <w:highlight w:val="none"/>
                    </w:rPr>
                  </w:pPr>
                </w:p>
              </w:tc>
              <w:tc>
                <w:tcPr>
                  <w:tcW w:w="482" w:type="pct"/>
                  <w:vAlign w:val="center"/>
                </w:tcPr>
                <w:p w14:paraId="6A82149C">
                  <w:pPr>
                    <w:jc w:val="center"/>
                    <w:rPr>
                      <w:color w:val="auto"/>
                      <w:szCs w:val="21"/>
                      <w:highlight w:val="none"/>
                    </w:rPr>
                  </w:pPr>
                  <w:r>
                    <w:rPr>
                      <w:rFonts w:hint="eastAsia"/>
                      <w:color w:val="auto"/>
                      <w:szCs w:val="21"/>
                      <w:highlight w:val="none"/>
                      <w:lang w:val="en-US" w:eastAsia="zh-CN"/>
                    </w:rPr>
                    <w:t>地块一</w:t>
                  </w:r>
                  <w:r>
                    <w:rPr>
                      <w:rFonts w:hint="eastAsia"/>
                      <w:color w:val="auto"/>
                      <w:szCs w:val="21"/>
                      <w:highlight w:val="none"/>
                    </w:rPr>
                    <w:t>危废暂存间</w:t>
                  </w:r>
                </w:p>
              </w:tc>
              <w:tc>
                <w:tcPr>
                  <w:tcW w:w="3241" w:type="pct"/>
                  <w:vAlign w:val="center"/>
                </w:tcPr>
                <w:p w14:paraId="2A529306">
                  <w:pPr>
                    <w:jc w:val="center"/>
                    <w:rPr>
                      <w:color w:val="auto"/>
                      <w:szCs w:val="21"/>
                      <w:highlight w:val="none"/>
                    </w:rPr>
                  </w:pPr>
                  <w:r>
                    <w:rPr>
                      <w:rFonts w:hint="eastAsia"/>
                      <w:color w:val="auto"/>
                      <w:szCs w:val="21"/>
                      <w:highlight w:val="none"/>
                      <w:lang w:val="en-US" w:eastAsia="zh-CN"/>
                    </w:rPr>
                    <w:t>依托原项目</w:t>
                  </w:r>
                  <w:r>
                    <w:rPr>
                      <w:rFonts w:hint="eastAsia"/>
                      <w:color w:val="auto"/>
                      <w:szCs w:val="21"/>
                      <w:highlight w:val="none"/>
                    </w:rPr>
                    <w:t>设置</w:t>
                  </w:r>
                  <w:r>
                    <w:rPr>
                      <w:rFonts w:hint="eastAsia"/>
                      <w:color w:val="auto"/>
                      <w:szCs w:val="21"/>
                      <w:highlight w:val="none"/>
                      <w:lang w:val="en-US" w:eastAsia="zh-CN"/>
                    </w:rPr>
                    <w:t>的危废暂存间，</w:t>
                  </w:r>
                  <w:r>
                    <w:rPr>
                      <w:rFonts w:hint="eastAsia"/>
                      <w:color w:val="auto"/>
                      <w:szCs w:val="21"/>
                      <w:highlight w:val="none"/>
                    </w:rPr>
                    <w:t>面积为5m</w:t>
                  </w:r>
                  <w:r>
                    <w:rPr>
                      <w:rFonts w:hint="eastAsia"/>
                      <w:color w:val="auto"/>
                      <w:szCs w:val="21"/>
                      <w:highlight w:val="none"/>
                      <w:vertAlign w:val="superscript"/>
                    </w:rPr>
                    <w:t>2</w:t>
                  </w:r>
                  <w:r>
                    <w:rPr>
                      <w:rFonts w:hint="eastAsia"/>
                      <w:color w:val="auto"/>
                      <w:szCs w:val="21"/>
                      <w:highlight w:val="none"/>
                      <w:vertAlign w:val="baseline"/>
                      <w:lang w:eastAsia="zh-CN"/>
                    </w:rPr>
                    <w:t>，</w:t>
                  </w:r>
                  <w:r>
                    <w:rPr>
                      <w:rFonts w:hint="eastAsia"/>
                      <w:color w:val="auto"/>
                      <w:szCs w:val="21"/>
                      <w:highlight w:val="none"/>
                      <w:vertAlign w:val="baseline"/>
                      <w:lang w:val="en-US" w:eastAsia="zh-CN"/>
                    </w:rPr>
                    <w:t>位于现有烟花爆竹①号仓库北侧，</w:t>
                  </w:r>
                  <w:r>
                    <w:rPr>
                      <w:rFonts w:hint="eastAsia"/>
                      <w:color w:val="auto"/>
                      <w:szCs w:val="21"/>
                      <w:highlight w:val="none"/>
                    </w:rPr>
                    <w:t>收集过期或残损的烟花爆竹交由公安部门组织销毁、处置。废暂存间按照《危险废物贮存污染控制标准》(GB</w:t>
                  </w:r>
                  <w:r>
                    <w:rPr>
                      <w:rFonts w:hint="eastAsia"/>
                      <w:color w:val="auto"/>
                      <w:szCs w:val="21"/>
                      <w:highlight w:val="none"/>
                      <w:lang w:val="en-US" w:eastAsia="zh-CN"/>
                    </w:rPr>
                    <w:t xml:space="preserve"> </w:t>
                  </w:r>
                  <w:r>
                    <w:rPr>
                      <w:rFonts w:hint="eastAsia"/>
                      <w:color w:val="auto"/>
                      <w:szCs w:val="21"/>
                      <w:highlight w:val="none"/>
                    </w:rPr>
                    <w:t>18597-20</w:t>
                  </w:r>
                  <w:r>
                    <w:rPr>
                      <w:rFonts w:hint="eastAsia"/>
                      <w:color w:val="auto"/>
                      <w:szCs w:val="21"/>
                      <w:highlight w:val="none"/>
                      <w:lang w:val="en-US" w:eastAsia="zh-CN"/>
                    </w:rPr>
                    <w:t>23</w:t>
                  </w:r>
                  <w:r>
                    <w:rPr>
                      <w:rFonts w:hint="eastAsia"/>
                      <w:color w:val="auto"/>
                      <w:szCs w:val="21"/>
                      <w:highlight w:val="none"/>
                    </w:rPr>
                    <w:t>)标准执行，危废暂存间设置防风、防雨、防晒、防渗漏等措施，危险废物暂存间地面及裙脚进行重点防渗，渗透系数≤1×10</w:t>
                  </w:r>
                  <w:r>
                    <w:rPr>
                      <w:rFonts w:hint="eastAsia"/>
                      <w:color w:val="auto"/>
                      <w:szCs w:val="21"/>
                      <w:highlight w:val="none"/>
                      <w:vertAlign w:val="superscript"/>
                    </w:rPr>
                    <w:t>-10</w:t>
                  </w:r>
                  <w:r>
                    <w:rPr>
                      <w:rFonts w:hint="eastAsia"/>
                      <w:color w:val="auto"/>
                      <w:szCs w:val="21"/>
                      <w:highlight w:val="none"/>
                    </w:rPr>
                    <w:t>cm/s。</w:t>
                  </w:r>
                </w:p>
              </w:tc>
              <w:tc>
                <w:tcPr>
                  <w:tcW w:w="442" w:type="pct"/>
                  <w:vAlign w:val="center"/>
                </w:tcPr>
                <w:p w14:paraId="64F15B55">
                  <w:pPr>
                    <w:jc w:val="center"/>
                    <w:rPr>
                      <w:rFonts w:hint="default"/>
                      <w:color w:val="auto"/>
                      <w:szCs w:val="21"/>
                      <w:highlight w:val="none"/>
                      <w:lang w:val="en-US" w:eastAsia="zh-CN"/>
                    </w:rPr>
                  </w:pPr>
                  <w:r>
                    <w:rPr>
                      <w:rFonts w:hint="eastAsia"/>
                      <w:color w:val="auto"/>
                      <w:szCs w:val="21"/>
                      <w:highlight w:val="none"/>
                      <w:lang w:val="en-US" w:eastAsia="zh-CN"/>
                    </w:rPr>
                    <w:t>依托现有</w:t>
                  </w:r>
                </w:p>
              </w:tc>
            </w:tr>
            <w:tr w14:paraId="3071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71" w:type="pct"/>
                  <w:vMerge w:val="continue"/>
                  <w:vAlign w:val="center"/>
                </w:tcPr>
                <w:p w14:paraId="442CAE67">
                  <w:pPr>
                    <w:jc w:val="center"/>
                    <w:rPr>
                      <w:color w:val="auto"/>
                      <w:szCs w:val="21"/>
                      <w:highlight w:val="none"/>
                    </w:rPr>
                  </w:pPr>
                </w:p>
              </w:tc>
              <w:tc>
                <w:tcPr>
                  <w:tcW w:w="269" w:type="pct"/>
                  <w:vMerge w:val="continue"/>
                  <w:vAlign w:val="center"/>
                </w:tcPr>
                <w:p w14:paraId="4AF926F5">
                  <w:pPr>
                    <w:jc w:val="center"/>
                    <w:rPr>
                      <w:color w:val="auto"/>
                      <w:szCs w:val="21"/>
                      <w:highlight w:val="none"/>
                    </w:rPr>
                  </w:pPr>
                </w:p>
              </w:tc>
              <w:tc>
                <w:tcPr>
                  <w:tcW w:w="292" w:type="pct"/>
                  <w:gridSpan w:val="2"/>
                  <w:vMerge w:val="continue"/>
                  <w:vAlign w:val="center"/>
                </w:tcPr>
                <w:p w14:paraId="01D73FBE">
                  <w:pPr>
                    <w:jc w:val="center"/>
                    <w:rPr>
                      <w:color w:val="auto"/>
                      <w:szCs w:val="21"/>
                      <w:highlight w:val="none"/>
                    </w:rPr>
                  </w:pPr>
                </w:p>
              </w:tc>
              <w:tc>
                <w:tcPr>
                  <w:tcW w:w="482" w:type="pct"/>
                  <w:vAlign w:val="center"/>
                </w:tcPr>
                <w:p w14:paraId="163B3ED9">
                  <w:pPr>
                    <w:jc w:val="center"/>
                    <w:rPr>
                      <w:rFonts w:hint="default" w:eastAsia="宋体"/>
                      <w:color w:val="auto"/>
                      <w:szCs w:val="21"/>
                      <w:highlight w:val="none"/>
                      <w:lang w:val="en-US" w:eastAsia="zh-CN"/>
                    </w:rPr>
                  </w:pPr>
                  <w:r>
                    <w:rPr>
                      <w:rFonts w:hint="eastAsia"/>
                      <w:color w:val="auto"/>
                      <w:szCs w:val="21"/>
                      <w:highlight w:val="none"/>
                      <w:lang w:val="en-US" w:eastAsia="zh-CN"/>
                    </w:rPr>
                    <w:t>地块二危废暂存间</w:t>
                  </w:r>
                </w:p>
              </w:tc>
              <w:tc>
                <w:tcPr>
                  <w:tcW w:w="3241" w:type="pct"/>
                  <w:vAlign w:val="center"/>
                </w:tcPr>
                <w:p w14:paraId="75648AB2">
                  <w:pPr>
                    <w:jc w:val="center"/>
                    <w:rPr>
                      <w:rFonts w:hint="default"/>
                      <w:color w:val="auto"/>
                      <w:szCs w:val="21"/>
                      <w:highlight w:val="none"/>
                      <w:lang w:val="en-US" w:eastAsia="zh-CN"/>
                    </w:rPr>
                  </w:pPr>
                  <w:r>
                    <w:rPr>
                      <w:rFonts w:hint="eastAsia"/>
                      <w:color w:val="auto"/>
                      <w:szCs w:val="21"/>
                      <w:highlight w:val="none"/>
                      <w:lang w:val="en-US" w:eastAsia="zh-CN"/>
                    </w:rPr>
                    <w:t>在仓库东北角设1个5m</w:t>
                  </w:r>
                  <w:r>
                    <w:rPr>
                      <w:rFonts w:hint="eastAsia"/>
                      <w:color w:val="auto"/>
                      <w:szCs w:val="21"/>
                      <w:highlight w:val="none"/>
                      <w:vertAlign w:val="superscript"/>
                      <w:lang w:val="en-US" w:eastAsia="zh-CN"/>
                    </w:rPr>
                    <w:t>2</w:t>
                  </w:r>
                  <w:r>
                    <w:rPr>
                      <w:rFonts w:hint="eastAsia"/>
                      <w:color w:val="auto"/>
                      <w:szCs w:val="21"/>
                      <w:highlight w:val="none"/>
                      <w:lang w:val="en-US" w:eastAsia="zh-CN"/>
                    </w:rPr>
                    <w:t>的危废暂存区，用于堆放地块二过期的烟花爆竹。</w:t>
                  </w:r>
                  <w:r>
                    <w:rPr>
                      <w:rFonts w:hint="eastAsia"/>
                      <w:color w:val="auto"/>
                      <w:szCs w:val="21"/>
                      <w:highlight w:val="none"/>
                    </w:rPr>
                    <w:t>收集过期或残损的烟花爆竹交由公安部门组织销毁、处置。废暂存间按照《危险废物贮存污染控制标准》(GB</w:t>
                  </w:r>
                  <w:r>
                    <w:rPr>
                      <w:rFonts w:hint="eastAsia"/>
                      <w:color w:val="auto"/>
                      <w:szCs w:val="21"/>
                      <w:highlight w:val="none"/>
                      <w:lang w:val="en-US" w:eastAsia="zh-CN"/>
                    </w:rPr>
                    <w:t xml:space="preserve"> </w:t>
                  </w:r>
                  <w:r>
                    <w:rPr>
                      <w:rFonts w:hint="eastAsia"/>
                      <w:color w:val="auto"/>
                      <w:szCs w:val="21"/>
                      <w:highlight w:val="none"/>
                    </w:rPr>
                    <w:t>18597-20</w:t>
                  </w:r>
                  <w:r>
                    <w:rPr>
                      <w:rFonts w:hint="eastAsia"/>
                      <w:color w:val="auto"/>
                      <w:szCs w:val="21"/>
                      <w:highlight w:val="none"/>
                      <w:lang w:val="en-US" w:eastAsia="zh-CN"/>
                    </w:rPr>
                    <w:t>23</w:t>
                  </w:r>
                  <w:r>
                    <w:rPr>
                      <w:rFonts w:hint="eastAsia"/>
                      <w:color w:val="auto"/>
                      <w:szCs w:val="21"/>
                      <w:highlight w:val="none"/>
                    </w:rPr>
                    <w:t>)标准执行，危废暂存间设置防风、防雨、防晒、防渗漏等措施，危险废物暂存间地面及裙脚进行重点防渗，渗透系数≤1×10</w:t>
                  </w:r>
                  <w:r>
                    <w:rPr>
                      <w:rFonts w:hint="eastAsia"/>
                      <w:color w:val="auto"/>
                      <w:szCs w:val="21"/>
                      <w:highlight w:val="none"/>
                      <w:vertAlign w:val="superscript"/>
                    </w:rPr>
                    <w:t>-10</w:t>
                  </w:r>
                  <w:r>
                    <w:rPr>
                      <w:rFonts w:hint="eastAsia"/>
                      <w:color w:val="auto"/>
                      <w:szCs w:val="21"/>
                      <w:highlight w:val="none"/>
                    </w:rPr>
                    <w:t>cm/s。</w:t>
                  </w:r>
                </w:p>
              </w:tc>
              <w:tc>
                <w:tcPr>
                  <w:tcW w:w="442" w:type="pct"/>
                  <w:vAlign w:val="center"/>
                </w:tcPr>
                <w:p w14:paraId="013E1F93">
                  <w:pPr>
                    <w:jc w:val="center"/>
                    <w:rPr>
                      <w:rFonts w:hint="default"/>
                      <w:color w:val="auto"/>
                      <w:szCs w:val="21"/>
                      <w:highlight w:val="none"/>
                      <w:lang w:val="en-US" w:eastAsia="zh-CN"/>
                    </w:rPr>
                  </w:pPr>
                  <w:r>
                    <w:rPr>
                      <w:rFonts w:hint="eastAsia"/>
                      <w:color w:val="auto"/>
                      <w:szCs w:val="21"/>
                      <w:highlight w:val="none"/>
                      <w:lang w:val="en-US" w:eastAsia="zh-CN"/>
                    </w:rPr>
                    <w:t>新建</w:t>
                  </w:r>
                </w:p>
              </w:tc>
            </w:tr>
            <w:tr w14:paraId="7EDF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1" w:type="pct"/>
                  <w:vMerge w:val="continue"/>
                  <w:vAlign w:val="center"/>
                </w:tcPr>
                <w:p w14:paraId="37933427">
                  <w:pPr>
                    <w:jc w:val="center"/>
                    <w:rPr>
                      <w:color w:val="auto"/>
                      <w:szCs w:val="21"/>
                      <w:highlight w:val="none"/>
                    </w:rPr>
                  </w:pPr>
                </w:p>
              </w:tc>
              <w:tc>
                <w:tcPr>
                  <w:tcW w:w="269" w:type="pct"/>
                  <w:vMerge w:val="continue"/>
                  <w:vAlign w:val="center"/>
                </w:tcPr>
                <w:p w14:paraId="3E603B49">
                  <w:pPr>
                    <w:jc w:val="center"/>
                    <w:rPr>
                      <w:color w:val="auto"/>
                      <w:szCs w:val="21"/>
                      <w:highlight w:val="none"/>
                    </w:rPr>
                  </w:pPr>
                </w:p>
              </w:tc>
              <w:tc>
                <w:tcPr>
                  <w:tcW w:w="292" w:type="pct"/>
                  <w:gridSpan w:val="2"/>
                  <w:vAlign w:val="center"/>
                </w:tcPr>
                <w:p w14:paraId="421C8D5B">
                  <w:pPr>
                    <w:jc w:val="center"/>
                    <w:rPr>
                      <w:color w:val="auto"/>
                      <w:szCs w:val="21"/>
                      <w:highlight w:val="none"/>
                    </w:rPr>
                  </w:pPr>
                  <w:r>
                    <w:rPr>
                      <w:rFonts w:hint="eastAsia"/>
                      <w:color w:val="auto"/>
                      <w:szCs w:val="21"/>
                      <w:highlight w:val="none"/>
                    </w:rPr>
                    <w:t>生态</w:t>
                  </w:r>
                </w:p>
              </w:tc>
              <w:tc>
                <w:tcPr>
                  <w:tcW w:w="482" w:type="pct"/>
                  <w:vAlign w:val="center"/>
                </w:tcPr>
                <w:p w14:paraId="7B0136D9">
                  <w:pPr>
                    <w:jc w:val="center"/>
                    <w:rPr>
                      <w:color w:val="auto"/>
                      <w:szCs w:val="21"/>
                      <w:highlight w:val="none"/>
                    </w:rPr>
                  </w:pPr>
                  <w:r>
                    <w:rPr>
                      <w:color w:val="auto"/>
                      <w:szCs w:val="21"/>
                      <w:highlight w:val="none"/>
                    </w:rPr>
                    <w:t>绿化</w:t>
                  </w:r>
                </w:p>
              </w:tc>
              <w:tc>
                <w:tcPr>
                  <w:tcW w:w="3241" w:type="pct"/>
                  <w:vAlign w:val="center"/>
                </w:tcPr>
                <w:p w14:paraId="03821AED">
                  <w:pPr>
                    <w:jc w:val="center"/>
                    <w:rPr>
                      <w:rFonts w:hint="eastAsia" w:eastAsia="宋体"/>
                      <w:color w:val="auto"/>
                      <w:szCs w:val="21"/>
                      <w:highlight w:val="none"/>
                      <w:lang w:eastAsia="zh-CN"/>
                    </w:rPr>
                  </w:pPr>
                  <w:r>
                    <w:rPr>
                      <w:color w:val="auto"/>
                      <w:szCs w:val="21"/>
                      <w:highlight w:val="none"/>
                    </w:rPr>
                    <w:t>绿化面积</w:t>
                  </w:r>
                  <w:r>
                    <w:rPr>
                      <w:rFonts w:hint="eastAsia"/>
                      <w:color w:val="auto"/>
                      <w:szCs w:val="21"/>
                      <w:highlight w:val="none"/>
                      <w:lang w:val="en-US" w:eastAsia="zh-CN"/>
                    </w:rPr>
                    <w:t>1262</w:t>
                  </w:r>
                  <w:r>
                    <w:rPr>
                      <w:color w:val="auto"/>
                      <w:szCs w:val="21"/>
                      <w:highlight w:val="none"/>
                    </w:rPr>
                    <w:t>m</w:t>
                  </w:r>
                  <w:r>
                    <w:rPr>
                      <w:color w:val="auto"/>
                      <w:szCs w:val="21"/>
                      <w:highlight w:val="none"/>
                      <w:vertAlign w:val="superscript"/>
                    </w:rPr>
                    <w:t>2</w:t>
                  </w:r>
                  <w:r>
                    <w:rPr>
                      <w:rFonts w:hint="eastAsia"/>
                      <w:color w:val="auto"/>
                      <w:szCs w:val="21"/>
                      <w:highlight w:val="none"/>
                      <w:lang w:eastAsia="zh-CN"/>
                    </w:rPr>
                    <w:t>。</w:t>
                  </w:r>
                </w:p>
              </w:tc>
              <w:tc>
                <w:tcPr>
                  <w:tcW w:w="442" w:type="pct"/>
                  <w:vAlign w:val="center"/>
                </w:tcPr>
                <w:p w14:paraId="2E65B7B1">
                  <w:pPr>
                    <w:jc w:val="center"/>
                    <w:rPr>
                      <w:rFonts w:hint="eastAsia" w:eastAsia="宋体"/>
                      <w:color w:val="auto"/>
                      <w:szCs w:val="21"/>
                      <w:highlight w:val="none"/>
                      <w:lang w:val="en-US" w:eastAsia="zh-CN"/>
                    </w:rPr>
                  </w:pPr>
                  <w:r>
                    <w:rPr>
                      <w:rFonts w:hint="eastAsia"/>
                      <w:color w:val="auto"/>
                      <w:szCs w:val="21"/>
                      <w:highlight w:val="none"/>
                      <w:lang w:val="en-US" w:eastAsia="zh-CN"/>
                    </w:rPr>
                    <w:t>新建</w:t>
                  </w:r>
                </w:p>
              </w:tc>
            </w:tr>
            <w:tr w14:paraId="5F6D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1" w:type="pct"/>
                  <w:vMerge w:val="continue"/>
                  <w:vAlign w:val="center"/>
                </w:tcPr>
                <w:p w14:paraId="17369871">
                  <w:pPr>
                    <w:jc w:val="center"/>
                    <w:rPr>
                      <w:color w:val="auto"/>
                      <w:szCs w:val="21"/>
                      <w:highlight w:val="none"/>
                    </w:rPr>
                  </w:pPr>
                </w:p>
              </w:tc>
              <w:tc>
                <w:tcPr>
                  <w:tcW w:w="269" w:type="pct"/>
                  <w:vMerge w:val="continue"/>
                  <w:vAlign w:val="center"/>
                </w:tcPr>
                <w:p w14:paraId="1E965AE2">
                  <w:pPr>
                    <w:jc w:val="center"/>
                    <w:rPr>
                      <w:color w:val="auto"/>
                      <w:szCs w:val="21"/>
                      <w:highlight w:val="none"/>
                    </w:rPr>
                  </w:pPr>
                </w:p>
              </w:tc>
              <w:tc>
                <w:tcPr>
                  <w:tcW w:w="292" w:type="pct"/>
                  <w:gridSpan w:val="2"/>
                  <w:vMerge w:val="restart"/>
                  <w:vAlign w:val="center"/>
                </w:tcPr>
                <w:p w14:paraId="2E04ACBB">
                  <w:pPr>
                    <w:jc w:val="center"/>
                    <w:rPr>
                      <w:color w:val="auto"/>
                      <w:szCs w:val="21"/>
                      <w:highlight w:val="none"/>
                    </w:rPr>
                  </w:pPr>
                  <w:r>
                    <w:rPr>
                      <w:rFonts w:hint="eastAsia"/>
                      <w:color w:val="auto"/>
                      <w:szCs w:val="21"/>
                      <w:highlight w:val="none"/>
                    </w:rPr>
                    <w:t>风险防范设施</w:t>
                  </w:r>
                </w:p>
              </w:tc>
              <w:tc>
                <w:tcPr>
                  <w:tcW w:w="482" w:type="pct"/>
                  <w:vAlign w:val="center"/>
                </w:tcPr>
                <w:p w14:paraId="6629EFEC">
                  <w:pPr>
                    <w:jc w:val="center"/>
                    <w:rPr>
                      <w:rFonts w:hint="eastAsia" w:eastAsia="宋体"/>
                      <w:color w:val="auto"/>
                      <w:szCs w:val="21"/>
                      <w:highlight w:val="none"/>
                      <w:lang w:eastAsia="zh-CN"/>
                    </w:rPr>
                  </w:pPr>
                  <w:r>
                    <w:rPr>
                      <w:color w:val="auto"/>
                      <w:szCs w:val="21"/>
                      <w:highlight w:val="none"/>
                    </w:rPr>
                    <w:t>地块一</w:t>
                  </w:r>
                  <w:r>
                    <w:rPr>
                      <w:rFonts w:hint="eastAsia"/>
                      <w:color w:val="auto"/>
                      <w:szCs w:val="21"/>
                      <w:highlight w:val="none"/>
                      <w:lang w:val="en-US" w:eastAsia="zh-CN"/>
                    </w:rPr>
                    <w:t>事故池</w:t>
                  </w:r>
                </w:p>
              </w:tc>
              <w:tc>
                <w:tcPr>
                  <w:tcW w:w="3241" w:type="pct"/>
                  <w:vAlign w:val="center"/>
                </w:tcPr>
                <w:p w14:paraId="74F45AF9">
                  <w:pPr>
                    <w:jc w:val="center"/>
                    <w:rPr>
                      <w:rFonts w:hint="eastAsia" w:eastAsia="宋体"/>
                      <w:color w:val="auto"/>
                      <w:szCs w:val="21"/>
                      <w:highlight w:val="none"/>
                      <w:lang w:eastAsia="zh-CN"/>
                    </w:rPr>
                  </w:pPr>
                  <w:r>
                    <w:rPr>
                      <w:rFonts w:hint="eastAsia"/>
                      <w:color w:val="auto"/>
                      <w:szCs w:val="21"/>
                      <w:highlight w:val="none"/>
                      <w:lang w:val="en-US" w:eastAsia="zh-CN"/>
                    </w:rPr>
                    <w:t>新增</w:t>
                  </w:r>
                  <w:r>
                    <w:rPr>
                      <w:rFonts w:hint="eastAsia"/>
                      <w:color w:val="auto"/>
                      <w:szCs w:val="21"/>
                      <w:highlight w:val="none"/>
                    </w:rPr>
                    <w:t>1个1</w:t>
                  </w:r>
                  <w:r>
                    <w:rPr>
                      <w:rFonts w:hint="eastAsia"/>
                      <w:color w:val="auto"/>
                      <w:szCs w:val="21"/>
                      <w:highlight w:val="none"/>
                      <w:lang w:val="en-US" w:eastAsia="zh-CN"/>
                    </w:rPr>
                    <w:t>9</w:t>
                  </w:r>
                  <w:r>
                    <w:rPr>
                      <w:rFonts w:hint="eastAsia"/>
                      <w:color w:val="auto"/>
                      <w:szCs w:val="21"/>
                      <w:highlight w:val="none"/>
                    </w:rPr>
                    <w:t>0</w:t>
                  </w:r>
                  <w:r>
                    <w:rPr>
                      <w:color w:val="auto"/>
                      <w:szCs w:val="21"/>
                      <w:highlight w:val="none"/>
                    </w:rPr>
                    <w:t>m</w:t>
                  </w:r>
                  <w:r>
                    <w:rPr>
                      <w:color w:val="auto"/>
                      <w:szCs w:val="21"/>
                      <w:highlight w:val="none"/>
                      <w:vertAlign w:val="superscript"/>
                    </w:rPr>
                    <w:t>3</w:t>
                  </w:r>
                  <w:r>
                    <w:rPr>
                      <w:rFonts w:hint="eastAsia"/>
                      <w:color w:val="auto"/>
                      <w:szCs w:val="21"/>
                      <w:highlight w:val="none"/>
                    </w:rPr>
                    <w:t>的事故池</w:t>
                  </w:r>
                  <w:r>
                    <w:rPr>
                      <w:rFonts w:hint="eastAsia"/>
                      <w:color w:val="auto"/>
                      <w:szCs w:val="21"/>
                      <w:highlight w:val="none"/>
                      <w:lang w:eastAsia="zh-CN"/>
                    </w:rPr>
                    <w:t>，</w:t>
                  </w:r>
                  <w:r>
                    <w:rPr>
                      <w:rFonts w:hint="eastAsia"/>
                      <w:color w:val="auto"/>
                      <w:szCs w:val="21"/>
                      <w:highlight w:val="none"/>
                      <w:lang w:val="en-US" w:eastAsia="zh-CN"/>
                    </w:rPr>
                    <w:t>位于扩建项目①、②仓库中间，</w:t>
                  </w:r>
                  <w:r>
                    <w:rPr>
                      <w:rFonts w:hint="default" w:ascii="Times New Roman" w:hAnsi="Times New Roman" w:eastAsia="宋体" w:cs="Times New Roman"/>
                      <w:color w:val="auto"/>
                      <w:sz w:val="21"/>
                      <w:szCs w:val="21"/>
                      <w:highlight w:val="none"/>
                    </w:rPr>
                    <w:t>底部和四周采用的C30抗渗混凝土进行浇筑，并在</w:t>
                  </w:r>
                  <w:r>
                    <w:rPr>
                      <w:rFonts w:hint="eastAsia" w:ascii="Times New Roman" w:hAnsi="Times New Roman" w:eastAsia="宋体" w:cs="Times New Roman"/>
                      <w:color w:val="auto"/>
                      <w:sz w:val="21"/>
                      <w:szCs w:val="21"/>
                      <w:highlight w:val="none"/>
                      <w:lang w:val="en-US" w:eastAsia="zh-CN"/>
                    </w:rPr>
                    <w:t>内部</w:t>
                  </w:r>
                  <w:r>
                    <w:rPr>
                      <w:rFonts w:hint="default" w:ascii="Times New Roman" w:hAnsi="Times New Roman" w:eastAsia="宋体" w:cs="Times New Roman"/>
                      <w:color w:val="auto"/>
                      <w:sz w:val="21"/>
                      <w:szCs w:val="21"/>
                      <w:highlight w:val="none"/>
                    </w:rPr>
                    <w:t>铺设HDPE防渗膜厚度不小于2.0mm，渗透系数小于1.0×10</w:t>
                  </w:r>
                  <w:r>
                    <w:rPr>
                      <w:rFonts w:hint="default" w:ascii="Times New Roman" w:hAnsi="Times New Roman" w:eastAsia="宋体" w:cs="Times New Roman"/>
                      <w:color w:val="auto"/>
                      <w:sz w:val="21"/>
                      <w:szCs w:val="21"/>
                      <w:highlight w:val="none"/>
                      <w:vertAlign w:val="superscript"/>
                    </w:rPr>
                    <w:t>-7</w:t>
                  </w:r>
                  <w:r>
                    <w:rPr>
                      <w:rFonts w:hint="default" w:ascii="Times New Roman" w:hAnsi="Times New Roman" w:eastAsia="宋体" w:cs="Times New Roman"/>
                      <w:color w:val="auto"/>
                      <w:sz w:val="21"/>
                      <w:szCs w:val="21"/>
                      <w:highlight w:val="none"/>
                    </w:rPr>
                    <w:t>cm/s。</w:t>
                  </w:r>
                </w:p>
              </w:tc>
              <w:tc>
                <w:tcPr>
                  <w:tcW w:w="442" w:type="pct"/>
                  <w:vAlign w:val="center"/>
                </w:tcPr>
                <w:p w14:paraId="465475C6">
                  <w:pPr>
                    <w:jc w:val="center"/>
                    <w:rPr>
                      <w:rFonts w:hint="default"/>
                      <w:color w:val="auto"/>
                      <w:szCs w:val="21"/>
                      <w:highlight w:val="none"/>
                      <w:lang w:val="en-US" w:eastAsia="zh-CN"/>
                    </w:rPr>
                  </w:pPr>
                  <w:r>
                    <w:rPr>
                      <w:rFonts w:hint="eastAsia"/>
                      <w:color w:val="auto"/>
                      <w:szCs w:val="21"/>
                      <w:highlight w:val="none"/>
                      <w:lang w:val="en-US" w:eastAsia="zh-CN"/>
                    </w:rPr>
                    <w:t>新建</w:t>
                  </w:r>
                </w:p>
              </w:tc>
            </w:tr>
            <w:tr w14:paraId="3AE5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1" w:type="pct"/>
                  <w:vMerge w:val="continue"/>
                  <w:vAlign w:val="center"/>
                </w:tcPr>
                <w:p w14:paraId="0E1F12E2">
                  <w:pPr>
                    <w:jc w:val="center"/>
                    <w:rPr>
                      <w:color w:val="auto"/>
                      <w:szCs w:val="21"/>
                      <w:highlight w:val="none"/>
                    </w:rPr>
                  </w:pPr>
                </w:p>
              </w:tc>
              <w:tc>
                <w:tcPr>
                  <w:tcW w:w="269" w:type="pct"/>
                  <w:vMerge w:val="continue"/>
                  <w:vAlign w:val="center"/>
                </w:tcPr>
                <w:p w14:paraId="148661D3">
                  <w:pPr>
                    <w:jc w:val="center"/>
                    <w:rPr>
                      <w:color w:val="auto"/>
                      <w:szCs w:val="21"/>
                      <w:highlight w:val="none"/>
                    </w:rPr>
                  </w:pPr>
                </w:p>
              </w:tc>
              <w:tc>
                <w:tcPr>
                  <w:tcW w:w="292" w:type="pct"/>
                  <w:gridSpan w:val="2"/>
                  <w:vMerge w:val="continue"/>
                  <w:vAlign w:val="center"/>
                </w:tcPr>
                <w:p w14:paraId="5870C3EF">
                  <w:pPr>
                    <w:jc w:val="center"/>
                    <w:rPr>
                      <w:color w:val="auto"/>
                      <w:szCs w:val="21"/>
                      <w:highlight w:val="none"/>
                    </w:rPr>
                  </w:pPr>
                </w:p>
              </w:tc>
              <w:tc>
                <w:tcPr>
                  <w:tcW w:w="482" w:type="pct"/>
                  <w:vAlign w:val="center"/>
                </w:tcPr>
                <w:p w14:paraId="31DCC841">
                  <w:pPr>
                    <w:jc w:val="center"/>
                    <w:rPr>
                      <w:rFonts w:hint="eastAsia" w:eastAsia="宋体"/>
                      <w:color w:val="auto"/>
                      <w:szCs w:val="21"/>
                      <w:highlight w:val="none"/>
                      <w:lang w:eastAsia="zh-CN"/>
                    </w:rPr>
                  </w:pPr>
                  <w:r>
                    <w:rPr>
                      <w:color w:val="auto"/>
                      <w:szCs w:val="21"/>
                      <w:highlight w:val="none"/>
                    </w:rPr>
                    <w:t>地块二</w:t>
                  </w:r>
                  <w:r>
                    <w:rPr>
                      <w:rFonts w:hint="eastAsia"/>
                      <w:color w:val="auto"/>
                      <w:szCs w:val="21"/>
                      <w:highlight w:val="none"/>
                      <w:lang w:val="en-US" w:eastAsia="zh-CN"/>
                    </w:rPr>
                    <w:t>事故池</w:t>
                  </w:r>
                </w:p>
              </w:tc>
              <w:tc>
                <w:tcPr>
                  <w:tcW w:w="3241" w:type="pct"/>
                  <w:vAlign w:val="center"/>
                </w:tcPr>
                <w:p w14:paraId="2121CBC7">
                  <w:pPr>
                    <w:jc w:val="center"/>
                    <w:rPr>
                      <w:rFonts w:hint="default" w:eastAsia="宋体"/>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新增</w:t>
                  </w:r>
                  <w:r>
                    <w:rPr>
                      <w:rFonts w:hint="default" w:ascii="Times New Roman" w:hAnsi="Times New Roman" w:eastAsia="宋体" w:cs="Times New Roman"/>
                      <w:color w:val="auto"/>
                      <w:sz w:val="21"/>
                      <w:szCs w:val="21"/>
                      <w:highlight w:val="none"/>
                    </w:rPr>
                    <w:t>1个1</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的事故池</w:t>
                  </w:r>
                  <w:r>
                    <w:rPr>
                      <w:rFonts w:hint="eastAsia" w:cs="Times New Roman"/>
                      <w:color w:val="auto"/>
                      <w:sz w:val="21"/>
                      <w:szCs w:val="21"/>
                      <w:highlight w:val="none"/>
                      <w:lang w:eastAsia="zh-CN"/>
                    </w:rPr>
                    <w:t>，</w:t>
                  </w:r>
                  <w:r>
                    <w:rPr>
                      <w:color w:val="auto"/>
                      <w:sz w:val="21"/>
                      <w:szCs w:val="21"/>
                      <w:highlight w:val="none"/>
                    </w:rPr>
                    <w:t>位于</w:t>
                  </w:r>
                  <w:r>
                    <w:rPr>
                      <w:rFonts w:hint="eastAsia"/>
                      <w:color w:val="auto"/>
                      <w:sz w:val="21"/>
                      <w:szCs w:val="21"/>
                      <w:highlight w:val="none"/>
                      <w:lang w:val="en-US" w:eastAsia="zh-CN"/>
                    </w:rPr>
                    <w:t>仓库南</w:t>
                  </w:r>
                  <w:r>
                    <w:rPr>
                      <w:color w:val="auto"/>
                      <w:sz w:val="21"/>
                      <w:szCs w:val="21"/>
                      <w:highlight w:val="none"/>
                    </w:rPr>
                    <w:t>侧</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底部和四周采用的C30抗渗混凝土进行浇筑，并在</w:t>
                  </w:r>
                  <w:r>
                    <w:rPr>
                      <w:rFonts w:hint="eastAsia" w:ascii="Times New Roman" w:hAnsi="Times New Roman" w:eastAsia="宋体" w:cs="Times New Roman"/>
                      <w:color w:val="auto"/>
                      <w:sz w:val="21"/>
                      <w:szCs w:val="21"/>
                      <w:highlight w:val="none"/>
                      <w:lang w:val="en-US" w:eastAsia="zh-CN"/>
                    </w:rPr>
                    <w:t>内部</w:t>
                  </w:r>
                  <w:r>
                    <w:rPr>
                      <w:rFonts w:hint="default" w:ascii="Times New Roman" w:hAnsi="Times New Roman" w:eastAsia="宋体" w:cs="Times New Roman"/>
                      <w:color w:val="auto"/>
                      <w:sz w:val="21"/>
                      <w:szCs w:val="21"/>
                      <w:highlight w:val="none"/>
                    </w:rPr>
                    <w:t>铺设HDPE防渗膜厚度不小于2.0mm，渗透系数小于1.0×10</w:t>
                  </w:r>
                  <w:r>
                    <w:rPr>
                      <w:rFonts w:hint="default" w:ascii="Times New Roman" w:hAnsi="Times New Roman" w:eastAsia="宋体" w:cs="Times New Roman"/>
                      <w:color w:val="auto"/>
                      <w:sz w:val="21"/>
                      <w:szCs w:val="21"/>
                      <w:highlight w:val="none"/>
                      <w:vertAlign w:val="superscript"/>
                    </w:rPr>
                    <w:t>-7</w:t>
                  </w:r>
                  <w:r>
                    <w:rPr>
                      <w:rFonts w:hint="default" w:ascii="Times New Roman" w:hAnsi="Times New Roman" w:eastAsia="宋体" w:cs="Times New Roman"/>
                      <w:color w:val="auto"/>
                      <w:sz w:val="21"/>
                      <w:szCs w:val="21"/>
                      <w:highlight w:val="none"/>
                    </w:rPr>
                    <w:t>cm/s。</w:t>
                  </w:r>
                </w:p>
              </w:tc>
              <w:tc>
                <w:tcPr>
                  <w:tcW w:w="442" w:type="pct"/>
                  <w:vAlign w:val="center"/>
                </w:tcPr>
                <w:p w14:paraId="762D61FB">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bl>
          <w:p w14:paraId="10DE5F4D">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default"/>
                <w:b/>
                <w:bCs/>
                <w:color w:val="auto"/>
                <w:sz w:val="24"/>
                <w:szCs w:val="24"/>
                <w:highlight w:val="none"/>
                <w:lang w:val="en-US" w:eastAsia="zh-CN"/>
              </w:rPr>
            </w:pPr>
            <w:bookmarkStart w:id="22" w:name="_Toc28340"/>
            <w:bookmarkStart w:id="23" w:name="_Toc1480"/>
            <w:r>
              <w:rPr>
                <w:rFonts w:hint="eastAsia"/>
                <w:b/>
                <w:bCs/>
                <w:color w:val="auto"/>
                <w:sz w:val="24"/>
                <w:szCs w:val="24"/>
                <w:highlight w:val="none"/>
                <w:lang w:val="en-US" w:eastAsia="zh-CN"/>
              </w:rPr>
              <w:t>（1）依托工程可行性分析：</w:t>
            </w:r>
          </w:p>
          <w:p w14:paraId="113A28BF">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①生活污水依托现有化粪池处理可行性分析</w:t>
            </w:r>
          </w:p>
          <w:p w14:paraId="079D944D">
            <w:pPr>
              <w:pageBreakBefore w:val="0"/>
              <w:widowControl/>
              <w:kinsoku/>
              <w:overflowPunct/>
              <w:topLinePunct w:val="0"/>
              <w:bidi w:val="0"/>
              <w:spacing w:line="360" w:lineRule="auto"/>
              <w:ind w:firstLine="480" w:firstLineChars="200"/>
              <w:rPr>
                <w:rFonts w:hint="default" w:ascii="Times New Roman" w:hAnsi="Times New Roman" w:eastAsia="宋体" w:cs="Times New Roman"/>
                <w:color w:val="auto"/>
                <w:spacing w:val="6"/>
                <w:kern w:val="0"/>
                <w:sz w:val="24"/>
                <w:highlight w:val="none"/>
              </w:rPr>
            </w:pPr>
            <w:r>
              <w:rPr>
                <w:rFonts w:hint="default" w:ascii="Times New Roman" w:hAnsi="Times New Roman" w:eastAsia="宋体" w:cs="Times New Roman"/>
                <w:color w:val="auto"/>
                <w:sz w:val="24"/>
                <w:highlight w:val="none"/>
              </w:rPr>
              <w:t>项目生活污水经化粪池处理后</w:t>
            </w:r>
            <w:r>
              <w:rPr>
                <w:rStyle w:val="28"/>
                <w:rFonts w:hint="default" w:ascii="Times New Roman" w:hAnsi="Times New Roman" w:eastAsia="宋体" w:cs="Times New Roman"/>
                <w:color w:val="auto"/>
                <w:kern w:val="0"/>
                <w:sz w:val="24"/>
                <w:highlight w:val="none"/>
              </w:rPr>
              <w:t>达</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eastAsia="宋体" w:cs="Times New Roman"/>
                <w:color w:val="auto"/>
                <w:sz w:val="24"/>
                <w:szCs w:val="24"/>
                <w:highlight w:val="none"/>
              </w:rPr>
              <w:t>》(GB</w:t>
            </w:r>
            <w:r>
              <w:rPr>
                <w:rFonts w:hint="eastAsia" w:ascii="Times New Roman" w:hAnsi="Times New Roman" w:eastAsia="宋体" w:cs="Times New Roman"/>
                <w:color w:val="auto"/>
                <w:sz w:val="24"/>
                <w:szCs w:val="24"/>
                <w:highlight w:val="none"/>
                <w:lang w:val="en-US" w:eastAsia="zh-CN"/>
              </w:rPr>
              <w:t>8978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1996</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三级标准</w:t>
            </w:r>
            <w:r>
              <w:rPr>
                <w:rFonts w:hint="default" w:ascii="Times New Roman" w:hAnsi="Times New Roman" w:eastAsia="宋体" w:cs="Times New Roman"/>
                <w:color w:val="auto"/>
                <w:sz w:val="24"/>
                <w:highlight w:val="none"/>
              </w:rPr>
              <w:t>后，</w:t>
            </w:r>
            <w:r>
              <w:rPr>
                <w:rFonts w:hint="default" w:ascii="Times New Roman" w:hAnsi="Times New Roman" w:eastAsia="宋体" w:cs="Times New Roman"/>
                <w:color w:val="auto"/>
                <w:sz w:val="24"/>
                <w:szCs w:val="24"/>
                <w:highlight w:val="none"/>
              </w:rPr>
              <w:t>委托寻甸县环卫部门</w:t>
            </w:r>
            <w:r>
              <w:rPr>
                <w:rFonts w:hint="default" w:ascii="Times New Roman" w:hAnsi="Times New Roman" w:cs="Times New Roman"/>
                <w:color w:val="auto"/>
                <w:sz w:val="24"/>
                <w:szCs w:val="24"/>
                <w:highlight w:val="none"/>
                <w:lang w:val="en-US" w:eastAsia="zh-CN"/>
              </w:rPr>
              <w:t>15天</w:t>
            </w:r>
            <w:r>
              <w:rPr>
                <w:rFonts w:hint="default" w:ascii="Times New Roman" w:hAnsi="Times New Roman" w:eastAsia="宋体" w:cs="Times New Roman"/>
                <w:color w:val="auto"/>
                <w:sz w:val="24"/>
                <w:szCs w:val="24"/>
                <w:highlight w:val="none"/>
              </w:rPr>
              <w:t>抽运一次，运至寻甸县污水处理厂处理，不外排，</w:t>
            </w:r>
            <w:r>
              <w:rPr>
                <w:rFonts w:hint="default" w:ascii="Times New Roman" w:hAnsi="Times New Roman" w:eastAsia="宋体" w:cs="Times New Roman"/>
                <w:color w:val="auto"/>
                <w:sz w:val="24"/>
                <w:highlight w:val="none"/>
              </w:rPr>
              <w:t>根据现场核实，项目区内设置</w:t>
            </w:r>
            <w:r>
              <w:rPr>
                <w:rFonts w:hint="default" w:ascii="Times New Roman" w:hAnsi="Times New Roman" w:eastAsia="宋体" w:cs="Times New Roman"/>
                <w:color w:val="auto"/>
                <w:spacing w:val="6"/>
                <w:sz w:val="24"/>
                <w:highlight w:val="none"/>
              </w:rPr>
              <w:t>化粪池</w:t>
            </w:r>
            <w:r>
              <w:rPr>
                <w:rFonts w:hint="eastAsia" w:ascii="Times New Roman" w:hAnsi="Times New Roman" w:cs="Times New Roman"/>
                <w:color w:val="auto"/>
                <w:spacing w:val="6"/>
                <w:sz w:val="24"/>
                <w:highlight w:val="none"/>
                <w:lang w:val="en-US" w:eastAsia="zh-CN"/>
              </w:rPr>
              <w:t>1</w:t>
            </w:r>
            <w:r>
              <w:rPr>
                <w:rFonts w:hint="default" w:ascii="Times New Roman" w:hAnsi="Times New Roman" w:eastAsia="宋体" w:cs="Times New Roman"/>
                <w:color w:val="auto"/>
                <w:spacing w:val="6"/>
                <w:sz w:val="24"/>
                <w:highlight w:val="none"/>
              </w:rPr>
              <w:t>个，位于职工</w:t>
            </w:r>
            <w:r>
              <w:rPr>
                <w:rFonts w:hint="eastAsia" w:ascii="Times New Roman" w:hAnsi="Times New Roman" w:cs="Times New Roman"/>
                <w:color w:val="auto"/>
                <w:spacing w:val="6"/>
                <w:sz w:val="24"/>
                <w:highlight w:val="none"/>
                <w:lang w:val="en-US" w:eastAsia="zh-CN"/>
              </w:rPr>
              <w:t>办公楼旁</w:t>
            </w:r>
            <w:r>
              <w:rPr>
                <w:rFonts w:hint="default" w:ascii="Times New Roman" w:hAnsi="Times New Roman" w:eastAsia="宋体" w:cs="Times New Roman"/>
                <w:color w:val="auto"/>
                <w:spacing w:val="6"/>
                <w:sz w:val="24"/>
                <w:highlight w:val="none"/>
              </w:rPr>
              <w:t>，有效容积</w:t>
            </w:r>
            <w:r>
              <w:rPr>
                <w:rFonts w:hint="eastAsia" w:ascii="Times New Roman" w:hAnsi="Times New Roman" w:cs="Times New Roman"/>
                <w:color w:val="auto"/>
                <w:spacing w:val="6"/>
                <w:sz w:val="24"/>
                <w:highlight w:val="none"/>
                <w:lang w:val="en-US" w:eastAsia="zh-CN"/>
              </w:rPr>
              <w:t>15</w:t>
            </w:r>
            <w:r>
              <w:rPr>
                <w:rFonts w:hint="default" w:ascii="Times New Roman" w:hAnsi="Times New Roman" w:eastAsia="宋体" w:cs="Times New Roman"/>
                <w:color w:val="auto"/>
                <w:spacing w:val="6"/>
                <w:sz w:val="24"/>
                <w:highlight w:val="none"/>
              </w:rPr>
              <w:t>m³，</w:t>
            </w:r>
            <w:r>
              <w:rPr>
                <w:rFonts w:hint="default" w:ascii="Times New Roman" w:hAnsi="Times New Roman" w:eastAsia="宋体" w:cs="Times New Roman"/>
                <w:color w:val="auto"/>
                <w:spacing w:val="6"/>
                <w:sz w:val="24"/>
                <w:highlight w:val="none"/>
                <w:lang w:val="en-US" w:eastAsia="zh-CN"/>
              </w:rPr>
              <w:t>根据《</w:t>
            </w:r>
            <w:r>
              <w:rPr>
                <w:rFonts w:hint="default" w:ascii="Times New Roman" w:hAnsi="Times New Roman" w:eastAsia="宋体" w:cs="Times New Roman"/>
                <w:color w:val="auto"/>
                <w:spacing w:val="6"/>
                <w:sz w:val="24"/>
                <w:highlight w:val="none"/>
              </w:rPr>
              <w:t>建筑给水排水设计标准》GB50015-2019规定，对于城镇生活污水，化粪池污水停留时间宜采用12h~36h。</w:t>
            </w:r>
            <w:r>
              <w:rPr>
                <w:rFonts w:hint="default" w:ascii="Times New Roman" w:hAnsi="Times New Roman" w:eastAsia="宋体" w:cs="Times New Roman"/>
                <w:color w:val="auto"/>
                <w:spacing w:val="6"/>
                <w:sz w:val="24"/>
                <w:highlight w:val="none"/>
                <w:lang w:val="en-US" w:eastAsia="zh-CN"/>
              </w:rPr>
              <w:t>现有项目生活污水为</w:t>
            </w:r>
            <w:r>
              <w:rPr>
                <w:rFonts w:hint="eastAsia" w:ascii="Times New Roman" w:hAnsi="Times New Roman" w:cs="Times New Roman"/>
                <w:color w:val="auto"/>
                <w:spacing w:val="6"/>
                <w:sz w:val="24"/>
                <w:highlight w:val="none"/>
                <w:lang w:val="en-US" w:eastAsia="zh-CN"/>
              </w:rPr>
              <w:t>0.44</w:t>
            </w:r>
            <w:r>
              <w:rPr>
                <w:rFonts w:hint="default" w:ascii="Times New Roman" w:hAnsi="Times New Roman" w:eastAsia="宋体" w:cs="Times New Roman"/>
                <w:color w:val="auto"/>
                <w:spacing w:val="6"/>
                <w:sz w:val="24"/>
                <w:highlight w:val="none"/>
                <w:lang w:val="en-US" w:eastAsia="zh-CN"/>
              </w:rPr>
              <w:t>m</w:t>
            </w:r>
            <w:r>
              <w:rPr>
                <w:rFonts w:hint="default" w:ascii="Times New Roman" w:hAnsi="Times New Roman" w:eastAsia="宋体" w:cs="Times New Roman"/>
                <w:color w:val="auto"/>
                <w:spacing w:val="6"/>
                <w:sz w:val="24"/>
                <w:highlight w:val="none"/>
                <w:vertAlign w:val="superscript"/>
                <w:lang w:val="en-US" w:eastAsia="zh-CN"/>
              </w:rPr>
              <w:t>3</w:t>
            </w:r>
            <w:r>
              <w:rPr>
                <w:rFonts w:hint="default" w:ascii="Times New Roman" w:hAnsi="Times New Roman" w:eastAsia="宋体" w:cs="Times New Roman"/>
                <w:color w:val="auto"/>
                <w:spacing w:val="6"/>
                <w:sz w:val="24"/>
                <w:highlight w:val="none"/>
                <w:lang w:val="en-US" w:eastAsia="zh-CN"/>
              </w:rPr>
              <w:t>/d，</w:t>
            </w:r>
            <w:r>
              <w:rPr>
                <w:rFonts w:hint="default" w:ascii="Times New Roman" w:hAnsi="Times New Roman" w:eastAsia="宋体" w:cs="Times New Roman"/>
                <w:color w:val="auto"/>
                <w:spacing w:val="6"/>
                <w:sz w:val="24"/>
                <w:highlight w:val="none"/>
              </w:rPr>
              <w:t>本项目</w:t>
            </w:r>
            <w:r>
              <w:rPr>
                <w:rFonts w:hint="eastAsia" w:ascii="Times New Roman" w:hAnsi="Times New Roman" w:cs="Times New Roman"/>
                <w:color w:val="auto"/>
                <w:spacing w:val="6"/>
                <w:sz w:val="24"/>
                <w:highlight w:val="none"/>
                <w:lang w:val="en-US" w:eastAsia="zh-CN"/>
              </w:rPr>
              <w:t>员工</w:t>
            </w:r>
            <w:r>
              <w:rPr>
                <w:rFonts w:hint="default" w:ascii="Times New Roman" w:hAnsi="Times New Roman" w:eastAsia="宋体" w:cs="Times New Roman"/>
                <w:color w:val="auto"/>
                <w:sz w:val="24"/>
                <w:highlight w:val="none"/>
              </w:rPr>
              <w:t>生活污水</w:t>
            </w:r>
            <w:r>
              <w:rPr>
                <w:rFonts w:hint="default" w:ascii="Times New Roman" w:hAnsi="Times New Roman" w:eastAsia="宋体" w:cs="Times New Roman"/>
                <w:color w:val="auto"/>
                <w:spacing w:val="6"/>
                <w:sz w:val="24"/>
                <w:highlight w:val="none"/>
              </w:rPr>
              <w:t>为</w:t>
            </w:r>
            <w:r>
              <w:rPr>
                <w:rFonts w:hint="eastAsia" w:ascii="Times New Roman" w:hAnsi="Times New Roman" w:cs="Times New Roman"/>
                <w:color w:val="auto"/>
                <w:sz w:val="24"/>
                <w:highlight w:val="none"/>
                <w:lang w:val="en-US" w:eastAsia="zh-CN"/>
              </w:rPr>
              <w:t>0.44</w:t>
            </w:r>
            <w:r>
              <w:rPr>
                <w:rFonts w:hint="default" w:ascii="Times New Roman" w:hAnsi="Times New Roman" w:eastAsia="宋体" w:cs="Times New Roman"/>
                <w:color w:val="auto"/>
                <w:spacing w:val="6"/>
                <w:sz w:val="24"/>
                <w:highlight w:val="none"/>
              </w:rPr>
              <w:t>m</w:t>
            </w:r>
            <w:r>
              <w:rPr>
                <w:rFonts w:hint="default" w:ascii="Times New Roman" w:hAnsi="Times New Roman" w:eastAsia="宋体" w:cs="Times New Roman"/>
                <w:color w:val="auto"/>
                <w:spacing w:val="6"/>
                <w:sz w:val="24"/>
                <w:highlight w:val="none"/>
                <w:vertAlign w:val="superscript"/>
              </w:rPr>
              <w:t>3</w:t>
            </w:r>
            <w:r>
              <w:rPr>
                <w:rFonts w:hint="default" w:ascii="Times New Roman" w:hAnsi="Times New Roman" w:eastAsia="宋体" w:cs="Times New Roman"/>
                <w:color w:val="auto"/>
                <w:spacing w:val="6"/>
                <w:sz w:val="24"/>
                <w:highlight w:val="none"/>
              </w:rPr>
              <w:t>/d，产生量较小，</w:t>
            </w:r>
            <w:r>
              <w:rPr>
                <w:rFonts w:hint="default" w:ascii="Times New Roman" w:hAnsi="Times New Roman" w:eastAsia="宋体" w:cs="Times New Roman"/>
                <w:b w:val="0"/>
                <w:bCs w:val="0"/>
                <w:color w:val="auto"/>
                <w:kern w:val="0"/>
                <w:sz w:val="24"/>
                <w:szCs w:val="24"/>
                <w:highlight w:val="none"/>
                <w:lang w:val="en-US" w:eastAsia="zh-CN" w:bidi="ar"/>
              </w:rPr>
              <w:t>项目建成后</w:t>
            </w:r>
            <w:r>
              <w:rPr>
                <w:rFonts w:hint="eastAsia" w:ascii="Times New Roman" w:hAnsi="Times New Roman" w:cs="Times New Roman"/>
                <w:b w:val="0"/>
                <w:bCs w:val="0"/>
                <w:color w:val="auto"/>
                <w:kern w:val="0"/>
                <w:sz w:val="24"/>
                <w:szCs w:val="24"/>
                <w:highlight w:val="none"/>
                <w:lang w:val="en-US" w:eastAsia="zh-CN" w:bidi="ar"/>
              </w:rPr>
              <w:t>员工</w:t>
            </w:r>
            <w:r>
              <w:rPr>
                <w:rFonts w:hint="default" w:ascii="Times New Roman" w:hAnsi="Times New Roman" w:eastAsia="宋体" w:cs="Times New Roman"/>
                <w:b w:val="0"/>
                <w:bCs w:val="0"/>
                <w:color w:val="auto"/>
                <w:kern w:val="0"/>
                <w:sz w:val="24"/>
                <w:szCs w:val="24"/>
                <w:highlight w:val="none"/>
                <w:lang w:val="en-US" w:eastAsia="zh-CN" w:bidi="ar"/>
              </w:rPr>
              <w:t>生活污水产生量为</w:t>
            </w:r>
            <w:r>
              <w:rPr>
                <w:rFonts w:hint="eastAsia" w:ascii="Times New Roman" w:hAnsi="Times New Roman" w:cs="Times New Roman"/>
                <w:b w:val="0"/>
                <w:bCs w:val="0"/>
                <w:color w:val="auto"/>
                <w:kern w:val="0"/>
                <w:sz w:val="24"/>
                <w:szCs w:val="24"/>
                <w:highlight w:val="none"/>
                <w:lang w:val="en-US" w:eastAsia="zh-CN" w:bidi="ar"/>
              </w:rPr>
              <w:t>0.88</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/d，停留时间符合</w:t>
            </w:r>
            <w:r>
              <w:rPr>
                <w:rFonts w:hint="default" w:ascii="Times New Roman" w:hAnsi="Times New Roman" w:eastAsia="宋体" w:cs="Times New Roman"/>
                <w:b w:val="0"/>
                <w:bCs w:val="0"/>
                <w:color w:val="auto"/>
                <w:spacing w:val="6"/>
                <w:sz w:val="24"/>
                <w:highlight w:val="none"/>
              </w:rPr>
              <w:t>停留时间宜采用12h~36h</w:t>
            </w:r>
            <w:r>
              <w:rPr>
                <w:rFonts w:hint="default" w:ascii="Times New Roman" w:hAnsi="Times New Roman" w:eastAsia="宋体" w:cs="Times New Roman"/>
                <w:b w:val="0"/>
                <w:bCs w:val="0"/>
                <w:color w:val="auto"/>
                <w:kern w:val="0"/>
                <w:sz w:val="24"/>
                <w:szCs w:val="24"/>
                <w:highlight w:val="none"/>
                <w:lang w:val="en-US" w:eastAsia="zh-CN" w:bidi="ar"/>
              </w:rPr>
              <w:t>要求。</w:t>
            </w:r>
            <w:r>
              <w:rPr>
                <w:rFonts w:hint="eastAsia" w:ascii="Times New Roman" w:hAnsi="Times New Roman" w:cs="Times New Roman"/>
                <w:b w:val="0"/>
                <w:bCs w:val="0"/>
                <w:color w:val="auto"/>
                <w:kern w:val="0"/>
                <w:sz w:val="24"/>
                <w:szCs w:val="24"/>
                <w:highlight w:val="none"/>
                <w:lang w:val="en-US" w:eastAsia="zh-CN" w:bidi="ar"/>
              </w:rPr>
              <w:t>员工生活污水15天</w:t>
            </w:r>
            <w:r>
              <w:rPr>
                <w:rFonts w:hint="default" w:ascii="Times New Roman" w:hAnsi="Times New Roman" w:eastAsia="宋体" w:cs="Times New Roman"/>
                <w:color w:val="auto"/>
                <w:sz w:val="24"/>
                <w:szCs w:val="24"/>
                <w:highlight w:val="none"/>
              </w:rPr>
              <w:t>抽运一次</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15÷0.88=17天＞15天，</w:t>
            </w:r>
            <w:r>
              <w:rPr>
                <w:rFonts w:hint="default" w:ascii="Times New Roman" w:hAnsi="Times New Roman" w:eastAsia="宋体" w:cs="Times New Roman"/>
                <w:color w:val="auto"/>
                <w:spacing w:val="6"/>
                <w:sz w:val="24"/>
                <w:highlight w:val="none"/>
              </w:rPr>
              <w:t>化粪池可有效容纳本项目产生的生活污水</w:t>
            </w:r>
            <w:r>
              <w:rPr>
                <w:rFonts w:hint="default" w:ascii="Times New Roman" w:hAnsi="Times New Roman" w:eastAsia="宋体" w:cs="Times New Roman"/>
                <w:color w:val="auto"/>
                <w:spacing w:val="6"/>
                <w:kern w:val="0"/>
                <w:sz w:val="24"/>
                <w:highlight w:val="none"/>
              </w:rPr>
              <w:t>。</w:t>
            </w:r>
          </w:p>
          <w:p w14:paraId="563302F9">
            <w:pPr>
              <w:pStyle w:val="3"/>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color w:val="auto"/>
                <w:highlight w:val="none"/>
                <w:lang w:val="en-US" w:eastAsia="zh-CN"/>
              </w:rPr>
            </w:pPr>
            <w:r>
              <w:rPr>
                <w:rFonts w:hint="default" w:ascii="Times New Roman" w:hAnsi="Times New Roman" w:eastAsia="宋体" w:cs="Times New Roman"/>
                <w:color w:val="auto"/>
                <w:kern w:val="0"/>
                <w:sz w:val="24"/>
                <w:szCs w:val="24"/>
                <w:highlight w:val="none"/>
                <w:lang w:bidi="ar"/>
              </w:rPr>
              <w:t>根据云南鼎祺检测有限公司202</w:t>
            </w:r>
            <w:r>
              <w:rPr>
                <w:rFonts w:hint="eastAsia"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bidi="ar"/>
              </w:rPr>
              <w:t>年《昆明优竹商贸有限公司烟花爆竹存储仓库新建项目</w:t>
            </w:r>
            <w:r>
              <w:rPr>
                <w:rFonts w:hint="eastAsia" w:cs="Times New Roman"/>
                <w:color w:val="auto"/>
                <w:kern w:val="0"/>
                <w:sz w:val="24"/>
                <w:szCs w:val="24"/>
                <w:highlight w:val="none"/>
                <w:lang w:val="en-US" w:eastAsia="zh-CN" w:bidi="ar"/>
              </w:rPr>
              <w:t>竣工验收</w:t>
            </w:r>
            <w:r>
              <w:rPr>
                <w:rFonts w:hint="default" w:ascii="Times New Roman" w:hAnsi="Times New Roman" w:eastAsia="宋体" w:cs="Times New Roman"/>
                <w:color w:val="auto"/>
                <w:kern w:val="0"/>
                <w:sz w:val="24"/>
                <w:szCs w:val="24"/>
                <w:highlight w:val="none"/>
                <w:lang w:bidi="ar"/>
              </w:rPr>
              <w:t>检测报告》</w:t>
            </w:r>
            <w:r>
              <w:rPr>
                <w:rFonts w:hint="eastAsia" w:ascii="Times New Roman" w:hAnsi="Times New Roman" w:cs="Times New Roman"/>
                <w:color w:val="auto"/>
                <w:kern w:val="0"/>
                <w:sz w:val="24"/>
                <w:szCs w:val="24"/>
                <w:highlight w:val="none"/>
                <w:lang w:eastAsia="zh-CN" w:bidi="ar"/>
              </w:rPr>
              <w:t>（</w:t>
            </w:r>
            <w:r>
              <w:rPr>
                <w:rFonts w:hint="eastAsia" w:ascii="Times New Roman" w:hAnsi="Times New Roman" w:cs="Times New Roman"/>
                <w:color w:val="auto"/>
                <w:kern w:val="0"/>
                <w:sz w:val="24"/>
                <w:szCs w:val="24"/>
                <w:highlight w:val="none"/>
                <w:lang w:val="en-US" w:eastAsia="zh-CN" w:bidi="ar"/>
              </w:rPr>
              <w:t>附件9</w:t>
            </w:r>
            <w:r>
              <w:rPr>
                <w:rFonts w:hint="eastAsia" w:ascii="Times New Roman" w:hAnsi="Times New Roman" w:cs="Times New Roman"/>
                <w:color w:val="auto"/>
                <w:kern w:val="0"/>
                <w:sz w:val="24"/>
                <w:szCs w:val="24"/>
                <w:highlight w:val="none"/>
                <w:lang w:eastAsia="zh-CN" w:bidi="ar"/>
              </w:rPr>
              <w:t>），</w:t>
            </w:r>
            <w:r>
              <w:rPr>
                <w:rFonts w:hint="default" w:ascii="Times New Roman" w:hAnsi="Times New Roman" w:eastAsia="宋体" w:cs="Times New Roman"/>
                <w:color w:val="auto"/>
                <w:sz w:val="24"/>
                <w:szCs w:val="24"/>
                <w:highlight w:val="none"/>
                <w:lang w:val="en-US" w:eastAsia="zh-CN"/>
              </w:rPr>
              <w:t>项目生活污水排放口出水水质满足</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eastAsia="宋体" w:cs="Times New Roman"/>
                <w:color w:val="auto"/>
                <w:sz w:val="24"/>
                <w:szCs w:val="24"/>
                <w:highlight w:val="none"/>
              </w:rPr>
              <w:t>》(GB</w:t>
            </w:r>
            <w:r>
              <w:rPr>
                <w:rFonts w:hint="eastAsia" w:ascii="Times New Roman" w:hAnsi="Times New Roman" w:eastAsia="宋体" w:cs="Times New Roman"/>
                <w:color w:val="auto"/>
                <w:sz w:val="24"/>
                <w:szCs w:val="24"/>
                <w:highlight w:val="none"/>
                <w:lang w:val="en-US" w:eastAsia="zh-CN"/>
              </w:rPr>
              <w:t>8978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1996</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三级标准</w:t>
            </w:r>
            <w:r>
              <w:rPr>
                <w:rFonts w:hint="default" w:ascii="Times New Roman" w:hAnsi="Times New Roman" w:eastAsia="宋体" w:cs="Times New Roman"/>
                <w:color w:val="auto"/>
                <w:sz w:val="24"/>
                <w:highlight w:val="none"/>
                <w:lang w:val="en-US" w:eastAsia="zh-CN"/>
              </w:rPr>
              <w:t>。项目生活污水依托现有化粪池处理是可行的。</w:t>
            </w:r>
          </w:p>
          <w:p w14:paraId="45867A10">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②地块一过期或残损的烟花爆竹依托现有危废暂存间可行性分析</w:t>
            </w:r>
          </w:p>
          <w:p w14:paraId="79D5DB0A">
            <w:pPr>
              <w:spacing w:line="360" w:lineRule="auto"/>
              <w:ind w:firstLine="480" w:firstLineChars="200"/>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本改扩建项目地块一过期或残损的烟花爆竹依托现有危废暂存间，</w:t>
            </w:r>
            <w:r>
              <w:rPr>
                <w:rFonts w:hint="eastAsia" w:ascii="Times New Roman" w:hAnsi="Times New Roman" w:cs="Times New Roman"/>
                <w:color w:val="auto"/>
                <w:sz w:val="24"/>
                <w:szCs w:val="24"/>
                <w:highlight w:val="none"/>
              </w:rPr>
              <w:t>根据《危险废物贮存污染控制标准》（GB 18597-20</w:t>
            </w:r>
            <w:r>
              <w:rPr>
                <w:rFonts w:hint="eastAsia" w:ascii="Times New Roman" w:hAnsi="Times New Roman" w:cs="Times New Roman"/>
                <w:color w:val="auto"/>
                <w:sz w:val="24"/>
                <w:szCs w:val="24"/>
                <w:highlight w:val="none"/>
                <w:lang w:val="en-US" w:eastAsia="zh-CN"/>
              </w:rPr>
              <w:t>23</w:t>
            </w:r>
            <w:r>
              <w:rPr>
                <w:rFonts w:hint="eastAsia" w:ascii="Times New Roman" w:hAnsi="Times New Roman" w:cs="Times New Roman"/>
                <w:color w:val="auto"/>
                <w:sz w:val="24"/>
                <w:szCs w:val="24"/>
                <w:highlight w:val="none"/>
              </w:rPr>
              <w:t>）要求，危险废物暂存间危废暂存间设置防风、防雨、防晒、防渗漏等措施，危险废物暂存间地面及裙脚进行重点防渗，渗透系数≤1×10</w:t>
            </w:r>
            <w:r>
              <w:rPr>
                <w:rFonts w:hint="eastAsia" w:ascii="Times New Roman" w:hAnsi="Times New Roman" w:cs="Times New Roman"/>
                <w:color w:val="auto"/>
                <w:sz w:val="24"/>
                <w:szCs w:val="24"/>
                <w:highlight w:val="none"/>
                <w:vertAlign w:val="superscript"/>
              </w:rPr>
              <w:t>-10</w:t>
            </w:r>
            <w:r>
              <w:rPr>
                <w:rFonts w:hint="eastAsia" w:ascii="Times New Roman" w:hAnsi="Times New Roman" w:cs="Times New Roman"/>
                <w:color w:val="auto"/>
                <w:sz w:val="24"/>
                <w:szCs w:val="24"/>
                <w:highlight w:val="none"/>
              </w:rPr>
              <w:t>cm/s。</w:t>
            </w:r>
            <w:r>
              <w:rPr>
                <w:rFonts w:hint="eastAsia" w:ascii="Times New Roman" w:hAnsi="Times New Roman" w:cs="Times New Roman"/>
                <w:color w:val="auto"/>
                <w:sz w:val="24"/>
                <w:szCs w:val="24"/>
                <w:highlight w:val="none"/>
                <w:lang w:val="en-US" w:eastAsia="zh-CN"/>
              </w:rPr>
              <w:t>并</w:t>
            </w:r>
            <w:r>
              <w:rPr>
                <w:rFonts w:hint="eastAsia" w:ascii="Times New Roman" w:hAnsi="Times New Roman" w:cs="Times New Roman"/>
                <w:color w:val="auto"/>
                <w:sz w:val="24"/>
                <w:szCs w:val="24"/>
                <w:highlight w:val="none"/>
              </w:rPr>
              <w:t>做好相应标识标牌、制度。</w:t>
            </w:r>
            <w:r>
              <w:rPr>
                <w:rFonts w:hint="eastAsia" w:ascii="Times New Roman" w:hAnsi="Times New Roman" w:cs="Times New Roman"/>
                <w:color w:val="auto"/>
                <w:sz w:val="24"/>
                <w:szCs w:val="24"/>
                <w:highlight w:val="none"/>
                <w:lang w:val="en-US" w:eastAsia="zh-CN"/>
              </w:rPr>
              <w:t>现有危废暂存间</w:t>
            </w:r>
            <w:r>
              <w:rPr>
                <w:rFonts w:hint="eastAsia"/>
                <w:color w:val="auto"/>
                <w:sz w:val="24"/>
                <w:szCs w:val="24"/>
                <w:highlight w:val="none"/>
                <w:vertAlign w:val="baseline"/>
                <w:lang w:val="en-US" w:eastAsia="zh-CN"/>
              </w:rPr>
              <w:t>位于现有烟花爆竹①号仓库北侧，地面进行防渗处理，</w:t>
            </w:r>
            <w:r>
              <w:rPr>
                <w:rFonts w:hint="eastAsia" w:ascii="Times New Roman" w:hAnsi="Times New Roman" w:cs="Times New Roman"/>
                <w:color w:val="auto"/>
                <w:sz w:val="24"/>
                <w:szCs w:val="24"/>
                <w:highlight w:val="none"/>
              </w:rPr>
              <w:t>渗透系数≤1×10</w:t>
            </w:r>
            <w:r>
              <w:rPr>
                <w:rFonts w:hint="eastAsia" w:ascii="Times New Roman" w:hAnsi="Times New Roman" w:cs="Times New Roman"/>
                <w:color w:val="auto"/>
                <w:sz w:val="24"/>
                <w:szCs w:val="24"/>
                <w:highlight w:val="none"/>
                <w:vertAlign w:val="superscript"/>
              </w:rPr>
              <w:t>-10</w:t>
            </w:r>
            <w:r>
              <w:rPr>
                <w:rFonts w:hint="eastAsia" w:ascii="Times New Roman" w:hAnsi="Times New Roman" w:cs="Times New Roman"/>
                <w:color w:val="auto"/>
                <w:sz w:val="24"/>
                <w:szCs w:val="24"/>
                <w:highlight w:val="none"/>
              </w:rPr>
              <w:t>cm/s。</w:t>
            </w:r>
            <w:r>
              <w:rPr>
                <w:rFonts w:hint="eastAsia" w:ascii="Times New Roman" w:hAnsi="Times New Roman" w:cs="Times New Roman"/>
                <w:color w:val="auto"/>
                <w:sz w:val="24"/>
                <w:szCs w:val="24"/>
                <w:highlight w:val="none"/>
                <w:lang w:val="en-US" w:eastAsia="zh-CN"/>
              </w:rPr>
              <w:t>并做好相应标识标牌，并记录台账。</w:t>
            </w:r>
          </w:p>
          <w:p w14:paraId="3D43013D">
            <w:pPr>
              <w:pStyle w:val="3"/>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地块一过期或残损的烟花爆竹产生量为0.4t/a，现有项目过期或残损的烟花爆竹产生量为0.6t/a，现有危废暂存间最大存储量为</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t，0.4+0.6=1＜</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，现有危废暂存间能满足要求。</w:t>
            </w:r>
          </w:p>
          <w:p w14:paraId="2A3A7158">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③地块一消防水池依托现有消防水池可行性分析</w:t>
            </w:r>
          </w:p>
          <w:p w14:paraId="5DA675E7">
            <w:pPr>
              <w:pStyle w:val="59"/>
              <w:spacing w:before="2" w:line="360" w:lineRule="auto"/>
              <w:ind w:left="108" w:right="38" w:firstLine="597"/>
              <w:rPr>
                <w:rFonts w:hint="eastAsia" w:eastAsia="宋体"/>
                <w:color w:val="auto"/>
                <w:spacing w:val="0"/>
                <w:position w:val="0"/>
                <w:sz w:val="24"/>
                <w:szCs w:val="24"/>
                <w:highlight w:val="none"/>
                <w:u w:val="none" w:color="auto"/>
                <w:lang w:val="en-US" w:eastAsia="zh-CN"/>
              </w:rPr>
            </w:pPr>
            <w:r>
              <w:rPr>
                <w:rFonts w:hint="eastAsia"/>
                <w:color w:val="auto"/>
                <w:spacing w:val="0"/>
                <w:position w:val="0"/>
                <w:sz w:val="24"/>
                <w:szCs w:val="24"/>
                <w:highlight w:val="none"/>
                <w:u w:val="none" w:color="auto"/>
                <w:lang w:val="en-US" w:eastAsia="zh-CN"/>
              </w:rPr>
              <w:t>本改扩项目地块一烟花爆竹仓库消防用水依托现有消防水池，现有</w:t>
            </w:r>
            <w:r>
              <w:rPr>
                <w:rFonts w:hint="eastAsia"/>
                <w:color w:val="auto"/>
                <w:szCs w:val="21"/>
                <w:highlight w:val="none"/>
              </w:rPr>
              <w:t>2个</w:t>
            </w:r>
            <w:r>
              <w:rPr>
                <w:color w:val="auto"/>
                <w:szCs w:val="21"/>
                <w:highlight w:val="none"/>
              </w:rPr>
              <w:t>295m</w:t>
            </w:r>
            <w:r>
              <w:rPr>
                <w:color w:val="auto"/>
                <w:szCs w:val="21"/>
                <w:highlight w:val="none"/>
                <w:vertAlign w:val="superscript"/>
              </w:rPr>
              <w:t>3</w:t>
            </w:r>
            <w:r>
              <w:rPr>
                <w:rFonts w:hint="eastAsia"/>
                <w:color w:val="auto"/>
                <w:szCs w:val="21"/>
                <w:highlight w:val="none"/>
              </w:rPr>
              <w:t>的</w:t>
            </w:r>
            <w:r>
              <w:rPr>
                <w:color w:val="auto"/>
                <w:szCs w:val="21"/>
                <w:highlight w:val="none"/>
              </w:rPr>
              <w:t>消防水池</w:t>
            </w:r>
            <w:r>
              <w:rPr>
                <w:rFonts w:hint="eastAsia"/>
                <w:color w:val="auto"/>
                <w:szCs w:val="21"/>
                <w:highlight w:val="none"/>
                <w:lang w:val="en-US" w:eastAsia="zh-CN"/>
              </w:rPr>
              <w:t>位于地块一东侧15米，距地块一①烟花爆竹仓库58m，距地块一②烟花爆竹仓库42m。距离较近符合</w:t>
            </w:r>
            <w:r>
              <w:rPr>
                <w:color w:val="auto"/>
                <w:spacing w:val="0"/>
                <w:position w:val="0"/>
                <w:sz w:val="24"/>
                <w:szCs w:val="24"/>
                <w:highlight w:val="none"/>
                <w:u w:val="none" w:color="auto"/>
              </w:rPr>
              <w:t>《消防给水及消火栓系统技术规范》</w:t>
            </w:r>
            <w:r>
              <w:rPr>
                <w:rFonts w:hint="eastAsia"/>
                <w:color w:val="auto"/>
                <w:spacing w:val="0"/>
                <w:position w:val="0"/>
                <w:sz w:val="24"/>
                <w:szCs w:val="24"/>
                <w:highlight w:val="none"/>
                <w:u w:val="none" w:color="auto"/>
                <w:lang w:val="en-US" w:eastAsia="zh-CN"/>
              </w:rPr>
              <w:t>要求。</w:t>
            </w:r>
          </w:p>
          <w:p w14:paraId="2428F896">
            <w:pPr>
              <w:pStyle w:val="59"/>
              <w:spacing w:before="2" w:line="360" w:lineRule="auto"/>
              <w:ind w:left="108" w:right="38" w:firstLine="597"/>
              <w:rPr>
                <w:rFonts w:hint="default" w:eastAsia="宋体"/>
                <w:color w:val="auto"/>
                <w:spacing w:val="0"/>
                <w:position w:val="0"/>
                <w:sz w:val="24"/>
                <w:szCs w:val="24"/>
                <w:highlight w:val="none"/>
                <w:u w:val="none" w:color="auto"/>
                <w:lang w:val="en-US" w:eastAsia="zh-CN"/>
              </w:rPr>
            </w:pPr>
            <w:r>
              <w:rPr>
                <w:color w:val="auto"/>
                <w:spacing w:val="0"/>
                <w:position w:val="0"/>
                <w:sz w:val="24"/>
                <w:szCs w:val="24"/>
                <w:highlight w:val="none"/>
                <w:u w:val="none" w:color="auto"/>
              </w:rPr>
              <w:t>按照《烟花爆竹工程设计安全标准》（</w:t>
            </w:r>
            <w:r>
              <w:rPr>
                <w:rFonts w:ascii="Times New Roman" w:hAnsi="Times New Roman" w:eastAsia="Times New Roman" w:cs="Times New Roman"/>
                <w:color w:val="auto"/>
                <w:spacing w:val="0"/>
                <w:position w:val="0"/>
                <w:sz w:val="24"/>
                <w:szCs w:val="24"/>
                <w:highlight w:val="none"/>
                <w:u w:val="none" w:color="auto"/>
              </w:rPr>
              <w:t>GB50161-2022</w:t>
            </w:r>
            <w:r>
              <w:rPr>
                <w:color w:val="auto"/>
                <w:spacing w:val="0"/>
                <w:position w:val="0"/>
                <w:sz w:val="24"/>
                <w:szCs w:val="24"/>
                <w:highlight w:val="none"/>
                <w:u w:val="none" w:color="auto"/>
              </w:rPr>
              <w:t>）第</w:t>
            </w:r>
            <w:r>
              <w:rPr>
                <w:rFonts w:ascii="Times New Roman" w:hAnsi="Times New Roman" w:eastAsia="Times New Roman" w:cs="Times New Roman"/>
                <w:color w:val="auto"/>
                <w:spacing w:val="0"/>
                <w:position w:val="0"/>
                <w:sz w:val="24"/>
                <w:szCs w:val="24"/>
                <w:highlight w:val="none"/>
                <w:u w:val="none" w:color="auto"/>
              </w:rPr>
              <w:t>9.0.5</w:t>
            </w:r>
            <w:r>
              <w:rPr>
                <w:color w:val="auto"/>
                <w:spacing w:val="0"/>
                <w:position w:val="0"/>
                <w:sz w:val="24"/>
                <w:szCs w:val="24"/>
                <w:highlight w:val="none"/>
                <w:u w:val="none" w:color="auto"/>
              </w:rPr>
              <w:t>条要求，危险品仓库的室外消防用水量应符合现行国家标准《消防给水及消火栓系统技术规范》</w:t>
            </w:r>
            <w:r>
              <w:rPr>
                <w:rFonts w:ascii="Times New Roman" w:hAnsi="Times New Roman" w:eastAsia="Times New Roman" w:cs="Times New Roman"/>
                <w:color w:val="auto"/>
                <w:spacing w:val="0"/>
                <w:position w:val="0"/>
                <w:sz w:val="24"/>
                <w:szCs w:val="24"/>
                <w:highlight w:val="none"/>
                <w:u w:val="none" w:color="auto"/>
              </w:rPr>
              <w:t>(GB50974-2014)</w:t>
            </w:r>
            <w:r>
              <w:rPr>
                <w:color w:val="auto"/>
                <w:spacing w:val="0"/>
                <w:position w:val="0"/>
                <w:sz w:val="24"/>
                <w:szCs w:val="24"/>
                <w:highlight w:val="none"/>
                <w:u w:val="none" w:color="auto"/>
              </w:rPr>
              <w:t>中甲类厂房和仓库的规定</w:t>
            </w:r>
            <w:r>
              <w:rPr>
                <w:rFonts w:ascii="Times New Roman" w:hAnsi="Times New Roman" w:eastAsia="Times New Roman" w:cs="Times New Roman"/>
                <w:color w:val="auto"/>
                <w:spacing w:val="0"/>
                <w:position w:val="0"/>
                <w:sz w:val="24"/>
                <w:szCs w:val="24"/>
                <w:highlight w:val="none"/>
                <w:u w:val="none" w:color="auto"/>
              </w:rPr>
              <w:t>(</w:t>
            </w:r>
            <w:r>
              <w:rPr>
                <w:color w:val="auto"/>
                <w:spacing w:val="0"/>
                <w:position w:val="0"/>
                <w:sz w:val="24"/>
                <w:szCs w:val="24"/>
                <w:highlight w:val="none"/>
                <w:u w:val="none" w:color="auto"/>
              </w:rPr>
              <w:t>表</w:t>
            </w:r>
            <w:r>
              <w:rPr>
                <w:rFonts w:ascii="Times New Roman" w:hAnsi="Times New Roman" w:eastAsia="Times New Roman" w:cs="Times New Roman"/>
                <w:color w:val="auto"/>
                <w:spacing w:val="0"/>
                <w:position w:val="0"/>
                <w:sz w:val="24"/>
                <w:szCs w:val="24"/>
                <w:highlight w:val="none"/>
                <w:u w:val="none" w:color="auto"/>
              </w:rPr>
              <w:t>3.6.2</w:t>
            </w:r>
            <w:r>
              <w:rPr>
                <w:color w:val="auto"/>
                <w:spacing w:val="0"/>
                <w:position w:val="0"/>
                <w:sz w:val="24"/>
                <w:szCs w:val="24"/>
                <w:highlight w:val="none"/>
                <w:u w:val="none" w:color="auto"/>
              </w:rPr>
              <w:t>不同场所的火灾延续时间</w:t>
            </w:r>
            <w:r>
              <w:rPr>
                <w:rFonts w:ascii="Times New Roman" w:hAnsi="Times New Roman" w:eastAsia="Times New Roman" w:cs="Times New Roman"/>
                <w:color w:val="auto"/>
                <w:spacing w:val="0"/>
                <w:position w:val="0"/>
                <w:sz w:val="24"/>
                <w:szCs w:val="24"/>
                <w:highlight w:val="none"/>
                <w:u w:val="none" w:color="auto"/>
              </w:rPr>
              <w:t>)</w:t>
            </w:r>
            <w:r>
              <w:rPr>
                <w:color w:val="auto"/>
                <w:spacing w:val="0"/>
                <w:position w:val="0"/>
                <w:sz w:val="24"/>
                <w:szCs w:val="24"/>
                <w:highlight w:val="none"/>
                <w:u w:val="none" w:color="auto"/>
              </w:rPr>
              <w:t>，即</w:t>
            </w:r>
            <w:r>
              <w:rPr>
                <w:rFonts w:ascii="Times New Roman" w:hAnsi="Times New Roman" w:eastAsia="Times New Roman" w:cs="Times New Roman"/>
                <w:color w:val="auto"/>
                <w:spacing w:val="0"/>
                <w:position w:val="0"/>
                <w:sz w:val="24"/>
                <w:szCs w:val="24"/>
                <w:highlight w:val="none"/>
                <w:u w:val="none" w:color="auto"/>
              </w:rPr>
              <w:t>10L/S</w:t>
            </w:r>
            <w:r>
              <w:rPr>
                <w:color w:val="auto"/>
                <w:spacing w:val="0"/>
                <w:position w:val="0"/>
                <w:sz w:val="24"/>
                <w:szCs w:val="24"/>
                <w:highlight w:val="none"/>
                <w:u w:val="none" w:color="auto"/>
              </w:rPr>
              <w:t>，火灾延续时间按</w:t>
            </w:r>
            <w:r>
              <w:rPr>
                <w:rFonts w:ascii="Times New Roman" w:hAnsi="Times New Roman" w:eastAsia="Times New Roman" w:cs="Times New Roman"/>
                <w:color w:val="auto"/>
                <w:spacing w:val="0"/>
                <w:position w:val="0"/>
                <w:sz w:val="24"/>
                <w:szCs w:val="24"/>
                <w:highlight w:val="none"/>
                <w:u w:val="none" w:color="auto"/>
              </w:rPr>
              <w:t>3h</w:t>
            </w:r>
            <w:r>
              <w:rPr>
                <w:color w:val="auto"/>
                <w:spacing w:val="0"/>
                <w:position w:val="0"/>
                <w:sz w:val="24"/>
                <w:szCs w:val="24"/>
                <w:highlight w:val="none"/>
                <w:u w:val="none" w:color="auto"/>
              </w:rPr>
              <w:t>计，则</w:t>
            </w:r>
            <w:r>
              <w:rPr>
                <w:rFonts w:hint="eastAsia"/>
                <w:color w:val="auto"/>
                <w:spacing w:val="0"/>
                <w:position w:val="0"/>
                <w:sz w:val="24"/>
                <w:szCs w:val="24"/>
                <w:highlight w:val="none"/>
                <w:u w:val="none" w:color="auto"/>
                <w:lang w:val="en-US" w:eastAsia="zh-CN"/>
              </w:rPr>
              <w:t>地块一</w:t>
            </w:r>
            <w:r>
              <w:rPr>
                <w:color w:val="auto"/>
                <w:spacing w:val="0"/>
                <w:position w:val="0"/>
                <w:sz w:val="24"/>
                <w:szCs w:val="24"/>
                <w:highlight w:val="none"/>
                <w:u w:val="none" w:color="auto"/>
              </w:rPr>
              <w:t>消防用水量为</w:t>
            </w:r>
            <w:r>
              <w:rPr>
                <w:rFonts w:ascii="Times New Roman" w:hAnsi="Times New Roman" w:eastAsia="Times New Roman" w:cs="Times New Roman"/>
                <w:color w:val="auto"/>
                <w:spacing w:val="0"/>
                <w:position w:val="0"/>
                <w:sz w:val="24"/>
                <w:szCs w:val="24"/>
                <w:highlight w:val="none"/>
                <w:u w:val="none" w:color="auto"/>
              </w:rPr>
              <w:t>108m</w:t>
            </w:r>
            <w:r>
              <w:rPr>
                <w:rFonts w:ascii="Times New Roman" w:hAnsi="Times New Roman" w:eastAsia="Times New Roman" w:cs="Times New Roman"/>
                <w:color w:val="auto"/>
                <w:spacing w:val="0"/>
                <w:position w:val="0"/>
                <w:sz w:val="24"/>
                <w:szCs w:val="24"/>
                <w:highlight w:val="none"/>
                <w:u w:val="none" w:color="auto"/>
                <w:vertAlign w:val="superscript"/>
              </w:rPr>
              <w:t>3</w:t>
            </w:r>
            <w:r>
              <w:rPr>
                <w:rFonts w:hint="eastAsia" w:ascii="Times New Roman" w:hAnsi="Times New Roman" w:cs="Times New Roman"/>
                <w:color w:val="auto"/>
                <w:spacing w:val="0"/>
                <w:position w:val="0"/>
                <w:sz w:val="24"/>
                <w:szCs w:val="24"/>
                <w:highlight w:val="none"/>
                <w:u w:val="none" w:color="auto"/>
                <w:vertAlign w:val="baseline"/>
                <w:lang w:val="en-US" w:eastAsia="zh-CN"/>
              </w:rPr>
              <w:t>＜295m</w:t>
            </w:r>
            <w:r>
              <w:rPr>
                <w:rFonts w:hint="eastAsia" w:ascii="Times New Roman" w:hAnsi="Times New Roman" w:cs="Times New Roman"/>
                <w:color w:val="auto"/>
                <w:spacing w:val="0"/>
                <w:position w:val="0"/>
                <w:sz w:val="24"/>
                <w:szCs w:val="24"/>
                <w:highlight w:val="none"/>
                <w:u w:val="none" w:color="auto"/>
                <w:vertAlign w:val="superscript"/>
                <w:lang w:val="en-US" w:eastAsia="zh-CN"/>
              </w:rPr>
              <w:t>3</w:t>
            </w:r>
            <w:r>
              <w:rPr>
                <w:color w:val="auto"/>
                <w:spacing w:val="0"/>
                <w:position w:val="0"/>
                <w:sz w:val="24"/>
                <w:szCs w:val="24"/>
                <w:highlight w:val="none"/>
                <w:u w:val="none" w:color="auto"/>
              </w:rPr>
              <w:t>。</w:t>
            </w:r>
            <w:r>
              <w:rPr>
                <w:rFonts w:hint="eastAsia"/>
                <w:color w:val="auto"/>
                <w:spacing w:val="0"/>
                <w:position w:val="0"/>
                <w:sz w:val="24"/>
                <w:szCs w:val="24"/>
                <w:highlight w:val="none"/>
                <w:u w:val="none" w:color="auto"/>
                <w:lang w:val="en-US" w:eastAsia="zh-CN"/>
              </w:rPr>
              <w:t>消防水池容积满足消防用水需求。</w:t>
            </w:r>
          </w:p>
          <w:p w14:paraId="68C303F1">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2</w:t>
            </w:r>
            <w:r>
              <w:rPr>
                <w:rFonts w:hint="eastAsia"/>
                <w:b/>
                <w:bCs/>
                <w:color w:val="auto"/>
                <w:sz w:val="24"/>
                <w:szCs w:val="24"/>
                <w:highlight w:val="none"/>
                <w:lang w:eastAsia="zh-CN"/>
              </w:rPr>
              <w:t>）</w:t>
            </w:r>
            <w:r>
              <w:rPr>
                <w:b/>
                <w:bCs/>
                <w:color w:val="auto"/>
                <w:sz w:val="24"/>
                <w:szCs w:val="24"/>
                <w:highlight w:val="none"/>
              </w:rPr>
              <w:t>给水</w:t>
            </w:r>
            <w:bookmarkEnd w:id="22"/>
            <w:bookmarkEnd w:id="23"/>
          </w:p>
          <w:p w14:paraId="30CACCED">
            <w:pPr>
              <w:spacing w:line="360" w:lineRule="auto"/>
              <w:ind w:firstLine="480" w:firstLineChars="200"/>
              <w:rPr>
                <w:rFonts w:hint="eastAsia"/>
                <w:color w:val="auto"/>
                <w:sz w:val="24"/>
                <w:szCs w:val="24"/>
                <w:highlight w:val="none"/>
              </w:rPr>
            </w:pPr>
            <w:r>
              <w:rPr>
                <w:rFonts w:hint="eastAsia"/>
                <w:color w:val="auto"/>
                <w:sz w:val="24"/>
                <w:szCs w:val="24"/>
                <w:highlight w:val="none"/>
              </w:rPr>
              <w:t>本项目最终是以包装形式的成品入库，不涉及生产过程，无生产用水，项目用水主要为职工生活用水</w:t>
            </w:r>
            <w:r>
              <w:rPr>
                <w:rFonts w:hint="eastAsia"/>
                <w:color w:val="auto"/>
                <w:sz w:val="24"/>
                <w:szCs w:val="24"/>
                <w:highlight w:val="none"/>
                <w:lang w:eastAsia="zh-CN"/>
              </w:rPr>
              <w:t>、</w:t>
            </w:r>
            <w:r>
              <w:rPr>
                <w:rFonts w:hint="eastAsia"/>
                <w:color w:val="auto"/>
                <w:sz w:val="24"/>
                <w:szCs w:val="24"/>
                <w:highlight w:val="none"/>
                <w:lang w:val="en-US" w:eastAsia="zh-CN"/>
              </w:rPr>
              <w:t>参观人员用水</w:t>
            </w:r>
            <w:r>
              <w:rPr>
                <w:rFonts w:hint="eastAsia"/>
                <w:color w:val="auto"/>
                <w:sz w:val="24"/>
                <w:szCs w:val="24"/>
                <w:highlight w:val="none"/>
              </w:rPr>
              <w:t>和消防用水，</w:t>
            </w:r>
            <w:r>
              <w:rPr>
                <w:rFonts w:hint="eastAsia"/>
                <w:color w:val="auto"/>
                <w:sz w:val="24"/>
                <w:szCs w:val="24"/>
                <w:highlight w:val="none"/>
                <w:lang w:val="en-US" w:eastAsia="zh-CN"/>
              </w:rPr>
              <w:t>现自来水管道已修建好，用水来源于市政供水管网。</w:t>
            </w:r>
          </w:p>
          <w:p w14:paraId="1BD7D249">
            <w:pPr>
              <w:spacing w:line="360" w:lineRule="auto"/>
              <w:ind w:firstLine="482" w:firstLineChars="200"/>
              <w:rPr>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3</w:t>
            </w:r>
            <w:r>
              <w:rPr>
                <w:rFonts w:hint="eastAsia"/>
                <w:b/>
                <w:bCs/>
                <w:color w:val="auto"/>
                <w:sz w:val="24"/>
                <w:szCs w:val="24"/>
                <w:highlight w:val="none"/>
                <w:lang w:eastAsia="zh-CN"/>
              </w:rPr>
              <w:t>）</w:t>
            </w:r>
            <w:r>
              <w:rPr>
                <w:b/>
                <w:bCs/>
                <w:color w:val="auto"/>
                <w:sz w:val="24"/>
                <w:szCs w:val="24"/>
                <w:highlight w:val="none"/>
              </w:rPr>
              <w:t>排水</w:t>
            </w:r>
          </w:p>
          <w:p w14:paraId="7391DC23">
            <w:pPr>
              <w:spacing w:line="360" w:lineRule="auto"/>
              <w:ind w:firstLine="480" w:firstLineChars="200"/>
              <w:rPr>
                <w:color w:val="auto"/>
                <w:sz w:val="24"/>
                <w:szCs w:val="24"/>
                <w:highlight w:val="none"/>
              </w:rPr>
            </w:pPr>
            <w:bookmarkStart w:id="24" w:name="_Toc3921"/>
            <w:bookmarkStart w:id="25" w:name="_Toc2160"/>
            <w:r>
              <w:rPr>
                <w:rFonts w:hint="eastAsia"/>
                <w:color w:val="auto"/>
                <w:sz w:val="24"/>
                <w:szCs w:val="24"/>
                <w:highlight w:val="none"/>
              </w:rPr>
              <w:t>项目</w:t>
            </w:r>
            <w:r>
              <w:rPr>
                <w:color w:val="auto"/>
                <w:sz w:val="24"/>
                <w:szCs w:val="24"/>
                <w:highlight w:val="none"/>
              </w:rPr>
              <w:t>排水采用雨污水分流的排水体制</w:t>
            </w:r>
            <w:r>
              <w:rPr>
                <w:rFonts w:hint="eastAsia"/>
                <w:color w:val="auto"/>
                <w:sz w:val="24"/>
                <w:szCs w:val="24"/>
                <w:highlight w:val="none"/>
              </w:rPr>
              <w:t>，</w:t>
            </w:r>
            <w:r>
              <w:rPr>
                <w:color w:val="auto"/>
                <w:sz w:val="24"/>
                <w:szCs w:val="24"/>
                <w:highlight w:val="none"/>
              </w:rPr>
              <w:t>本项目</w:t>
            </w:r>
            <w:r>
              <w:rPr>
                <w:rFonts w:hint="eastAsia"/>
                <w:color w:val="auto"/>
                <w:sz w:val="24"/>
                <w:szCs w:val="24"/>
                <w:highlight w:val="none"/>
              </w:rPr>
              <w:t>不涉及生产无生产废水，</w:t>
            </w:r>
            <w:r>
              <w:rPr>
                <w:color w:val="auto"/>
                <w:sz w:val="24"/>
                <w:szCs w:val="24"/>
                <w:highlight w:val="none"/>
              </w:rPr>
              <w:t>建成后只产生相应的生活污水，生活污水排入化粪池后委托</w:t>
            </w:r>
            <w:r>
              <w:rPr>
                <w:rFonts w:hint="eastAsia"/>
                <w:color w:val="auto"/>
                <w:sz w:val="24"/>
                <w:szCs w:val="24"/>
                <w:highlight w:val="none"/>
              </w:rPr>
              <w:t>寻甸县</w:t>
            </w:r>
            <w:r>
              <w:rPr>
                <w:color w:val="auto"/>
                <w:sz w:val="24"/>
                <w:szCs w:val="24"/>
                <w:highlight w:val="none"/>
              </w:rPr>
              <w:t>环卫部门抽运</w:t>
            </w:r>
            <w:r>
              <w:rPr>
                <w:rFonts w:hint="eastAsia"/>
                <w:color w:val="auto"/>
                <w:sz w:val="24"/>
                <w:szCs w:val="24"/>
                <w:highlight w:val="none"/>
              </w:rPr>
              <w:t>至寻甸县污水处理厂处理</w:t>
            </w:r>
            <w:r>
              <w:rPr>
                <w:rFonts w:hint="eastAsia"/>
                <w:color w:val="auto"/>
                <w:sz w:val="24"/>
                <w:szCs w:val="24"/>
                <w:highlight w:val="none"/>
                <w:lang w:eastAsia="zh-CN"/>
              </w:rPr>
              <w:t>（</w:t>
            </w:r>
            <w:r>
              <w:rPr>
                <w:rFonts w:hint="eastAsia"/>
                <w:color w:val="auto"/>
                <w:sz w:val="24"/>
                <w:szCs w:val="24"/>
                <w:highlight w:val="none"/>
                <w:lang w:val="en-US" w:eastAsia="zh-CN"/>
              </w:rPr>
              <w:t>详见附件6</w:t>
            </w:r>
            <w:r>
              <w:rPr>
                <w:rFonts w:hint="eastAsia"/>
                <w:color w:val="auto"/>
                <w:sz w:val="24"/>
                <w:szCs w:val="24"/>
                <w:highlight w:val="none"/>
                <w:lang w:eastAsia="zh-CN"/>
              </w:rPr>
              <w:t>）</w:t>
            </w:r>
            <w:r>
              <w:rPr>
                <w:color w:val="auto"/>
                <w:sz w:val="24"/>
                <w:szCs w:val="24"/>
                <w:highlight w:val="none"/>
              </w:rPr>
              <w:t>。库区除东北为路周围都是山沟，库区</w:t>
            </w:r>
            <w:bookmarkEnd w:id="24"/>
            <w:bookmarkEnd w:id="25"/>
            <w:r>
              <w:rPr>
                <w:rFonts w:hint="eastAsia"/>
                <w:color w:val="auto"/>
                <w:sz w:val="24"/>
                <w:szCs w:val="24"/>
                <w:highlight w:val="none"/>
              </w:rPr>
              <w:t>内设置截排水沟，</w:t>
            </w:r>
            <w:r>
              <w:rPr>
                <w:color w:val="auto"/>
                <w:sz w:val="24"/>
                <w:szCs w:val="24"/>
                <w:highlight w:val="none"/>
              </w:rPr>
              <w:t>初期雨水经截排水沟收集后</w:t>
            </w:r>
            <w:r>
              <w:rPr>
                <w:rFonts w:hint="eastAsia"/>
                <w:color w:val="auto"/>
                <w:sz w:val="24"/>
                <w:szCs w:val="24"/>
                <w:highlight w:val="none"/>
              </w:rPr>
              <w:t>，</w:t>
            </w:r>
            <w:r>
              <w:rPr>
                <w:color w:val="auto"/>
                <w:sz w:val="24"/>
                <w:szCs w:val="24"/>
                <w:highlight w:val="none"/>
              </w:rPr>
              <w:t>排入</w:t>
            </w:r>
            <w:r>
              <w:rPr>
                <w:rFonts w:hint="eastAsia"/>
                <w:color w:val="auto"/>
                <w:sz w:val="24"/>
                <w:szCs w:val="24"/>
                <w:highlight w:val="none"/>
              </w:rPr>
              <w:t>库区外</w:t>
            </w:r>
            <w:r>
              <w:rPr>
                <w:color w:val="auto"/>
                <w:sz w:val="24"/>
                <w:szCs w:val="24"/>
                <w:highlight w:val="none"/>
              </w:rPr>
              <w:t>。</w:t>
            </w:r>
          </w:p>
          <w:p w14:paraId="609DDB45">
            <w:pPr>
              <w:spacing w:line="360" w:lineRule="auto"/>
              <w:ind w:firstLine="482" w:firstLineChars="200"/>
              <w:rPr>
                <w:b/>
                <w:bCs/>
                <w:color w:val="auto"/>
                <w:sz w:val="24"/>
                <w:szCs w:val="24"/>
                <w:highlight w:val="none"/>
              </w:rPr>
            </w:pPr>
            <w:bookmarkStart w:id="26" w:name="_Toc22289"/>
            <w:bookmarkStart w:id="27" w:name="_Toc8607"/>
            <w:r>
              <w:rPr>
                <w:rFonts w:hint="eastAsia"/>
                <w:b/>
                <w:bCs/>
                <w:color w:val="auto"/>
                <w:sz w:val="24"/>
                <w:szCs w:val="24"/>
                <w:highlight w:val="none"/>
                <w:lang w:eastAsia="zh-CN"/>
              </w:rPr>
              <w:t>（</w:t>
            </w:r>
            <w:r>
              <w:rPr>
                <w:rFonts w:hint="eastAsia"/>
                <w:b/>
                <w:bCs/>
                <w:color w:val="auto"/>
                <w:sz w:val="24"/>
                <w:szCs w:val="24"/>
                <w:highlight w:val="none"/>
                <w:lang w:val="en-US" w:eastAsia="zh-CN"/>
              </w:rPr>
              <w:t>4</w:t>
            </w:r>
            <w:r>
              <w:rPr>
                <w:rFonts w:hint="eastAsia"/>
                <w:b/>
                <w:bCs/>
                <w:color w:val="auto"/>
                <w:sz w:val="24"/>
                <w:szCs w:val="24"/>
                <w:highlight w:val="none"/>
                <w:lang w:eastAsia="zh-CN"/>
              </w:rPr>
              <w:t>）</w:t>
            </w:r>
            <w:r>
              <w:rPr>
                <w:b/>
                <w:bCs/>
                <w:color w:val="auto"/>
                <w:sz w:val="24"/>
                <w:szCs w:val="24"/>
                <w:highlight w:val="none"/>
              </w:rPr>
              <w:t>供电</w:t>
            </w:r>
            <w:bookmarkEnd w:id="26"/>
            <w:bookmarkEnd w:id="27"/>
          </w:p>
          <w:p w14:paraId="0C518E83">
            <w:pPr>
              <w:spacing w:line="360" w:lineRule="auto"/>
              <w:ind w:firstLine="480" w:firstLineChars="200"/>
              <w:rPr>
                <w:color w:val="auto"/>
                <w:sz w:val="24"/>
                <w:szCs w:val="24"/>
                <w:highlight w:val="none"/>
              </w:rPr>
            </w:pPr>
            <w:bookmarkStart w:id="28" w:name="_Toc17887"/>
            <w:r>
              <w:rPr>
                <w:color w:val="auto"/>
                <w:sz w:val="24"/>
                <w:szCs w:val="24"/>
                <w:highlight w:val="none"/>
              </w:rPr>
              <w:t>本项目库区安全距离外有电力公司的供电电源。</w:t>
            </w:r>
            <w:bookmarkEnd w:id="28"/>
          </w:p>
          <w:p w14:paraId="346F46D9">
            <w:pPr>
              <w:spacing w:line="360" w:lineRule="auto"/>
              <w:ind w:firstLine="482" w:firstLineChars="200"/>
              <w:rPr>
                <w:b/>
                <w:bCs/>
                <w:color w:val="auto"/>
                <w:sz w:val="24"/>
                <w:szCs w:val="24"/>
                <w:highlight w:val="none"/>
              </w:rPr>
            </w:pPr>
            <w:bookmarkStart w:id="29" w:name="_Toc7897"/>
            <w:bookmarkStart w:id="30" w:name="_Toc32293"/>
            <w:r>
              <w:rPr>
                <w:rFonts w:hint="eastAsia"/>
                <w:b/>
                <w:bCs/>
                <w:color w:val="auto"/>
                <w:sz w:val="24"/>
                <w:szCs w:val="24"/>
                <w:highlight w:val="none"/>
                <w:lang w:eastAsia="zh-CN"/>
              </w:rPr>
              <w:t>（</w:t>
            </w:r>
            <w:r>
              <w:rPr>
                <w:rFonts w:hint="eastAsia"/>
                <w:b/>
                <w:bCs/>
                <w:color w:val="auto"/>
                <w:sz w:val="24"/>
                <w:szCs w:val="24"/>
                <w:highlight w:val="none"/>
                <w:lang w:val="en-US" w:eastAsia="zh-CN"/>
              </w:rPr>
              <w:t>5</w:t>
            </w:r>
            <w:r>
              <w:rPr>
                <w:rFonts w:hint="eastAsia"/>
                <w:b/>
                <w:bCs/>
                <w:color w:val="auto"/>
                <w:sz w:val="24"/>
                <w:szCs w:val="24"/>
                <w:highlight w:val="none"/>
                <w:lang w:eastAsia="zh-CN"/>
              </w:rPr>
              <w:t>）</w:t>
            </w:r>
            <w:r>
              <w:rPr>
                <w:b/>
                <w:bCs/>
                <w:color w:val="auto"/>
                <w:sz w:val="24"/>
                <w:szCs w:val="24"/>
                <w:highlight w:val="none"/>
              </w:rPr>
              <w:t>防雷与防静电</w:t>
            </w:r>
            <w:bookmarkEnd w:id="29"/>
            <w:bookmarkEnd w:id="30"/>
          </w:p>
          <w:p w14:paraId="435C147C">
            <w:pPr>
              <w:spacing w:line="360" w:lineRule="auto"/>
              <w:ind w:firstLine="480" w:firstLineChars="200"/>
              <w:rPr>
                <w:rFonts w:hint="eastAsia" w:eastAsia="宋体"/>
                <w:color w:val="auto"/>
                <w:sz w:val="24"/>
                <w:szCs w:val="24"/>
                <w:highlight w:val="none"/>
                <w:lang w:eastAsia="zh-CN"/>
              </w:rPr>
            </w:pPr>
            <w:r>
              <w:rPr>
                <w:color w:val="auto"/>
                <w:sz w:val="24"/>
                <w:szCs w:val="24"/>
                <w:highlight w:val="none"/>
              </w:rPr>
              <w:t>项目仓库按GB50161-20</w:t>
            </w:r>
            <w:r>
              <w:rPr>
                <w:rFonts w:hint="eastAsia"/>
                <w:color w:val="auto"/>
                <w:sz w:val="24"/>
                <w:szCs w:val="24"/>
                <w:highlight w:val="none"/>
                <w:lang w:val="en-US" w:eastAsia="zh-CN"/>
              </w:rPr>
              <w:t>22</w:t>
            </w:r>
            <w:r>
              <w:rPr>
                <w:color w:val="auto"/>
                <w:sz w:val="24"/>
                <w:szCs w:val="24"/>
                <w:highlight w:val="none"/>
              </w:rPr>
              <w:t>《烟花爆竹工程设计安全规范》的相关规定，本项目</w:t>
            </w:r>
            <w:r>
              <w:rPr>
                <w:rFonts w:hint="eastAsia"/>
                <w:color w:val="auto"/>
                <w:sz w:val="24"/>
                <w:szCs w:val="24"/>
                <w:highlight w:val="none"/>
                <w:lang w:val="en-US" w:eastAsia="zh-CN"/>
              </w:rPr>
              <w:t>地块一</w:t>
            </w:r>
            <w:r>
              <w:rPr>
                <w:color w:val="auto"/>
                <w:sz w:val="24"/>
                <w:szCs w:val="24"/>
                <w:highlight w:val="none"/>
              </w:rPr>
              <w:t>仓库（1.3级）防雷类别按二类防雷设计。</w:t>
            </w:r>
            <w:r>
              <w:rPr>
                <w:rFonts w:hint="eastAsia"/>
                <w:color w:val="auto"/>
                <w:sz w:val="24"/>
                <w:szCs w:val="24"/>
                <w:highlight w:val="none"/>
                <w:lang w:val="en-US" w:eastAsia="zh-CN"/>
              </w:rPr>
              <w:t>地块二仓库</w:t>
            </w:r>
            <w:r>
              <w:rPr>
                <w:color w:val="auto"/>
                <w:sz w:val="24"/>
                <w:szCs w:val="24"/>
                <w:highlight w:val="none"/>
              </w:rPr>
              <w:t>（1.</w:t>
            </w:r>
            <w:r>
              <w:rPr>
                <w:rFonts w:hint="eastAsia"/>
                <w:color w:val="auto"/>
                <w:sz w:val="24"/>
                <w:szCs w:val="24"/>
                <w:highlight w:val="none"/>
                <w:lang w:val="en-US" w:eastAsia="zh-CN"/>
              </w:rPr>
              <w:t>1</w:t>
            </w:r>
            <w:r>
              <w:rPr>
                <w:color w:val="auto"/>
                <w:sz w:val="24"/>
                <w:szCs w:val="24"/>
                <w:highlight w:val="none"/>
              </w:rPr>
              <w:t>级）防雷类别按</w:t>
            </w:r>
            <w:r>
              <w:rPr>
                <w:rFonts w:hint="eastAsia"/>
                <w:color w:val="auto"/>
                <w:sz w:val="24"/>
                <w:szCs w:val="24"/>
                <w:highlight w:val="none"/>
                <w:lang w:val="en-US" w:eastAsia="zh-CN"/>
              </w:rPr>
              <w:t>一</w:t>
            </w:r>
            <w:r>
              <w:rPr>
                <w:color w:val="auto"/>
                <w:sz w:val="24"/>
                <w:szCs w:val="24"/>
                <w:highlight w:val="none"/>
              </w:rPr>
              <w:t>类防雷设计</w:t>
            </w:r>
            <w:r>
              <w:rPr>
                <w:rFonts w:hint="eastAsia"/>
                <w:color w:val="auto"/>
                <w:sz w:val="24"/>
                <w:szCs w:val="24"/>
                <w:highlight w:val="none"/>
                <w:lang w:eastAsia="zh-CN"/>
              </w:rPr>
              <w:t>。</w:t>
            </w:r>
          </w:p>
          <w:p w14:paraId="2F231152">
            <w:pPr>
              <w:spacing w:line="360" w:lineRule="auto"/>
              <w:ind w:firstLine="482" w:firstLineChars="200"/>
              <w:rPr>
                <w:b/>
                <w:bCs/>
                <w:color w:val="auto"/>
                <w:sz w:val="24"/>
                <w:szCs w:val="24"/>
                <w:highlight w:val="none"/>
              </w:rPr>
            </w:pPr>
            <w:bookmarkStart w:id="31" w:name="_Toc8213"/>
            <w:bookmarkStart w:id="32" w:name="_Toc18986"/>
            <w:r>
              <w:rPr>
                <w:rFonts w:hint="eastAsia"/>
                <w:b/>
                <w:bCs/>
                <w:color w:val="auto"/>
                <w:sz w:val="24"/>
                <w:szCs w:val="24"/>
                <w:highlight w:val="none"/>
                <w:lang w:eastAsia="zh-CN"/>
              </w:rPr>
              <w:t>（</w:t>
            </w:r>
            <w:r>
              <w:rPr>
                <w:rFonts w:hint="eastAsia"/>
                <w:b/>
                <w:bCs/>
                <w:color w:val="auto"/>
                <w:sz w:val="24"/>
                <w:szCs w:val="24"/>
                <w:highlight w:val="none"/>
                <w:lang w:val="en-US" w:eastAsia="zh-CN"/>
              </w:rPr>
              <w:t>6</w:t>
            </w:r>
            <w:r>
              <w:rPr>
                <w:rFonts w:hint="eastAsia"/>
                <w:b/>
                <w:bCs/>
                <w:color w:val="auto"/>
                <w:sz w:val="24"/>
                <w:szCs w:val="24"/>
                <w:highlight w:val="none"/>
                <w:lang w:eastAsia="zh-CN"/>
              </w:rPr>
              <w:t>）</w:t>
            </w:r>
            <w:r>
              <w:rPr>
                <w:b/>
                <w:bCs/>
                <w:color w:val="auto"/>
                <w:sz w:val="24"/>
                <w:szCs w:val="24"/>
                <w:highlight w:val="none"/>
              </w:rPr>
              <w:t>消防</w:t>
            </w:r>
            <w:bookmarkEnd w:id="31"/>
            <w:bookmarkEnd w:id="32"/>
          </w:p>
          <w:p w14:paraId="6862B0CF">
            <w:pPr>
              <w:spacing w:line="360" w:lineRule="auto"/>
              <w:ind w:firstLine="480" w:firstLineChars="200"/>
              <w:rPr>
                <w:color w:val="auto"/>
                <w:sz w:val="24"/>
                <w:szCs w:val="24"/>
                <w:highlight w:val="none"/>
              </w:rPr>
            </w:pPr>
            <w:r>
              <w:rPr>
                <w:color w:val="auto"/>
                <w:sz w:val="24"/>
                <w:szCs w:val="24"/>
                <w:highlight w:val="none"/>
              </w:rPr>
              <w:t>本项目</w:t>
            </w:r>
            <w:r>
              <w:rPr>
                <w:rFonts w:hint="eastAsia"/>
                <w:color w:val="auto"/>
                <w:sz w:val="24"/>
                <w:szCs w:val="24"/>
                <w:highlight w:val="none"/>
                <w:lang w:val="en-US" w:eastAsia="zh-CN"/>
              </w:rPr>
              <w:t>用水使用市政自来水管道，用水来源于市政供水管网。</w:t>
            </w:r>
            <w:r>
              <w:rPr>
                <w:color w:val="auto"/>
                <w:sz w:val="24"/>
                <w:szCs w:val="24"/>
                <w:highlight w:val="none"/>
              </w:rPr>
              <w:t>消防水池使用后的补水时间不超过48小时。</w:t>
            </w:r>
            <w:r>
              <w:rPr>
                <w:rFonts w:hint="eastAsia"/>
                <w:color w:val="auto"/>
                <w:sz w:val="24"/>
                <w:szCs w:val="24"/>
                <w:highlight w:val="none"/>
                <w:lang w:val="en-US" w:eastAsia="zh-CN"/>
              </w:rPr>
              <w:t>地块一</w:t>
            </w:r>
            <w:r>
              <w:rPr>
                <w:color w:val="auto"/>
                <w:sz w:val="24"/>
                <w:szCs w:val="24"/>
                <w:highlight w:val="none"/>
              </w:rPr>
              <w:t>消防水池储水量设置为295m</w:t>
            </w:r>
            <w:r>
              <w:rPr>
                <w:color w:val="auto"/>
                <w:sz w:val="24"/>
                <w:szCs w:val="24"/>
                <w:highlight w:val="none"/>
                <w:vertAlign w:val="superscript"/>
              </w:rPr>
              <w:t>3</w:t>
            </w:r>
            <w:r>
              <w:rPr>
                <w:color w:val="auto"/>
                <w:sz w:val="24"/>
                <w:szCs w:val="24"/>
                <w:highlight w:val="none"/>
              </w:rPr>
              <w:t>。</w:t>
            </w:r>
            <w:r>
              <w:rPr>
                <w:rFonts w:hint="eastAsia"/>
                <w:color w:val="auto"/>
                <w:sz w:val="24"/>
                <w:szCs w:val="24"/>
                <w:highlight w:val="none"/>
                <w:lang w:val="en-US" w:eastAsia="zh-CN"/>
              </w:rPr>
              <w:t>地块二</w:t>
            </w:r>
            <w:r>
              <w:rPr>
                <w:color w:val="auto"/>
                <w:sz w:val="24"/>
                <w:szCs w:val="24"/>
                <w:highlight w:val="none"/>
              </w:rPr>
              <w:t>消防水池储水量设置为</w:t>
            </w:r>
            <w:r>
              <w:rPr>
                <w:rFonts w:hint="eastAsia"/>
                <w:color w:val="auto"/>
                <w:sz w:val="24"/>
                <w:szCs w:val="24"/>
                <w:highlight w:val="none"/>
                <w:lang w:val="en-US" w:eastAsia="zh-CN"/>
              </w:rPr>
              <w:t>162</w:t>
            </w:r>
            <w:r>
              <w:rPr>
                <w:color w:val="auto"/>
                <w:sz w:val="24"/>
                <w:szCs w:val="24"/>
                <w:highlight w:val="none"/>
              </w:rPr>
              <w:t>m</w:t>
            </w:r>
            <w:r>
              <w:rPr>
                <w:color w:val="auto"/>
                <w:sz w:val="24"/>
                <w:szCs w:val="24"/>
                <w:highlight w:val="none"/>
                <w:vertAlign w:val="superscript"/>
              </w:rPr>
              <w:t>3</w:t>
            </w:r>
            <w:r>
              <w:rPr>
                <w:color w:val="auto"/>
                <w:sz w:val="24"/>
                <w:szCs w:val="24"/>
                <w:highlight w:val="none"/>
              </w:rPr>
              <w:t>。消防水池保护半径不大于150m。</w:t>
            </w:r>
            <w:r>
              <w:rPr>
                <w:rFonts w:hint="eastAsia"/>
                <w:color w:val="auto"/>
                <w:sz w:val="24"/>
                <w:szCs w:val="24"/>
                <w:highlight w:val="none"/>
                <w:lang w:val="en-US" w:eastAsia="zh-CN"/>
              </w:rPr>
              <w:t>地块一</w:t>
            </w:r>
            <w:r>
              <w:rPr>
                <w:color w:val="auto"/>
                <w:sz w:val="24"/>
                <w:szCs w:val="24"/>
                <w:highlight w:val="none"/>
              </w:rPr>
              <w:t>库区设置4个室外消火栓及相应的消防设施，灭火器22</w:t>
            </w:r>
            <w:r>
              <w:rPr>
                <w:rFonts w:hint="eastAsia"/>
                <w:color w:val="auto"/>
                <w:sz w:val="24"/>
                <w:szCs w:val="24"/>
                <w:highlight w:val="none"/>
              </w:rPr>
              <w:t>只</w:t>
            </w:r>
            <w:r>
              <w:rPr>
                <w:color w:val="auto"/>
                <w:sz w:val="24"/>
                <w:szCs w:val="24"/>
                <w:highlight w:val="none"/>
              </w:rPr>
              <w:t>。给水管采用DN100热镀锌钢管，沿地暗设或明设，车道下埋深＞0.8m，不能满足时设套管或素混凝土保护。</w:t>
            </w:r>
            <w:r>
              <w:rPr>
                <w:rFonts w:hint="eastAsia"/>
                <w:color w:val="auto"/>
                <w:sz w:val="24"/>
                <w:szCs w:val="24"/>
                <w:highlight w:val="none"/>
                <w:lang w:val="en-US" w:eastAsia="zh-CN"/>
              </w:rPr>
              <w:t>地块二</w:t>
            </w:r>
            <w:r>
              <w:rPr>
                <w:color w:val="auto"/>
                <w:sz w:val="24"/>
                <w:szCs w:val="24"/>
                <w:highlight w:val="none"/>
              </w:rPr>
              <w:t>库区设置</w:t>
            </w:r>
            <w:r>
              <w:rPr>
                <w:rFonts w:hint="eastAsia"/>
                <w:color w:val="auto"/>
                <w:sz w:val="24"/>
                <w:szCs w:val="24"/>
                <w:highlight w:val="none"/>
                <w:lang w:val="en-US" w:eastAsia="zh-CN"/>
              </w:rPr>
              <w:t>2</w:t>
            </w:r>
            <w:r>
              <w:rPr>
                <w:color w:val="auto"/>
                <w:sz w:val="24"/>
                <w:szCs w:val="24"/>
                <w:highlight w:val="none"/>
              </w:rPr>
              <w:t>个室外消火栓及相应的消防设施，灭火器</w:t>
            </w:r>
            <w:r>
              <w:rPr>
                <w:rFonts w:hint="eastAsia"/>
                <w:color w:val="auto"/>
                <w:sz w:val="24"/>
                <w:szCs w:val="24"/>
                <w:highlight w:val="none"/>
                <w:lang w:val="en-US" w:eastAsia="zh-CN"/>
              </w:rPr>
              <w:t>12</w:t>
            </w:r>
            <w:r>
              <w:rPr>
                <w:rFonts w:hint="eastAsia"/>
                <w:color w:val="auto"/>
                <w:sz w:val="24"/>
                <w:szCs w:val="24"/>
                <w:highlight w:val="none"/>
              </w:rPr>
              <w:t>只</w:t>
            </w:r>
            <w:r>
              <w:rPr>
                <w:color w:val="auto"/>
                <w:sz w:val="24"/>
                <w:szCs w:val="24"/>
                <w:highlight w:val="none"/>
              </w:rPr>
              <w:t>。给水管采用DN100热镀锌钢管，沿地暗设或明设，车道下埋深＞0.8m，不能满足时设套管或素混凝土保护。消防水压按能保证用水总量达到最大且水枪在库区内任何建筑物的最高处时，水枪的充实水柱不小于10m的要求确定。仓库每个出入口均设置一对磷酸铵盐干粉灭火器，用于初期火灾和小火的扑救。</w:t>
            </w:r>
          </w:p>
          <w:p w14:paraId="5D57F938">
            <w:pPr>
              <w:spacing w:line="360" w:lineRule="auto"/>
              <w:ind w:firstLine="480" w:firstLineChars="200"/>
              <w:rPr>
                <w:color w:val="auto"/>
                <w:sz w:val="24"/>
                <w:szCs w:val="24"/>
                <w:highlight w:val="none"/>
              </w:rPr>
            </w:pPr>
            <w:r>
              <w:rPr>
                <w:color w:val="auto"/>
                <w:sz w:val="24"/>
                <w:szCs w:val="24"/>
                <w:highlight w:val="none"/>
              </w:rPr>
              <w:t>按照《建筑灭火器配置设计规范》的规定，仓库内设计参数按照A类火灾场所火灾严重危险级进行设计，结合仓库建筑面积，</w:t>
            </w:r>
            <w:r>
              <w:rPr>
                <w:rFonts w:hint="eastAsia"/>
                <w:color w:val="auto"/>
                <w:sz w:val="24"/>
                <w:szCs w:val="24"/>
                <w:highlight w:val="none"/>
                <w:lang w:val="en-US" w:eastAsia="zh-CN"/>
              </w:rPr>
              <w:t>地块一</w:t>
            </w:r>
            <w:r>
              <w:rPr>
                <w:color w:val="auto"/>
                <w:sz w:val="24"/>
                <w:szCs w:val="24"/>
                <w:highlight w:val="none"/>
              </w:rPr>
              <w:t>在值班室及每库房安全出口设置2只手提式干粉灭火器，共22只（剩余的放在值班室备用）。</w:t>
            </w:r>
            <w:r>
              <w:rPr>
                <w:rFonts w:hint="eastAsia"/>
                <w:color w:val="auto"/>
                <w:sz w:val="24"/>
                <w:szCs w:val="24"/>
                <w:highlight w:val="none"/>
                <w:lang w:val="en-US" w:eastAsia="zh-CN"/>
              </w:rPr>
              <w:t>地块二</w:t>
            </w:r>
            <w:r>
              <w:rPr>
                <w:color w:val="auto"/>
                <w:sz w:val="24"/>
                <w:szCs w:val="24"/>
                <w:highlight w:val="none"/>
              </w:rPr>
              <w:t>在值班室及每库房安全出口设置2只手提式干粉灭火器，共</w:t>
            </w:r>
            <w:r>
              <w:rPr>
                <w:rFonts w:hint="eastAsia"/>
                <w:color w:val="auto"/>
                <w:sz w:val="24"/>
                <w:szCs w:val="24"/>
                <w:highlight w:val="none"/>
                <w:lang w:val="en-US" w:eastAsia="zh-CN"/>
              </w:rPr>
              <w:t>1</w:t>
            </w:r>
            <w:r>
              <w:rPr>
                <w:color w:val="auto"/>
                <w:sz w:val="24"/>
                <w:szCs w:val="24"/>
                <w:highlight w:val="none"/>
              </w:rPr>
              <w:t>2只（剩余的放在值班室备用）</w:t>
            </w:r>
            <w:r>
              <w:rPr>
                <w:rFonts w:hint="eastAsia"/>
                <w:color w:val="auto"/>
                <w:sz w:val="24"/>
                <w:szCs w:val="24"/>
                <w:highlight w:val="none"/>
                <w:lang w:val="en-US" w:eastAsia="zh-CN"/>
              </w:rPr>
              <w:t>。</w:t>
            </w:r>
            <w:r>
              <w:rPr>
                <w:color w:val="auto"/>
                <w:sz w:val="24"/>
                <w:szCs w:val="24"/>
                <w:highlight w:val="none"/>
              </w:rPr>
              <w:t>灭火器为磷酸氨盐干粉，单具灭火器的灭火级别为3A，单位灭火级别最大保护面积为50m</w:t>
            </w:r>
            <w:r>
              <w:rPr>
                <w:color w:val="auto"/>
                <w:sz w:val="24"/>
                <w:szCs w:val="24"/>
                <w:highlight w:val="none"/>
                <w:vertAlign w:val="superscript"/>
              </w:rPr>
              <w:t>2</w:t>
            </w:r>
            <w:r>
              <w:rPr>
                <w:color w:val="auto"/>
                <w:sz w:val="24"/>
                <w:szCs w:val="24"/>
                <w:highlight w:val="none"/>
              </w:rPr>
              <w:t>/A。</w:t>
            </w:r>
          </w:p>
          <w:p w14:paraId="37F74BB8">
            <w:pPr>
              <w:spacing w:line="360" w:lineRule="auto"/>
              <w:ind w:firstLine="482" w:firstLineChars="200"/>
              <w:rPr>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7</w:t>
            </w:r>
            <w:r>
              <w:rPr>
                <w:rFonts w:hint="eastAsia"/>
                <w:b/>
                <w:bCs/>
                <w:color w:val="auto"/>
                <w:sz w:val="24"/>
                <w:szCs w:val="24"/>
                <w:highlight w:val="none"/>
                <w:lang w:eastAsia="zh-CN"/>
              </w:rPr>
              <w:t>）</w:t>
            </w:r>
            <w:r>
              <w:rPr>
                <w:b/>
                <w:bCs/>
                <w:color w:val="auto"/>
                <w:sz w:val="24"/>
                <w:szCs w:val="24"/>
                <w:highlight w:val="none"/>
              </w:rPr>
              <w:t>通信及监控系统</w:t>
            </w:r>
          </w:p>
          <w:p w14:paraId="5AECB842">
            <w:pPr>
              <w:spacing w:line="360" w:lineRule="auto"/>
              <w:ind w:firstLine="480" w:firstLineChars="200"/>
              <w:rPr>
                <w:color w:val="auto"/>
                <w:sz w:val="24"/>
                <w:szCs w:val="24"/>
                <w:highlight w:val="none"/>
              </w:rPr>
            </w:pPr>
            <w:r>
              <w:rPr>
                <w:color w:val="auto"/>
                <w:sz w:val="24"/>
                <w:szCs w:val="24"/>
                <w:highlight w:val="none"/>
              </w:rPr>
              <w:t>值班室内设置确保24小时信号畅通的固定电话一部，供报警和对外联络使用；库区仓库的出入口、主要人员通道和危险品运输通道及四周按要求设置视频监控。公司配置专职人员，进行每日24小时不间断</w:t>
            </w:r>
            <w:r>
              <w:rPr>
                <w:rFonts w:hint="eastAsia"/>
                <w:color w:val="auto"/>
                <w:sz w:val="24"/>
                <w:szCs w:val="24"/>
                <w:highlight w:val="none"/>
                <w:lang w:eastAsia="zh-CN"/>
              </w:rPr>
              <w:t>查看</w:t>
            </w:r>
            <w:r>
              <w:rPr>
                <w:color w:val="auto"/>
                <w:sz w:val="24"/>
                <w:szCs w:val="24"/>
                <w:highlight w:val="none"/>
              </w:rPr>
              <w:t>监控情况。公司负责人、安全生产管理负责人每天通过监控平台、本地或远程用户终端不定期</w:t>
            </w:r>
            <w:r>
              <w:rPr>
                <w:rFonts w:hint="eastAsia"/>
                <w:color w:val="auto"/>
                <w:sz w:val="24"/>
                <w:szCs w:val="24"/>
                <w:highlight w:val="none"/>
                <w:lang w:eastAsia="zh-CN"/>
              </w:rPr>
              <w:t>查看</w:t>
            </w:r>
            <w:r>
              <w:rPr>
                <w:color w:val="auto"/>
                <w:sz w:val="24"/>
                <w:szCs w:val="24"/>
                <w:highlight w:val="none"/>
              </w:rPr>
              <w:t>监控情况；仓库门前设置红外报警装置。公司应保存所有监控信息备查，保存时间不得少于20天。监控异常事件的处置和结果，均应记录备查，记录保存时间不少于1年。仓库内设置温度计和湿度计。</w:t>
            </w:r>
          </w:p>
          <w:p w14:paraId="5D27F82D">
            <w:pPr>
              <w:spacing w:line="360" w:lineRule="auto"/>
              <w:ind w:firstLine="482" w:firstLineChars="200"/>
              <w:rPr>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8</w:t>
            </w:r>
            <w:r>
              <w:rPr>
                <w:rFonts w:hint="eastAsia"/>
                <w:b/>
                <w:bCs/>
                <w:color w:val="auto"/>
                <w:sz w:val="24"/>
                <w:szCs w:val="24"/>
                <w:highlight w:val="none"/>
                <w:lang w:eastAsia="zh-CN"/>
              </w:rPr>
              <w:t>）</w:t>
            </w:r>
            <w:r>
              <w:rPr>
                <w:b/>
                <w:bCs/>
                <w:color w:val="auto"/>
                <w:sz w:val="24"/>
                <w:szCs w:val="24"/>
                <w:highlight w:val="none"/>
              </w:rPr>
              <w:t>电器与照明</w:t>
            </w:r>
          </w:p>
          <w:p w14:paraId="184BF0B6">
            <w:pPr>
              <w:spacing w:line="360" w:lineRule="auto"/>
              <w:ind w:firstLine="480" w:firstLineChars="200"/>
              <w:rPr>
                <w:color w:val="auto"/>
                <w:sz w:val="24"/>
                <w:szCs w:val="24"/>
                <w:highlight w:val="none"/>
              </w:rPr>
            </w:pPr>
            <w:r>
              <w:rPr>
                <w:color w:val="auto"/>
                <w:sz w:val="24"/>
                <w:szCs w:val="24"/>
                <w:highlight w:val="none"/>
              </w:rPr>
              <w:t>本项目电源由当地电网引入，库区的供配电部分主要为照明、报警系统。库区围墙上设置泛光灯作为库区照明设施，在值班室和监控室安装应急照明。库房内设置防爆照明电气设备，照明配电箱安装在值班室内。库房内设置火灾自动报警探测装置。为确保仓库安全，在仓库内安装红外光束感烟探测器，报警信号引至监控室内火灾报警控制器，库区内线路根据《爆炸和火灾危险环境电力装置设计规范》（GB50058-2014）中规范要求，所使用的线缆均采用阻燃线缆，室外线缆采用穿钢管沿墙或埋地敷设。火灾自动报警系统在库区内所</w:t>
            </w:r>
            <w:r>
              <w:rPr>
                <w:rFonts w:hint="eastAsia"/>
                <w:color w:val="auto"/>
                <w:sz w:val="24"/>
                <w:szCs w:val="24"/>
                <w:highlight w:val="none"/>
                <w:lang w:eastAsia="zh-CN"/>
              </w:rPr>
              <w:t>涉及</w:t>
            </w:r>
            <w:r>
              <w:rPr>
                <w:color w:val="auto"/>
                <w:sz w:val="24"/>
                <w:szCs w:val="24"/>
                <w:highlight w:val="none"/>
              </w:rPr>
              <w:t>的相关设施及装置均按照相关规范要求进行设置。</w:t>
            </w:r>
          </w:p>
          <w:p w14:paraId="49FA60AC">
            <w:pPr>
              <w:spacing w:line="360" w:lineRule="auto"/>
              <w:ind w:firstLine="482" w:firstLineChars="200"/>
              <w:rPr>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9</w:t>
            </w:r>
            <w:r>
              <w:rPr>
                <w:rFonts w:hint="eastAsia"/>
                <w:b/>
                <w:bCs/>
                <w:color w:val="auto"/>
                <w:sz w:val="24"/>
                <w:szCs w:val="24"/>
                <w:highlight w:val="none"/>
                <w:lang w:eastAsia="zh-CN"/>
              </w:rPr>
              <w:t>）</w:t>
            </w:r>
            <w:r>
              <w:rPr>
                <w:b/>
                <w:bCs/>
                <w:color w:val="auto"/>
                <w:sz w:val="24"/>
                <w:szCs w:val="24"/>
                <w:highlight w:val="none"/>
              </w:rPr>
              <w:t>标志与警示牌</w:t>
            </w:r>
          </w:p>
          <w:p w14:paraId="15056385">
            <w:pPr>
              <w:spacing w:line="360" w:lineRule="auto"/>
              <w:ind w:firstLine="480" w:firstLineChars="200"/>
              <w:rPr>
                <w:color w:val="auto"/>
                <w:sz w:val="24"/>
                <w:szCs w:val="24"/>
                <w:highlight w:val="none"/>
              </w:rPr>
            </w:pPr>
            <w:r>
              <w:rPr>
                <w:color w:val="auto"/>
                <w:sz w:val="24"/>
                <w:szCs w:val="24"/>
                <w:highlight w:val="none"/>
              </w:rPr>
              <w:t>库区围墙外侧须设置安全警示语和警示牌，警示内容分别为：</w:t>
            </w:r>
          </w:p>
          <w:p w14:paraId="4B65333D">
            <w:pPr>
              <w:spacing w:line="360" w:lineRule="auto"/>
              <w:ind w:firstLine="480" w:firstLineChars="200"/>
              <w:rPr>
                <w:color w:val="auto"/>
                <w:sz w:val="24"/>
                <w:szCs w:val="24"/>
                <w:highlight w:val="none"/>
              </w:rPr>
            </w:pPr>
            <w:r>
              <w:rPr>
                <w:color w:val="auto"/>
                <w:sz w:val="24"/>
                <w:szCs w:val="24"/>
                <w:highlight w:val="none"/>
              </w:rPr>
              <w:t>①仓库重地严禁烟火。</w:t>
            </w:r>
          </w:p>
          <w:p w14:paraId="7F49027B">
            <w:pPr>
              <w:spacing w:line="360" w:lineRule="auto"/>
              <w:ind w:firstLine="480" w:firstLineChars="200"/>
              <w:rPr>
                <w:color w:val="auto"/>
                <w:sz w:val="24"/>
                <w:szCs w:val="24"/>
                <w:highlight w:val="none"/>
              </w:rPr>
            </w:pPr>
            <w:r>
              <w:rPr>
                <w:color w:val="auto"/>
                <w:sz w:val="24"/>
                <w:szCs w:val="24"/>
                <w:highlight w:val="none"/>
              </w:rPr>
              <w:t>②仓库重地禁止吸烟。</w:t>
            </w:r>
          </w:p>
          <w:p w14:paraId="5017197A">
            <w:pPr>
              <w:spacing w:line="360" w:lineRule="auto"/>
              <w:ind w:firstLine="480" w:firstLineChars="200"/>
              <w:rPr>
                <w:color w:val="auto"/>
                <w:sz w:val="24"/>
                <w:szCs w:val="24"/>
                <w:highlight w:val="none"/>
              </w:rPr>
            </w:pPr>
            <w:r>
              <w:rPr>
                <w:color w:val="auto"/>
                <w:sz w:val="24"/>
                <w:szCs w:val="24"/>
                <w:highlight w:val="none"/>
              </w:rPr>
              <w:t>③仓库重地禁止燃放烟花爆竹。</w:t>
            </w:r>
          </w:p>
          <w:p w14:paraId="24DEC6E8">
            <w:pPr>
              <w:spacing w:line="360" w:lineRule="auto"/>
              <w:ind w:firstLine="480" w:firstLineChars="200"/>
              <w:rPr>
                <w:color w:val="auto"/>
                <w:sz w:val="24"/>
                <w:szCs w:val="24"/>
                <w:highlight w:val="none"/>
              </w:rPr>
            </w:pPr>
            <w:r>
              <w:rPr>
                <w:color w:val="auto"/>
                <w:sz w:val="24"/>
                <w:szCs w:val="24"/>
                <w:highlight w:val="none"/>
              </w:rPr>
              <w:t>库内设置警示内容为：库内禁止携带火种。</w:t>
            </w:r>
          </w:p>
          <w:p w14:paraId="76863268">
            <w:pPr>
              <w:spacing w:line="360" w:lineRule="auto"/>
              <w:ind w:firstLine="480" w:firstLineChars="200"/>
              <w:rPr>
                <w:color w:val="auto"/>
                <w:sz w:val="24"/>
                <w:szCs w:val="24"/>
                <w:highlight w:val="none"/>
              </w:rPr>
            </w:pPr>
            <w:r>
              <w:rPr>
                <w:color w:val="auto"/>
                <w:sz w:val="24"/>
                <w:szCs w:val="24"/>
                <w:highlight w:val="none"/>
              </w:rPr>
              <w:t>标志和警示牌按相关标准设置和布置。</w:t>
            </w:r>
          </w:p>
          <w:p w14:paraId="06B9E2E6">
            <w:pPr>
              <w:spacing w:line="360" w:lineRule="auto"/>
              <w:ind w:firstLine="482" w:firstLineChars="200"/>
              <w:rPr>
                <w:b/>
                <w:bCs/>
                <w:color w:val="auto"/>
                <w:sz w:val="24"/>
                <w:szCs w:val="24"/>
                <w:highlight w:val="none"/>
              </w:rPr>
            </w:pPr>
            <w:bookmarkStart w:id="33" w:name="_Toc11919"/>
            <w:r>
              <w:rPr>
                <w:b/>
                <w:bCs/>
                <w:color w:val="auto"/>
                <w:sz w:val="24"/>
                <w:szCs w:val="24"/>
                <w:highlight w:val="none"/>
              </w:rPr>
              <w:t>3、</w:t>
            </w:r>
            <w:r>
              <w:rPr>
                <w:rFonts w:hint="eastAsia"/>
                <w:b/>
                <w:bCs/>
                <w:color w:val="auto"/>
                <w:sz w:val="24"/>
                <w:szCs w:val="24"/>
                <w:highlight w:val="none"/>
                <w:lang w:val="en-US" w:eastAsia="zh-CN"/>
              </w:rPr>
              <w:t>新增</w:t>
            </w:r>
            <w:r>
              <w:rPr>
                <w:b/>
                <w:bCs/>
                <w:color w:val="auto"/>
                <w:sz w:val="24"/>
                <w:szCs w:val="24"/>
                <w:highlight w:val="none"/>
              </w:rPr>
              <w:t>主要设备设施一览表</w:t>
            </w:r>
            <w:bookmarkEnd w:id="33"/>
          </w:p>
          <w:p w14:paraId="1306A2E1">
            <w:pPr>
              <w:spacing w:line="360" w:lineRule="auto"/>
              <w:ind w:firstLine="480" w:firstLineChars="200"/>
              <w:rPr>
                <w:color w:val="auto"/>
                <w:sz w:val="24"/>
                <w:szCs w:val="24"/>
                <w:highlight w:val="none"/>
              </w:rPr>
            </w:pPr>
            <w:r>
              <w:rPr>
                <w:color w:val="auto"/>
                <w:sz w:val="24"/>
                <w:szCs w:val="24"/>
                <w:highlight w:val="none"/>
              </w:rPr>
              <w:t>项目</w:t>
            </w:r>
            <w:r>
              <w:rPr>
                <w:rFonts w:hint="eastAsia"/>
                <w:color w:val="auto"/>
                <w:sz w:val="24"/>
                <w:szCs w:val="24"/>
                <w:highlight w:val="none"/>
                <w:lang w:val="en-US" w:eastAsia="zh-CN"/>
              </w:rPr>
              <w:t>新增</w:t>
            </w:r>
            <w:r>
              <w:rPr>
                <w:color w:val="auto"/>
                <w:sz w:val="24"/>
                <w:szCs w:val="24"/>
                <w:highlight w:val="none"/>
              </w:rPr>
              <w:t>主要设备设施详见表2-</w:t>
            </w:r>
            <w:r>
              <w:rPr>
                <w:rFonts w:hint="eastAsia"/>
                <w:color w:val="auto"/>
                <w:sz w:val="24"/>
                <w:szCs w:val="24"/>
                <w:highlight w:val="none"/>
                <w:lang w:val="en-US" w:eastAsia="zh-CN"/>
              </w:rPr>
              <w:t>2</w:t>
            </w:r>
            <w:r>
              <w:rPr>
                <w:color w:val="auto"/>
                <w:sz w:val="24"/>
                <w:szCs w:val="24"/>
                <w:highlight w:val="none"/>
              </w:rPr>
              <w:t>所示。</w:t>
            </w:r>
          </w:p>
          <w:p w14:paraId="3BD2E443">
            <w:pPr>
              <w:spacing w:line="240" w:lineRule="auto"/>
              <w:jc w:val="center"/>
              <w:rPr>
                <w:b/>
                <w:bCs/>
                <w:color w:val="auto"/>
                <w:szCs w:val="21"/>
                <w:highlight w:val="none"/>
              </w:rPr>
            </w:pPr>
            <w:r>
              <w:rPr>
                <w:b/>
                <w:bCs/>
                <w:color w:val="auto"/>
                <w:szCs w:val="21"/>
                <w:highlight w:val="none"/>
              </w:rPr>
              <w:t>表2-</w:t>
            </w:r>
            <w:r>
              <w:rPr>
                <w:rFonts w:hint="eastAsia"/>
                <w:b/>
                <w:bCs/>
                <w:color w:val="auto"/>
                <w:szCs w:val="21"/>
                <w:highlight w:val="none"/>
                <w:lang w:val="en-US" w:eastAsia="zh-CN"/>
              </w:rPr>
              <w:t>2</w:t>
            </w:r>
            <w:r>
              <w:rPr>
                <w:b/>
                <w:bCs/>
                <w:color w:val="auto"/>
                <w:szCs w:val="21"/>
                <w:highlight w:val="none"/>
              </w:rPr>
              <w:t xml:space="preserve">  项目</w:t>
            </w:r>
            <w:r>
              <w:rPr>
                <w:rFonts w:hint="eastAsia"/>
                <w:b/>
                <w:bCs/>
                <w:color w:val="auto"/>
                <w:szCs w:val="21"/>
                <w:highlight w:val="none"/>
                <w:lang w:val="en-US" w:eastAsia="zh-CN"/>
              </w:rPr>
              <w:t>新增</w:t>
            </w:r>
            <w:r>
              <w:rPr>
                <w:b/>
                <w:bCs/>
                <w:color w:val="auto"/>
                <w:szCs w:val="21"/>
                <w:highlight w:val="none"/>
              </w:rPr>
              <w:t>主要工艺设备设施表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113"/>
              <w:gridCol w:w="1289"/>
              <w:gridCol w:w="1287"/>
            </w:tblGrid>
            <w:tr w14:paraId="4F3B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2" w:type="pct"/>
                  <w:vAlign w:val="center"/>
                </w:tcPr>
                <w:p w14:paraId="13329FDC">
                  <w:pPr>
                    <w:jc w:val="center"/>
                    <w:rPr>
                      <w:b/>
                      <w:bCs/>
                      <w:color w:val="auto"/>
                      <w:szCs w:val="21"/>
                      <w:highlight w:val="none"/>
                    </w:rPr>
                  </w:pPr>
                  <w:r>
                    <w:rPr>
                      <w:b/>
                      <w:bCs/>
                      <w:color w:val="auto"/>
                      <w:szCs w:val="21"/>
                      <w:highlight w:val="none"/>
                    </w:rPr>
                    <w:t>序号</w:t>
                  </w:r>
                </w:p>
              </w:tc>
              <w:tc>
                <w:tcPr>
                  <w:tcW w:w="2630" w:type="pct"/>
                  <w:vAlign w:val="center"/>
                </w:tcPr>
                <w:p w14:paraId="08887BC5">
                  <w:pPr>
                    <w:jc w:val="center"/>
                    <w:rPr>
                      <w:b/>
                      <w:bCs/>
                      <w:color w:val="auto"/>
                      <w:szCs w:val="21"/>
                      <w:highlight w:val="none"/>
                    </w:rPr>
                  </w:pPr>
                  <w:r>
                    <w:rPr>
                      <w:b/>
                      <w:bCs/>
                      <w:color w:val="auto"/>
                      <w:szCs w:val="21"/>
                      <w:highlight w:val="none"/>
                    </w:rPr>
                    <w:t>设备名称</w:t>
                  </w:r>
                </w:p>
              </w:tc>
              <w:tc>
                <w:tcPr>
                  <w:tcW w:w="824" w:type="pct"/>
                  <w:vAlign w:val="center"/>
                </w:tcPr>
                <w:p w14:paraId="377636BA">
                  <w:pPr>
                    <w:jc w:val="center"/>
                    <w:rPr>
                      <w:b/>
                      <w:bCs/>
                      <w:color w:val="auto"/>
                      <w:szCs w:val="21"/>
                      <w:highlight w:val="none"/>
                    </w:rPr>
                  </w:pPr>
                  <w:r>
                    <w:rPr>
                      <w:b/>
                      <w:bCs/>
                      <w:color w:val="auto"/>
                      <w:szCs w:val="21"/>
                      <w:highlight w:val="none"/>
                    </w:rPr>
                    <w:t>单位</w:t>
                  </w:r>
                </w:p>
              </w:tc>
              <w:tc>
                <w:tcPr>
                  <w:tcW w:w="823" w:type="pct"/>
                  <w:vAlign w:val="center"/>
                </w:tcPr>
                <w:p w14:paraId="152677A5">
                  <w:pPr>
                    <w:jc w:val="center"/>
                    <w:rPr>
                      <w:b/>
                      <w:bCs/>
                      <w:color w:val="auto"/>
                      <w:szCs w:val="21"/>
                      <w:highlight w:val="none"/>
                    </w:rPr>
                  </w:pPr>
                  <w:r>
                    <w:rPr>
                      <w:b/>
                      <w:bCs/>
                      <w:color w:val="auto"/>
                      <w:szCs w:val="21"/>
                      <w:highlight w:val="none"/>
                    </w:rPr>
                    <w:t>数量</w:t>
                  </w:r>
                </w:p>
              </w:tc>
            </w:tr>
            <w:tr w14:paraId="7333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22" w:type="pct"/>
                  <w:vAlign w:val="center"/>
                </w:tcPr>
                <w:p w14:paraId="71788991">
                  <w:pPr>
                    <w:jc w:val="center"/>
                    <w:rPr>
                      <w:color w:val="auto"/>
                      <w:szCs w:val="21"/>
                      <w:highlight w:val="none"/>
                    </w:rPr>
                  </w:pPr>
                  <w:r>
                    <w:rPr>
                      <w:color w:val="auto"/>
                      <w:szCs w:val="21"/>
                      <w:highlight w:val="none"/>
                    </w:rPr>
                    <w:t>1</w:t>
                  </w:r>
                </w:p>
              </w:tc>
              <w:tc>
                <w:tcPr>
                  <w:tcW w:w="2630" w:type="pct"/>
                  <w:vAlign w:val="center"/>
                </w:tcPr>
                <w:p w14:paraId="1B115AFE">
                  <w:pPr>
                    <w:jc w:val="center"/>
                    <w:rPr>
                      <w:color w:val="auto"/>
                      <w:szCs w:val="21"/>
                      <w:highlight w:val="none"/>
                    </w:rPr>
                  </w:pPr>
                  <w:r>
                    <w:rPr>
                      <w:color w:val="auto"/>
                      <w:szCs w:val="21"/>
                      <w:highlight w:val="none"/>
                    </w:rPr>
                    <w:t>专用配送运输车辆</w:t>
                  </w:r>
                </w:p>
              </w:tc>
              <w:tc>
                <w:tcPr>
                  <w:tcW w:w="824" w:type="pct"/>
                  <w:vAlign w:val="center"/>
                </w:tcPr>
                <w:p w14:paraId="7DC80BB8">
                  <w:pPr>
                    <w:jc w:val="center"/>
                    <w:rPr>
                      <w:color w:val="auto"/>
                      <w:szCs w:val="21"/>
                      <w:highlight w:val="none"/>
                    </w:rPr>
                  </w:pPr>
                  <w:r>
                    <w:rPr>
                      <w:color w:val="auto"/>
                      <w:szCs w:val="21"/>
                      <w:highlight w:val="none"/>
                    </w:rPr>
                    <w:t>辆</w:t>
                  </w:r>
                </w:p>
              </w:tc>
              <w:tc>
                <w:tcPr>
                  <w:tcW w:w="823" w:type="pct"/>
                  <w:vAlign w:val="center"/>
                </w:tcPr>
                <w:p w14:paraId="56577E35">
                  <w:pPr>
                    <w:jc w:val="center"/>
                    <w:rPr>
                      <w:color w:val="auto"/>
                      <w:szCs w:val="21"/>
                      <w:highlight w:val="none"/>
                    </w:rPr>
                  </w:pPr>
                  <w:r>
                    <w:rPr>
                      <w:color w:val="auto"/>
                      <w:szCs w:val="21"/>
                      <w:highlight w:val="none"/>
                    </w:rPr>
                    <w:t>2</w:t>
                  </w:r>
                </w:p>
              </w:tc>
            </w:tr>
            <w:tr w14:paraId="38E8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0E2ED49F">
                  <w:pPr>
                    <w:jc w:val="center"/>
                    <w:rPr>
                      <w:color w:val="auto"/>
                      <w:szCs w:val="21"/>
                      <w:highlight w:val="none"/>
                    </w:rPr>
                  </w:pPr>
                  <w:r>
                    <w:rPr>
                      <w:color w:val="auto"/>
                      <w:szCs w:val="21"/>
                      <w:highlight w:val="none"/>
                    </w:rPr>
                    <w:t>2</w:t>
                  </w:r>
                </w:p>
              </w:tc>
              <w:tc>
                <w:tcPr>
                  <w:tcW w:w="2630" w:type="pct"/>
                  <w:vAlign w:val="center"/>
                </w:tcPr>
                <w:p w14:paraId="4AF008D0">
                  <w:pPr>
                    <w:jc w:val="center"/>
                    <w:rPr>
                      <w:color w:val="auto"/>
                      <w:szCs w:val="21"/>
                      <w:highlight w:val="none"/>
                    </w:rPr>
                  </w:pPr>
                  <w:r>
                    <w:rPr>
                      <w:color w:val="auto"/>
                      <w:szCs w:val="21"/>
                      <w:highlight w:val="none"/>
                    </w:rPr>
                    <w:t>视频监控</w:t>
                  </w:r>
                </w:p>
              </w:tc>
              <w:tc>
                <w:tcPr>
                  <w:tcW w:w="824" w:type="pct"/>
                  <w:vAlign w:val="center"/>
                </w:tcPr>
                <w:p w14:paraId="7542220C">
                  <w:pPr>
                    <w:jc w:val="center"/>
                    <w:rPr>
                      <w:color w:val="auto"/>
                      <w:szCs w:val="21"/>
                      <w:highlight w:val="none"/>
                    </w:rPr>
                  </w:pPr>
                  <w:r>
                    <w:rPr>
                      <w:color w:val="auto"/>
                      <w:szCs w:val="21"/>
                      <w:highlight w:val="none"/>
                    </w:rPr>
                    <w:t>套</w:t>
                  </w:r>
                </w:p>
              </w:tc>
              <w:tc>
                <w:tcPr>
                  <w:tcW w:w="823" w:type="pct"/>
                  <w:vAlign w:val="center"/>
                </w:tcPr>
                <w:p w14:paraId="4C5C65C5">
                  <w:pPr>
                    <w:jc w:val="center"/>
                    <w:rPr>
                      <w:rFonts w:hint="eastAsia" w:eastAsia="宋体"/>
                      <w:color w:val="auto"/>
                      <w:szCs w:val="21"/>
                      <w:highlight w:val="none"/>
                      <w:lang w:eastAsia="zh-CN"/>
                    </w:rPr>
                  </w:pPr>
                  <w:r>
                    <w:rPr>
                      <w:rFonts w:hint="eastAsia"/>
                      <w:color w:val="auto"/>
                      <w:szCs w:val="21"/>
                      <w:highlight w:val="none"/>
                      <w:lang w:val="en-US" w:eastAsia="zh-CN"/>
                    </w:rPr>
                    <w:t>3</w:t>
                  </w:r>
                </w:p>
              </w:tc>
            </w:tr>
            <w:tr w14:paraId="4252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22" w:type="pct"/>
                  <w:vAlign w:val="center"/>
                </w:tcPr>
                <w:p w14:paraId="32EAE295">
                  <w:pPr>
                    <w:jc w:val="center"/>
                    <w:rPr>
                      <w:color w:val="auto"/>
                      <w:szCs w:val="21"/>
                      <w:highlight w:val="none"/>
                    </w:rPr>
                  </w:pPr>
                  <w:r>
                    <w:rPr>
                      <w:color w:val="auto"/>
                      <w:szCs w:val="21"/>
                      <w:highlight w:val="none"/>
                    </w:rPr>
                    <w:t>3</w:t>
                  </w:r>
                </w:p>
              </w:tc>
              <w:tc>
                <w:tcPr>
                  <w:tcW w:w="2630" w:type="pct"/>
                  <w:vAlign w:val="center"/>
                </w:tcPr>
                <w:p w14:paraId="31AB83D1">
                  <w:pPr>
                    <w:jc w:val="center"/>
                    <w:rPr>
                      <w:color w:val="auto"/>
                      <w:szCs w:val="21"/>
                      <w:highlight w:val="none"/>
                    </w:rPr>
                  </w:pPr>
                  <w:r>
                    <w:rPr>
                      <w:color w:val="auto"/>
                      <w:szCs w:val="21"/>
                      <w:highlight w:val="none"/>
                    </w:rPr>
                    <w:t>入侵监控</w:t>
                  </w:r>
                </w:p>
              </w:tc>
              <w:tc>
                <w:tcPr>
                  <w:tcW w:w="824" w:type="pct"/>
                  <w:vAlign w:val="center"/>
                </w:tcPr>
                <w:p w14:paraId="7ABE039A">
                  <w:pPr>
                    <w:jc w:val="center"/>
                    <w:rPr>
                      <w:color w:val="auto"/>
                      <w:szCs w:val="21"/>
                      <w:highlight w:val="none"/>
                    </w:rPr>
                  </w:pPr>
                  <w:r>
                    <w:rPr>
                      <w:color w:val="auto"/>
                      <w:szCs w:val="21"/>
                      <w:highlight w:val="none"/>
                    </w:rPr>
                    <w:t>套</w:t>
                  </w:r>
                </w:p>
              </w:tc>
              <w:tc>
                <w:tcPr>
                  <w:tcW w:w="823" w:type="pct"/>
                  <w:vAlign w:val="center"/>
                </w:tcPr>
                <w:p w14:paraId="6B4465A1">
                  <w:pPr>
                    <w:jc w:val="center"/>
                    <w:rPr>
                      <w:rFonts w:hint="eastAsia" w:eastAsia="宋体"/>
                      <w:color w:val="auto"/>
                      <w:szCs w:val="21"/>
                      <w:highlight w:val="none"/>
                      <w:lang w:eastAsia="zh-CN"/>
                    </w:rPr>
                  </w:pPr>
                  <w:r>
                    <w:rPr>
                      <w:rFonts w:hint="eastAsia"/>
                      <w:color w:val="auto"/>
                      <w:szCs w:val="21"/>
                      <w:highlight w:val="none"/>
                      <w:lang w:val="en-US" w:eastAsia="zh-CN"/>
                    </w:rPr>
                    <w:t>3</w:t>
                  </w:r>
                </w:p>
              </w:tc>
            </w:tr>
            <w:tr w14:paraId="3FA7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234C9F4E">
                  <w:pPr>
                    <w:jc w:val="center"/>
                    <w:rPr>
                      <w:color w:val="auto"/>
                      <w:szCs w:val="21"/>
                      <w:highlight w:val="none"/>
                    </w:rPr>
                  </w:pPr>
                  <w:r>
                    <w:rPr>
                      <w:color w:val="auto"/>
                      <w:szCs w:val="21"/>
                      <w:highlight w:val="none"/>
                    </w:rPr>
                    <w:t>4</w:t>
                  </w:r>
                </w:p>
              </w:tc>
              <w:tc>
                <w:tcPr>
                  <w:tcW w:w="2630" w:type="pct"/>
                  <w:vAlign w:val="center"/>
                </w:tcPr>
                <w:p w14:paraId="7797D10C">
                  <w:pPr>
                    <w:jc w:val="center"/>
                    <w:rPr>
                      <w:color w:val="auto"/>
                      <w:szCs w:val="21"/>
                      <w:highlight w:val="none"/>
                    </w:rPr>
                  </w:pPr>
                  <w:r>
                    <w:rPr>
                      <w:color w:val="auto"/>
                      <w:szCs w:val="21"/>
                      <w:highlight w:val="none"/>
                    </w:rPr>
                    <w:t>配电箱及线路</w:t>
                  </w:r>
                </w:p>
              </w:tc>
              <w:tc>
                <w:tcPr>
                  <w:tcW w:w="824" w:type="pct"/>
                  <w:vAlign w:val="center"/>
                </w:tcPr>
                <w:p w14:paraId="2F3D5EB7">
                  <w:pPr>
                    <w:jc w:val="center"/>
                    <w:rPr>
                      <w:color w:val="auto"/>
                      <w:szCs w:val="21"/>
                      <w:highlight w:val="none"/>
                    </w:rPr>
                  </w:pPr>
                  <w:r>
                    <w:rPr>
                      <w:color w:val="auto"/>
                      <w:szCs w:val="21"/>
                      <w:highlight w:val="none"/>
                    </w:rPr>
                    <w:t>套</w:t>
                  </w:r>
                </w:p>
              </w:tc>
              <w:tc>
                <w:tcPr>
                  <w:tcW w:w="823" w:type="pct"/>
                  <w:vAlign w:val="center"/>
                </w:tcPr>
                <w:p w14:paraId="7D43D085">
                  <w:pPr>
                    <w:jc w:val="center"/>
                    <w:rPr>
                      <w:rFonts w:hint="eastAsia" w:eastAsia="宋体"/>
                      <w:color w:val="auto"/>
                      <w:szCs w:val="21"/>
                      <w:highlight w:val="none"/>
                      <w:lang w:eastAsia="zh-CN"/>
                    </w:rPr>
                  </w:pPr>
                  <w:r>
                    <w:rPr>
                      <w:rFonts w:hint="eastAsia"/>
                      <w:color w:val="auto"/>
                      <w:szCs w:val="21"/>
                      <w:highlight w:val="none"/>
                      <w:lang w:val="en-US" w:eastAsia="zh-CN"/>
                    </w:rPr>
                    <w:t>3</w:t>
                  </w:r>
                </w:p>
              </w:tc>
            </w:tr>
            <w:tr w14:paraId="02A0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59C03DE7">
                  <w:pPr>
                    <w:jc w:val="center"/>
                    <w:rPr>
                      <w:color w:val="auto"/>
                      <w:szCs w:val="21"/>
                      <w:highlight w:val="none"/>
                    </w:rPr>
                  </w:pPr>
                  <w:r>
                    <w:rPr>
                      <w:color w:val="auto"/>
                      <w:szCs w:val="21"/>
                      <w:highlight w:val="none"/>
                    </w:rPr>
                    <w:t>5</w:t>
                  </w:r>
                </w:p>
              </w:tc>
              <w:tc>
                <w:tcPr>
                  <w:tcW w:w="2630" w:type="pct"/>
                  <w:vAlign w:val="center"/>
                </w:tcPr>
                <w:p w14:paraId="584A0861">
                  <w:pPr>
                    <w:jc w:val="center"/>
                    <w:rPr>
                      <w:color w:val="auto"/>
                      <w:szCs w:val="21"/>
                      <w:highlight w:val="none"/>
                    </w:rPr>
                  </w:pPr>
                  <w:r>
                    <w:rPr>
                      <w:color w:val="auto"/>
                      <w:szCs w:val="21"/>
                      <w:highlight w:val="none"/>
                    </w:rPr>
                    <w:t>库用工具及仪器</w:t>
                  </w:r>
                </w:p>
              </w:tc>
              <w:tc>
                <w:tcPr>
                  <w:tcW w:w="824" w:type="pct"/>
                  <w:vAlign w:val="center"/>
                </w:tcPr>
                <w:p w14:paraId="7893ADFF">
                  <w:pPr>
                    <w:jc w:val="center"/>
                    <w:rPr>
                      <w:color w:val="auto"/>
                      <w:szCs w:val="21"/>
                      <w:highlight w:val="none"/>
                    </w:rPr>
                  </w:pPr>
                  <w:r>
                    <w:rPr>
                      <w:color w:val="auto"/>
                      <w:szCs w:val="21"/>
                      <w:highlight w:val="none"/>
                    </w:rPr>
                    <w:t>套</w:t>
                  </w:r>
                </w:p>
              </w:tc>
              <w:tc>
                <w:tcPr>
                  <w:tcW w:w="823" w:type="pct"/>
                  <w:vAlign w:val="center"/>
                </w:tcPr>
                <w:p w14:paraId="788E6B8E">
                  <w:pPr>
                    <w:jc w:val="center"/>
                    <w:rPr>
                      <w:rFonts w:hint="eastAsia" w:eastAsia="宋体"/>
                      <w:color w:val="auto"/>
                      <w:szCs w:val="21"/>
                      <w:highlight w:val="none"/>
                      <w:lang w:eastAsia="zh-CN"/>
                    </w:rPr>
                  </w:pPr>
                  <w:r>
                    <w:rPr>
                      <w:rFonts w:hint="eastAsia"/>
                      <w:color w:val="auto"/>
                      <w:szCs w:val="21"/>
                      <w:highlight w:val="none"/>
                      <w:lang w:val="en-US" w:eastAsia="zh-CN"/>
                    </w:rPr>
                    <w:t>3</w:t>
                  </w:r>
                </w:p>
              </w:tc>
            </w:tr>
            <w:tr w14:paraId="2890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622D5336">
                  <w:pPr>
                    <w:jc w:val="center"/>
                    <w:rPr>
                      <w:color w:val="auto"/>
                      <w:szCs w:val="21"/>
                      <w:highlight w:val="none"/>
                    </w:rPr>
                  </w:pPr>
                  <w:r>
                    <w:rPr>
                      <w:color w:val="auto"/>
                      <w:szCs w:val="21"/>
                      <w:highlight w:val="none"/>
                    </w:rPr>
                    <w:t>6</w:t>
                  </w:r>
                </w:p>
              </w:tc>
              <w:tc>
                <w:tcPr>
                  <w:tcW w:w="2630" w:type="pct"/>
                  <w:vAlign w:val="center"/>
                </w:tcPr>
                <w:p w14:paraId="1BC4A26A">
                  <w:pPr>
                    <w:jc w:val="center"/>
                    <w:rPr>
                      <w:color w:val="auto"/>
                      <w:szCs w:val="21"/>
                      <w:highlight w:val="none"/>
                    </w:rPr>
                  </w:pPr>
                  <w:r>
                    <w:rPr>
                      <w:color w:val="auto"/>
                      <w:szCs w:val="21"/>
                      <w:highlight w:val="none"/>
                    </w:rPr>
                    <w:t>烟花爆竹专用车</w:t>
                  </w:r>
                </w:p>
              </w:tc>
              <w:tc>
                <w:tcPr>
                  <w:tcW w:w="824" w:type="pct"/>
                  <w:vAlign w:val="center"/>
                </w:tcPr>
                <w:p w14:paraId="5A1F4851">
                  <w:pPr>
                    <w:jc w:val="center"/>
                    <w:rPr>
                      <w:color w:val="auto"/>
                      <w:szCs w:val="21"/>
                      <w:highlight w:val="none"/>
                    </w:rPr>
                  </w:pPr>
                  <w:r>
                    <w:rPr>
                      <w:color w:val="auto"/>
                      <w:szCs w:val="21"/>
                      <w:highlight w:val="none"/>
                    </w:rPr>
                    <w:t>辆</w:t>
                  </w:r>
                </w:p>
              </w:tc>
              <w:tc>
                <w:tcPr>
                  <w:tcW w:w="823" w:type="pct"/>
                  <w:vAlign w:val="center"/>
                </w:tcPr>
                <w:p w14:paraId="76EE8591">
                  <w:pPr>
                    <w:jc w:val="center"/>
                    <w:rPr>
                      <w:rFonts w:hint="default" w:eastAsia="宋体"/>
                      <w:color w:val="auto"/>
                      <w:szCs w:val="21"/>
                      <w:highlight w:val="none"/>
                      <w:lang w:val="en-US" w:eastAsia="zh-CN"/>
                    </w:rPr>
                  </w:pPr>
                  <w:r>
                    <w:rPr>
                      <w:rFonts w:hint="eastAsia"/>
                      <w:color w:val="auto"/>
                      <w:szCs w:val="21"/>
                      <w:highlight w:val="none"/>
                      <w:lang w:val="en-US" w:eastAsia="zh-CN"/>
                    </w:rPr>
                    <w:t>12</w:t>
                  </w:r>
                </w:p>
              </w:tc>
            </w:tr>
            <w:tr w14:paraId="3D6A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07F0E4F1">
                  <w:pPr>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2630" w:type="pct"/>
                  <w:vAlign w:val="center"/>
                </w:tcPr>
                <w:p w14:paraId="3299DB57">
                  <w:pPr>
                    <w:jc w:val="center"/>
                    <w:rPr>
                      <w:rFonts w:hint="default" w:eastAsia="宋体"/>
                      <w:color w:val="auto"/>
                      <w:szCs w:val="21"/>
                      <w:highlight w:val="none"/>
                      <w:lang w:val="en-US" w:eastAsia="zh-CN"/>
                    </w:rPr>
                  </w:pPr>
                  <w:r>
                    <w:rPr>
                      <w:rFonts w:hint="eastAsia"/>
                      <w:color w:val="auto"/>
                      <w:szCs w:val="21"/>
                      <w:highlight w:val="none"/>
                      <w:lang w:val="en-US" w:eastAsia="zh-CN"/>
                    </w:rPr>
                    <w:t>小型平板车</w:t>
                  </w:r>
                </w:p>
              </w:tc>
              <w:tc>
                <w:tcPr>
                  <w:tcW w:w="824" w:type="pct"/>
                  <w:vAlign w:val="center"/>
                </w:tcPr>
                <w:p w14:paraId="79846E82">
                  <w:pPr>
                    <w:jc w:val="center"/>
                    <w:rPr>
                      <w:rFonts w:hint="eastAsia" w:eastAsia="宋体"/>
                      <w:color w:val="auto"/>
                      <w:szCs w:val="21"/>
                      <w:highlight w:val="none"/>
                      <w:lang w:val="en-US" w:eastAsia="zh-CN"/>
                    </w:rPr>
                  </w:pPr>
                  <w:r>
                    <w:rPr>
                      <w:rFonts w:hint="eastAsia"/>
                      <w:color w:val="auto"/>
                      <w:szCs w:val="21"/>
                      <w:highlight w:val="none"/>
                      <w:lang w:val="en-US" w:eastAsia="zh-CN"/>
                    </w:rPr>
                    <w:t>辆</w:t>
                  </w:r>
                </w:p>
              </w:tc>
              <w:tc>
                <w:tcPr>
                  <w:tcW w:w="823" w:type="pct"/>
                  <w:vAlign w:val="center"/>
                </w:tcPr>
                <w:p w14:paraId="0DA42513">
                  <w:pPr>
                    <w:jc w:val="center"/>
                    <w:rPr>
                      <w:rFonts w:hint="default"/>
                      <w:color w:val="auto"/>
                      <w:szCs w:val="21"/>
                      <w:highlight w:val="none"/>
                      <w:lang w:val="en-US" w:eastAsia="zh-CN"/>
                    </w:rPr>
                  </w:pPr>
                  <w:r>
                    <w:rPr>
                      <w:rFonts w:hint="eastAsia"/>
                      <w:color w:val="auto"/>
                      <w:szCs w:val="21"/>
                      <w:highlight w:val="none"/>
                      <w:lang w:val="en-US" w:eastAsia="zh-CN"/>
                    </w:rPr>
                    <w:t>4</w:t>
                  </w:r>
                </w:p>
              </w:tc>
            </w:tr>
            <w:tr w14:paraId="3C7A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2A687398">
                  <w:pPr>
                    <w:jc w:val="center"/>
                    <w:rPr>
                      <w:rFonts w:hint="default"/>
                      <w:color w:val="auto"/>
                      <w:szCs w:val="21"/>
                      <w:highlight w:val="none"/>
                      <w:lang w:val="en-US" w:eastAsia="zh-CN"/>
                    </w:rPr>
                  </w:pPr>
                  <w:r>
                    <w:rPr>
                      <w:rFonts w:hint="eastAsia"/>
                      <w:color w:val="auto"/>
                      <w:szCs w:val="21"/>
                      <w:highlight w:val="none"/>
                      <w:lang w:val="en-US" w:eastAsia="zh-CN"/>
                    </w:rPr>
                    <w:t>8</w:t>
                  </w:r>
                </w:p>
              </w:tc>
              <w:tc>
                <w:tcPr>
                  <w:tcW w:w="2630" w:type="pct"/>
                  <w:vAlign w:val="center"/>
                </w:tcPr>
                <w:p w14:paraId="1842F3CA">
                  <w:pPr>
                    <w:jc w:val="center"/>
                    <w:rPr>
                      <w:rFonts w:hint="default"/>
                      <w:color w:val="auto"/>
                      <w:szCs w:val="21"/>
                      <w:highlight w:val="none"/>
                      <w:lang w:val="en-US" w:eastAsia="zh-CN"/>
                    </w:rPr>
                  </w:pPr>
                  <w:r>
                    <w:rPr>
                      <w:rFonts w:hint="eastAsia"/>
                      <w:color w:val="auto"/>
                      <w:szCs w:val="21"/>
                      <w:highlight w:val="none"/>
                      <w:lang w:val="en-US" w:eastAsia="zh-CN"/>
                    </w:rPr>
                    <w:t>消防栓</w:t>
                  </w:r>
                </w:p>
              </w:tc>
              <w:tc>
                <w:tcPr>
                  <w:tcW w:w="824" w:type="pct"/>
                  <w:vAlign w:val="center"/>
                </w:tcPr>
                <w:p w14:paraId="0AB5B4F2">
                  <w:pPr>
                    <w:jc w:val="center"/>
                    <w:rPr>
                      <w:rFonts w:hint="default"/>
                      <w:color w:val="auto"/>
                      <w:szCs w:val="21"/>
                      <w:highlight w:val="none"/>
                      <w:lang w:val="en-US" w:eastAsia="zh-CN"/>
                    </w:rPr>
                  </w:pPr>
                  <w:r>
                    <w:rPr>
                      <w:rFonts w:hint="eastAsia"/>
                      <w:color w:val="auto"/>
                      <w:szCs w:val="21"/>
                      <w:highlight w:val="none"/>
                      <w:lang w:val="en-US" w:eastAsia="zh-CN"/>
                    </w:rPr>
                    <w:t>个</w:t>
                  </w:r>
                </w:p>
              </w:tc>
              <w:tc>
                <w:tcPr>
                  <w:tcW w:w="823" w:type="pct"/>
                  <w:vAlign w:val="center"/>
                </w:tcPr>
                <w:p w14:paraId="7D2080D3">
                  <w:pPr>
                    <w:jc w:val="center"/>
                    <w:rPr>
                      <w:rFonts w:hint="default"/>
                      <w:color w:val="auto"/>
                      <w:szCs w:val="21"/>
                      <w:highlight w:val="none"/>
                      <w:lang w:val="en-US" w:eastAsia="zh-CN"/>
                    </w:rPr>
                  </w:pPr>
                  <w:r>
                    <w:rPr>
                      <w:rFonts w:hint="eastAsia"/>
                      <w:color w:val="auto"/>
                      <w:szCs w:val="21"/>
                      <w:highlight w:val="none"/>
                      <w:lang w:val="en-US" w:eastAsia="zh-CN"/>
                    </w:rPr>
                    <w:t>12</w:t>
                  </w:r>
                </w:p>
              </w:tc>
            </w:tr>
            <w:tr w14:paraId="1AA7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4FDB9FF9">
                  <w:pPr>
                    <w:jc w:val="center"/>
                    <w:rPr>
                      <w:rFonts w:hint="default"/>
                      <w:color w:val="auto"/>
                      <w:szCs w:val="21"/>
                      <w:highlight w:val="none"/>
                      <w:lang w:val="en-US" w:eastAsia="zh-CN"/>
                    </w:rPr>
                  </w:pPr>
                  <w:r>
                    <w:rPr>
                      <w:rFonts w:hint="eastAsia"/>
                      <w:color w:val="auto"/>
                      <w:szCs w:val="21"/>
                      <w:highlight w:val="none"/>
                      <w:lang w:val="en-US" w:eastAsia="zh-CN"/>
                    </w:rPr>
                    <w:t>9</w:t>
                  </w:r>
                </w:p>
              </w:tc>
              <w:tc>
                <w:tcPr>
                  <w:tcW w:w="2630" w:type="pct"/>
                  <w:vAlign w:val="center"/>
                </w:tcPr>
                <w:p w14:paraId="4D89B41A">
                  <w:pPr>
                    <w:jc w:val="center"/>
                    <w:rPr>
                      <w:rFonts w:hint="default"/>
                      <w:color w:val="auto"/>
                      <w:szCs w:val="21"/>
                      <w:highlight w:val="none"/>
                      <w:lang w:val="en-US" w:eastAsia="zh-CN"/>
                    </w:rPr>
                  </w:pPr>
                  <w:r>
                    <w:rPr>
                      <w:rFonts w:hint="eastAsia"/>
                      <w:color w:val="auto"/>
                      <w:szCs w:val="21"/>
                      <w:highlight w:val="none"/>
                      <w:lang w:val="en-US" w:eastAsia="zh-CN"/>
                    </w:rPr>
                    <w:t>灭火器</w:t>
                  </w:r>
                </w:p>
              </w:tc>
              <w:tc>
                <w:tcPr>
                  <w:tcW w:w="824" w:type="pct"/>
                  <w:vAlign w:val="center"/>
                </w:tcPr>
                <w:p w14:paraId="78FE2F92">
                  <w:pPr>
                    <w:jc w:val="center"/>
                    <w:rPr>
                      <w:rFonts w:hint="default"/>
                      <w:color w:val="auto"/>
                      <w:szCs w:val="21"/>
                      <w:highlight w:val="none"/>
                      <w:lang w:val="en-US" w:eastAsia="zh-CN"/>
                    </w:rPr>
                  </w:pPr>
                  <w:r>
                    <w:rPr>
                      <w:rFonts w:hint="eastAsia"/>
                      <w:color w:val="auto"/>
                      <w:szCs w:val="21"/>
                      <w:highlight w:val="none"/>
                      <w:lang w:val="en-US" w:eastAsia="zh-CN"/>
                    </w:rPr>
                    <w:t>个</w:t>
                  </w:r>
                </w:p>
              </w:tc>
              <w:tc>
                <w:tcPr>
                  <w:tcW w:w="823" w:type="pct"/>
                  <w:vAlign w:val="center"/>
                </w:tcPr>
                <w:p w14:paraId="5FDFFEAE">
                  <w:pPr>
                    <w:jc w:val="center"/>
                    <w:rPr>
                      <w:rFonts w:hint="default"/>
                      <w:color w:val="auto"/>
                      <w:szCs w:val="21"/>
                      <w:highlight w:val="none"/>
                      <w:lang w:val="en-US" w:eastAsia="zh-CN"/>
                    </w:rPr>
                  </w:pPr>
                  <w:r>
                    <w:rPr>
                      <w:rFonts w:hint="eastAsia"/>
                      <w:color w:val="auto"/>
                      <w:szCs w:val="21"/>
                      <w:highlight w:val="none"/>
                      <w:lang w:val="en-US" w:eastAsia="zh-CN"/>
                    </w:rPr>
                    <w:t>48</w:t>
                  </w:r>
                </w:p>
              </w:tc>
            </w:tr>
            <w:tr w14:paraId="2D7E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6B2E7939">
                  <w:pPr>
                    <w:jc w:val="center"/>
                    <w:rPr>
                      <w:rFonts w:hint="default"/>
                      <w:color w:val="auto"/>
                      <w:szCs w:val="21"/>
                      <w:highlight w:val="none"/>
                      <w:lang w:val="en-US" w:eastAsia="zh-CN"/>
                    </w:rPr>
                  </w:pPr>
                  <w:r>
                    <w:rPr>
                      <w:rFonts w:hint="eastAsia"/>
                      <w:color w:val="auto"/>
                      <w:szCs w:val="21"/>
                      <w:highlight w:val="none"/>
                      <w:lang w:val="en-US" w:eastAsia="zh-CN"/>
                    </w:rPr>
                    <w:t>10</w:t>
                  </w:r>
                </w:p>
              </w:tc>
              <w:tc>
                <w:tcPr>
                  <w:tcW w:w="2630" w:type="pct"/>
                  <w:vAlign w:val="center"/>
                </w:tcPr>
                <w:p w14:paraId="6155089D">
                  <w:pPr>
                    <w:jc w:val="center"/>
                    <w:rPr>
                      <w:rFonts w:hint="default"/>
                      <w:color w:val="auto"/>
                      <w:szCs w:val="21"/>
                      <w:highlight w:val="none"/>
                      <w:lang w:val="en-US" w:eastAsia="zh-CN"/>
                    </w:rPr>
                  </w:pPr>
                  <w:r>
                    <w:rPr>
                      <w:rFonts w:hint="eastAsia"/>
                      <w:color w:val="auto"/>
                      <w:szCs w:val="21"/>
                      <w:highlight w:val="none"/>
                      <w:lang w:val="en-US" w:eastAsia="zh-CN"/>
                    </w:rPr>
                    <w:t>静电棒</w:t>
                  </w:r>
                </w:p>
              </w:tc>
              <w:tc>
                <w:tcPr>
                  <w:tcW w:w="824" w:type="pct"/>
                  <w:vAlign w:val="center"/>
                </w:tcPr>
                <w:p w14:paraId="478C336A">
                  <w:pPr>
                    <w:jc w:val="center"/>
                    <w:rPr>
                      <w:rFonts w:hint="default"/>
                      <w:color w:val="auto"/>
                      <w:szCs w:val="21"/>
                      <w:highlight w:val="none"/>
                      <w:lang w:val="en-US" w:eastAsia="zh-CN"/>
                    </w:rPr>
                  </w:pPr>
                  <w:r>
                    <w:rPr>
                      <w:rFonts w:hint="eastAsia"/>
                      <w:color w:val="auto"/>
                      <w:szCs w:val="21"/>
                      <w:highlight w:val="none"/>
                      <w:lang w:val="en-US" w:eastAsia="zh-CN"/>
                    </w:rPr>
                    <w:t>根</w:t>
                  </w:r>
                </w:p>
              </w:tc>
              <w:tc>
                <w:tcPr>
                  <w:tcW w:w="823" w:type="pct"/>
                  <w:vAlign w:val="center"/>
                </w:tcPr>
                <w:p w14:paraId="4933D418">
                  <w:pPr>
                    <w:jc w:val="center"/>
                    <w:rPr>
                      <w:rFonts w:hint="default"/>
                      <w:color w:val="auto"/>
                      <w:szCs w:val="21"/>
                      <w:highlight w:val="none"/>
                      <w:lang w:val="en-US" w:eastAsia="zh-CN"/>
                    </w:rPr>
                  </w:pPr>
                  <w:r>
                    <w:rPr>
                      <w:rFonts w:hint="eastAsia"/>
                      <w:color w:val="auto"/>
                      <w:szCs w:val="21"/>
                      <w:highlight w:val="none"/>
                      <w:lang w:val="en-US" w:eastAsia="zh-CN"/>
                    </w:rPr>
                    <w:t>24</w:t>
                  </w:r>
                </w:p>
              </w:tc>
            </w:tr>
            <w:tr w14:paraId="126C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763C53E4">
                  <w:pPr>
                    <w:jc w:val="center"/>
                    <w:rPr>
                      <w:rFonts w:hint="default"/>
                      <w:color w:val="auto"/>
                      <w:szCs w:val="21"/>
                      <w:highlight w:val="none"/>
                      <w:lang w:val="en-US" w:eastAsia="zh-CN"/>
                    </w:rPr>
                  </w:pPr>
                  <w:r>
                    <w:rPr>
                      <w:rFonts w:hint="eastAsia"/>
                      <w:color w:val="auto"/>
                      <w:szCs w:val="21"/>
                      <w:highlight w:val="none"/>
                      <w:lang w:val="en-US" w:eastAsia="zh-CN"/>
                    </w:rPr>
                    <w:t>11</w:t>
                  </w:r>
                </w:p>
              </w:tc>
              <w:tc>
                <w:tcPr>
                  <w:tcW w:w="2630" w:type="pct"/>
                  <w:vAlign w:val="center"/>
                </w:tcPr>
                <w:p w14:paraId="7F0FCD7C">
                  <w:pPr>
                    <w:jc w:val="center"/>
                    <w:rPr>
                      <w:rFonts w:hint="default"/>
                      <w:color w:val="auto"/>
                      <w:szCs w:val="21"/>
                      <w:highlight w:val="none"/>
                      <w:lang w:val="en-US" w:eastAsia="zh-CN"/>
                    </w:rPr>
                  </w:pPr>
                  <w:r>
                    <w:rPr>
                      <w:rFonts w:hint="eastAsia"/>
                      <w:color w:val="auto"/>
                      <w:szCs w:val="21"/>
                      <w:highlight w:val="none"/>
                      <w:lang w:val="en-US" w:eastAsia="zh-CN"/>
                    </w:rPr>
                    <w:t>避雷针</w:t>
                  </w:r>
                </w:p>
              </w:tc>
              <w:tc>
                <w:tcPr>
                  <w:tcW w:w="824" w:type="pct"/>
                  <w:vAlign w:val="center"/>
                </w:tcPr>
                <w:p w14:paraId="663E3399">
                  <w:pPr>
                    <w:jc w:val="center"/>
                    <w:rPr>
                      <w:rFonts w:hint="default"/>
                      <w:color w:val="auto"/>
                      <w:szCs w:val="21"/>
                      <w:highlight w:val="none"/>
                      <w:lang w:val="en-US" w:eastAsia="zh-CN"/>
                    </w:rPr>
                  </w:pPr>
                  <w:r>
                    <w:rPr>
                      <w:rFonts w:hint="eastAsia"/>
                      <w:color w:val="auto"/>
                      <w:szCs w:val="21"/>
                      <w:highlight w:val="none"/>
                      <w:lang w:val="en-US" w:eastAsia="zh-CN"/>
                    </w:rPr>
                    <w:t>根</w:t>
                  </w:r>
                </w:p>
              </w:tc>
              <w:tc>
                <w:tcPr>
                  <w:tcW w:w="823" w:type="pct"/>
                  <w:vAlign w:val="center"/>
                </w:tcPr>
                <w:p w14:paraId="3011FFD1">
                  <w:pPr>
                    <w:jc w:val="center"/>
                    <w:rPr>
                      <w:rFonts w:hint="default"/>
                      <w:color w:val="auto"/>
                      <w:szCs w:val="21"/>
                      <w:highlight w:val="none"/>
                      <w:lang w:val="en-US" w:eastAsia="zh-CN"/>
                    </w:rPr>
                  </w:pPr>
                  <w:r>
                    <w:rPr>
                      <w:rFonts w:hint="eastAsia"/>
                      <w:color w:val="auto"/>
                      <w:szCs w:val="21"/>
                      <w:highlight w:val="none"/>
                      <w:lang w:val="en-US" w:eastAsia="zh-CN"/>
                    </w:rPr>
                    <w:t>8</w:t>
                  </w:r>
                </w:p>
              </w:tc>
            </w:tr>
            <w:bookmarkEnd w:id="17"/>
            <w:bookmarkEnd w:id="18"/>
            <w:bookmarkEnd w:id="19"/>
          </w:tbl>
          <w:p w14:paraId="5D76D554">
            <w:pPr>
              <w:numPr>
                <w:ilvl w:val="0"/>
                <w:numId w:val="1"/>
              </w:num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产品方案</w:t>
            </w:r>
          </w:p>
          <w:p w14:paraId="2BA58A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w:t>
            </w:r>
            <w:r>
              <w:rPr>
                <w:rFonts w:ascii="宋体" w:hAnsi="宋体" w:eastAsia="宋体" w:cs="宋体"/>
                <w:color w:val="auto"/>
                <w:sz w:val="24"/>
                <w:szCs w:val="24"/>
                <w:highlight w:val="none"/>
              </w:rPr>
              <w:t>烟花爆竹工程设计安全标准</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w:t>
            </w:r>
            <w:r>
              <w:rPr>
                <w:rFonts w:ascii="宋体" w:hAnsi="宋体" w:eastAsia="宋体" w:cs="宋体"/>
                <w:color w:val="auto"/>
                <w:sz w:val="24"/>
                <w:szCs w:val="24"/>
                <w:highlight w:val="none"/>
              </w:rPr>
              <w:t>GB 50161—2022</w:t>
            </w:r>
            <w:r>
              <w:rPr>
                <w:rFonts w:hint="eastAsia" w:ascii="宋体" w:hAnsi="宋体" w:cs="宋体"/>
                <w:color w:val="auto"/>
                <w:sz w:val="24"/>
                <w:szCs w:val="24"/>
                <w:highlight w:val="none"/>
                <w:lang w:val="en-US" w:eastAsia="zh-CN"/>
              </w:rPr>
              <w:t>）</w:t>
            </w:r>
            <w:r>
              <w:rPr>
                <w:rFonts w:ascii="宋体" w:hAnsi="宋体" w:eastAsia="宋体" w:cs="宋体"/>
                <w:color w:val="auto"/>
                <w:sz w:val="24"/>
                <w:szCs w:val="24"/>
                <w:highlight w:val="none"/>
              </w:rPr>
              <w:t>危险性建(构)筑物的危险等级应按下列规定划分：</w:t>
            </w:r>
          </w:p>
          <w:p w14:paraId="7C339D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1.1级建(构)筑物，为建(构)筑物内的危险品在制造、储存、运输中具有整体爆炸危险或有迸射危险，其破坏效应将波及周围。可根据破坏能力划分为下列等级：</w:t>
            </w:r>
          </w:p>
          <w:p w14:paraId="6D9A0AC8">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Chars="0" w:firstLine="480" w:firstLineChars="200"/>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¹级建(构)筑物，为建(构)筑物内的危险品发生爆炸事故时，其破坏能力相当于TNT的厂房和仓库，典型配方药物的TNT当量系数应符合本标准附录A的规定；</w:t>
            </w:r>
          </w:p>
          <w:p w14:paraId="6128EF4F">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Chars="0" w:firstLine="480" w:firstLineChars="200"/>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²级建(构)筑物，为建(构)筑物内的危险品发生爆炸 事故时，其破坏能力相当于黑火药的厂房和仓库。</w:t>
            </w:r>
          </w:p>
          <w:p w14:paraId="3EB6E3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宋体" w:hAnsi="宋体" w:cs="宋体"/>
                <w:color w:val="auto"/>
                <w:sz w:val="24"/>
                <w:szCs w:val="24"/>
                <w:highlight w:val="none"/>
                <w:lang w:val="en-US" w:eastAsia="zh-CN"/>
              </w:rPr>
            </w:pPr>
            <w:r>
              <w:rPr>
                <w:rFonts w:ascii="宋体" w:hAnsi="宋体" w:eastAsia="宋体" w:cs="宋体"/>
                <w:color w:val="auto"/>
                <w:sz w:val="24"/>
                <w:szCs w:val="24"/>
                <w:highlight w:val="none"/>
              </w:rPr>
              <w:t>1.3级建(构)筑物，为建(构)筑物内的危险品在制造、储存、运输中具有较大的燃烧危险，或有较小爆炸或较小迸射危险，或两者兼有，但无整体爆炸危险，其破坏效应局限于本建(构)筑物内，对周围建(构)筑物影响较小。</w:t>
            </w:r>
          </w:p>
          <w:p w14:paraId="033637B6">
            <w:pPr>
              <w:spacing w:line="240" w:lineRule="auto"/>
              <w:jc w:val="center"/>
              <w:rPr>
                <w:rFonts w:hint="default" w:eastAsia="宋体"/>
                <w:b/>
                <w:bCs/>
                <w:color w:val="auto"/>
                <w:szCs w:val="21"/>
                <w:highlight w:val="none"/>
                <w:lang w:val="en-US" w:eastAsia="zh-CN"/>
              </w:rPr>
            </w:pPr>
            <w:r>
              <w:rPr>
                <w:b/>
                <w:bCs/>
                <w:color w:val="auto"/>
                <w:szCs w:val="21"/>
                <w:highlight w:val="none"/>
              </w:rPr>
              <w:t>表2-3  项目</w:t>
            </w:r>
            <w:r>
              <w:rPr>
                <w:rFonts w:hint="eastAsia"/>
                <w:b/>
                <w:bCs/>
                <w:color w:val="auto"/>
                <w:szCs w:val="21"/>
                <w:highlight w:val="none"/>
                <w:lang w:val="en-US" w:eastAsia="zh-CN"/>
              </w:rPr>
              <w:t>烟花爆竹产品储存表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647"/>
              <w:gridCol w:w="1186"/>
              <w:gridCol w:w="1725"/>
              <w:gridCol w:w="1305"/>
              <w:gridCol w:w="1307"/>
            </w:tblGrid>
            <w:tr w14:paraId="12FC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6" w:type="pct"/>
                  <w:vAlign w:val="center"/>
                </w:tcPr>
                <w:p w14:paraId="6C4B5C09">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序号</w:t>
                  </w:r>
                </w:p>
              </w:tc>
              <w:tc>
                <w:tcPr>
                  <w:tcW w:w="1052" w:type="pct"/>
                  <w:vAlign w:val="center"/>
                </w:tcPr>
                <w:p w14:paraId="0A2162F0">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库房名称</w:t>
                  </w:r>
                </w:p>
              </w:tc>
              <w:tc>
                <w:tcPr>
                  <w:tcW w:w="758" w:type="pct"/>
                  <w:vAlign w:val="center"/>
                </w:tcPr>
                <w:p w14:paraId="00A3672B">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储存品种</w:t>
                  </w:r>
                </w:p>
              </w:tc>
              <w:tc>
                <w:tcPr>
                  <w:tcW w:w="1102" w:type="pct"/>
                  <w:vAlign w:val="center"/>
                </w:tcPr>
                <w:p w14:paraId="0303836D">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日常贮存计算药量</w:t>
                  </w:r>
                </w:p>
              </w:tc>
              <w:tc>
                <w:tcPr>
                  <w:tcW w:w="834" w:type="pct"/>
                  <w:vAlign w:val="center"/>
                </w:tcPr>
                <w:p w14:paraId="3B5D7E0A">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年周转计算</w:t>
                  </w:r>
                </w:p>
                <w:p w14:paraId="06879551">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药量</w:t>
                  </w:r>
                </w:p>
              </w:tc>
              <w:tc>
                <w:tcPr>
                  <w:tcW w:w="835" w:type="pct"/>
                  <w:vAlign w:val="center"/>
                </w:tcPr>
                <w:p w14:paraId="0687CEFF">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运输方式</w:t>
                  </w:r>
                </w:p>
              </w:tc>
            </w:tr>
            <w:tr w14:paraId="1DEF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6" w:type="pct"/>
                  <w:vMerge w:val="restart"/>
                  <w:vAlign w:val="center"/>
                </w:tcPr>
                <w:p w14:paraId="3E0A5F3E">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现有项目</w:t>
                  </w:r>
                </w:p>
              </w:tc>
              <w:tc>
                <w:tcPr>
                  <w:tcW w:w="1052" w:type="pct"/>
                  <w:vAlign w:val="center"/>
                </w:tcPr>
                <w:p w14:paraId="132F7CB4">
                  <w:pPr>
                    <w:pStyle w:val="30"/>
                    <w:numPr>
                      <w:ilvl w:val="0"/>
                      <w:numId w:val="0"/>
                    </w:numPr>
                    <w:jc w:val="center"/>
                    <w:rPr>
                      <w:rFonts w:hint="eastAsia"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1.3级①号烟花爆竹成品库</w:t>
                  </w:r>
                </w:p>
              </w:tc>
              <w:tc>
                <w:tcPr>
                  <w:tcW w:w="758" w:type="pct"/>
                  <w:vAlign w:val="center"/>
                </w:tcPr>
                <w:p w14:paraId="68F48DC9">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C、D类个人燃放类烟花</w:t>
                  </w:r>
                </w:p>
              </w:tc>
              <w:tc>
                <w:tcPr>
                  <w:tcW w:w="1102" w:type="pct"/>
                  <w:vAlign w:val="center"/>
                </w:tcPr>
                <w:p w14:paraId="4B1FCEB4">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5A4B76F9">
                  <w:pPr>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5" w:type="pct"/>
                  <w:vMerge w:val="restart"/>
                  <w:vAlign w:val="center"/>
                </w:tcPr>
                <w:p w14:paraId="5539B388">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烟花爆竹专用车</w:t>
                  </w:r>
                </w:p>
              </w:tc>
            </w:tr>
            <w:tr w14:paraId="5318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6" w:type="pct"/>
                  <w:vMerge w:val="continue"/>
                  <w:vAlign w:val="center"/>
                </w:tcPr>
                <w:p w14:paraId="077B962F">
                  <w:pPr>
                    <w:pStyle w:val="30"/>
                    <w:numPr>
                      <w:ilvl w:val="0"/>
                      <w:numId w:val="0"/>
                    </w:numPr>
                    <w:jc w:val="center"/>
                    <w:rPr>
                      <w:rFonts w:hint="eastAsia" w:ascii="Times New Roman" w:hAnsi="Times New Roman" w:eastAsia="宋体" w:cs="Times New Roman"/>
                      <w:b/>
                      <w:bCs/>
                      <w:color w:val="auto"/>
                      <w:kern w:val="2"/>
                      <w:sz w:val="21"/>
                      <w:szCs w:val="21"/>
                      <w:highlight w:val="none"/>
                      <w:lang w:val="en-US" w:eastAsia="zh-CN" w:bidi="ar-SA"/>
                    </w:rPr>
                  </w:pPr>
                </w:p>
              </w:tc>
              <w:tc>
                <w:tcPr>
                  <w:tcW w:w="1052" w:type="pct"/>
                  <w:vAlign w:val="center"/>
                </w:tcPr>
                <w:p w14:paraId="611E6BA4">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w:t>
                  </w:r>
                  <w:r>
                    <w:rPr>
                      <w:rFonts w:hint="eastAsia" w:ascii="Times New Roman" w:hAnsi="Times New Roman" w:eastAsia="宋体" w:cs="Times New Roman"/>
                      <w:b w:val="0"/>
                      <w:bCs w:val="0"/>
                      <w:color w:val="auto"/>
                      <w:kern w:val="2"/>
                      <w:sz w:val="21"/>
                      <w:szCs w:val="21"/>
                      <w:highlight w:val="none"/>
                      <w:lang w:val="en-US" w:eastAsia="zh-CN" w:bidi="ar-SA"/>
                    </w:rPr>
                    <w:t>②</w:t>
                  </w:r>
                  <w:r>
                    <w:rPr>
                      <w:rFonts w:hint="default" w:ascii="Times New Roman" w:hAnsi="Times New Roman" w:eastAsia="宋体" w:cs="Times New Roman"/>
                      <w:b w:val="0"/>
                      <w:bCs w:val="0"/>
                      <w:color w:val="auto"/>
                      <w:kern w:val="2"/>
                      <w:sz w:val="21"/>
                      <w:szCs w:val="21"/>
                      <w:highlight w:val="none"/>
                      <w:lang w:val="en-US" w:eastAsia="zh-CN" w:bidi="ar-SA"/>
                    </w:rPr>
                    <w:t>号烟花爆竹成品库</w:t>
                  </w:r>
                </w:p>
              </w:tc>
              <w:tc>
                <w:tcPr>
                  <w:tcW w:w="758" w:type="pct"/>
                  <w:vAlign w:val="center"/>
                </w:tcPr>
                <w:p w14:paraId="2DCB6560">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C、D类个人燃放类烟花</w:t>
                  </w:r>
                </w:p>
              </w:tc>
              <w:tc>
                <w:tcPr>
                  <w:tcW w:w="1102" w:type="pct"/>
                  <w:vAlign w:val="center"/>
                </w:tcPr>
                <w:p w14:paraId="646D5D07">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1EB9E663">
                  <w:pPr>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5" w:type="pct"/>
                  <w:vMerge w:val="continue"/>
                  <w:vAlign w:val="center"/>
                </w:tcPr>
                <w:p w14:paraId="538692E4">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p>
              </w:tc>
            </w:tr>
            <w:tr w14:paraId="4083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6" w:type="pct"/>
                  <w:vMerge w:val="continue"/>
                  <w:vAlign w:val="center"/>
                </w:tcPr>
                <w:p w14:paraId="0FAA33C6">
                  <w:pPr>
                    <w:pStyle w:val="30"/>
                    <w:numPr>
                      <w:ilvl w:val="0"/>
                      <w:numId w:val="0"/>
                    </w:numPr>
                    <w:jc w:val="center"/>
                    <w:rPr>
                      <w:rFonts w:hint="eastAsia" w:ascii="Times New Roman" w:hAnsi="Times New Roman" w:eastAsia="宋体" w:cs="Times New Roman"/>
                      <w:b/>
                      <w:bCs/>
                      <w:color w:val="auto"/>
                      <w:kern w:val="2"/>
                      <w:sz w:val="21"/>
                      <w:szCs w:val="21"/>
                      <w:highlight w:val="none"/>
                      <w:lang w:val="en-US" w:eastAsia="zh-CN" w:bidi="ar-SA"/>
                    </w:rPr>
                  </w:pPr>
                </w:p>
              </w:tc>
              <w:tc>
                <w:tcPr>
                  <w:tcW w:w="1052" w:type="pct"/>
                  <w:vAlign w:val="center"/>
                </w:tcPr>
                <w:p w14:paraId="525414B5">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w:t>
                  </w:r>
                  <w:r>
                    <w:rPr>
                      <w:rFonts w:hint="eastAsia" w:ascii="Times New Roman" w:hAnsi="Times New Roman" w:eastAsia="宋体" w:cs="Times New Roman"/>
                      <w:b w:val="0"/>
                      <w:bCs w:val="0"/>
                      <w:color w:val="auto"/>
                      <w:kern w:val="2"/>
                      <w:sz w:val="21"/>
                      <w:szCs w:val="21"/>
                      <w:highlight w:val="none"/>
                      <w:lang w:val="en-US" w:eastAsia="zh-CN" w:bidi="ar-SA"/>
                    </w:rPr>
                    <w:t>③</w:t>
                  </w:r>
                  <w:r>
                    <w:rPr>
                      <w:rFonts w:hint="default" w:ascii="Times New Roman" w:hAnsi="Times New Roman" w:eastAsia="宋体" w:cs="Times New Roman"/>
                      <w:b w:val="0"/>
                      <w:bCs w:val="0"/>
                      <w:color w:val="auto"/>
                      <w:kern w:val="2"/>
                      <w:sz w:val="21"/>
                      <w:szCs w:val="21"/>
                      <w:highlight w:val="none"/>
                      <w:lang w:val="en-US" w:eastAsia="zh-CN" w:bidi="ar-SA"/>
                    </w:rPr>
                    <w:t>号烟花爆竹成品库</w:t>
                  </w:r>
                </w:p>
              </w:tc>
              <w:tc>
                <w:tcPr>
                  <w:tcW w:w="758" w:type="pct"/>
                  <w:vAlign w:val="center"/>
                </w:tcPr>
                <w:p w14:paraId="5C922CD4">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C、D类个人燃放类烟花</w:t>
                  </w:r>
                </w:p>
              </w:tc>
              <w:tc>
                <w:tcPr>
                  <w:tcW w:w="1102" w:type="pct"/>
                  <w:vAlign w:val="center"/>
                </w:tcPr>
                <w:p w14:paraId="52555FBE">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5FCB7016">
                  <w:pPr>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5" w:type="pct"/>
                  <w:vMerge w:val="continue"/>
                  <w:vAlign w:val="center"/>
                </w:tcPr>
                <w:p w14:paraId="27BEDCCF">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p>
              </w:tc>
            </w:tr>
            <w:tr w14:paraId="58BE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6" w:type="pct"/>
                  <w:vMerge w:val="continue"/>
                  <w:vAlign w:val="center"/>
                </w:tcPr>
                <w:p w14:paraId="3F77B486">
                  <w:pPr>
                    <w:pStyle w:val="30"/>
                    <w:numPr>
                      <w:ilvl w:val="0"/>
                      <w:numId w:val="0"/>
                    </w:numPr>
                    <w:jc w:val="center"/>
                    <w:rPr>
                      <w:rFonts w:hint="eastAsia" w:ascii="Times New Roman" w:hAnsi="Times New Roman" w:eastAsia="宋体" w:cs="Times New Roman"/>
                      <w:b/>
                      <w:bCs/>
                      <w:color w:val="auto"/>
                      <w:kern w:val="2"/>
                      <w:sz w:val="21"/>
                      <w:szCs w:val="21"/>
                      <w:highlight w:val="none"/>
                      <w:lang w:val="en-US" w:eastAsia="zh-CN" w:bidi="ar-SA"/>
                    </w:rPr>
                  </w:pPr>
                </w:p>
              </w:tc>
              <w:tc>
                <w:tcPr>
                  <w:tcW w:w="1811" w:type="pct"/>
                  <w:gridSpan w:val="2"/>
                  <w:vAlign w:val="center"/>
                </w:tcPr>
                <w:p w14:paraId="20A6A14C">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合计</w:t>
                  </w:r>
                </w:p>
              </w:tc>
              <w:tc>
                <w:tcPr>
                  <w:tcW w:w="1102" w:type="pct"/>
                  <w:vAlign w:val="center"/>
                </w:tcPr>
                <w:p w14:paraId="21A6CAAD">
                  <w:pPr>
                    <w:pStyle w:val="30"/>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60000kg</w:t>
                  </w:r>
                </w:p>
              </w:tc>
              <w:tc>
                <w:tcPr>
                  <w:tcW w:w="834" w:type="pct"/>
                  <w:vAlign w:val="center"/>
                </w:tcPr>
                <w:p w14:paraId="7232BF1B">
                  <w:pPr>
                    <w:numPr>
                      <w:ilvl w:val="0"/>
                      <w:numId w:val="0"/>
                    </w:num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60000kg</w:t>
                  </w:r>
                </w:p>
              </w:tc>
              <w:tc>
                <w:tcPr>
                  <w:tcW w:w="835" w:type="pct"/>
                  <w:vMerge w:val="continue"/>
                  <w:vAlign w:val="center"/>
                </w:tcPr>
                <w:p w14:paraId="3540688B">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p>
              </w:tc>
            </w:tr>
            <w:tr w14:paraId="4B48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16" w:type="pct"/>
                  <w:vMerge w:val="restart"/>
                  <w:vAlign w:val="center"/>
                </w:tcPr>
                <w:p w14:paraId="0DEA6551">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扩建项目</w:t>
                  </w:r>
                </w:p>
              </w:tc>
              <w:tc>
                <w:tcPr>
                  <w:tcW w:w="1052" w:type="pct"/>
                  <w:vAlign w:val="center"/>
                </w:tcPr>
                <w:p w14:paraId="2C00B428">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1.3级①号烟花爆竹成品库</w:t>
                  </w:r>
                </w:p>
              </w:tc>
              <w:tc>
                <w:tcPr>
                  <w:tcW w:w="758" w:type="pct"/>
                  <w:vAlign w:val="center"/>
                </w:tcPr>
                <w:p w14:paraId="7F740AAF">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C、D类个人燃放类烟花</w:t>
                  </w:r>
                </w:p>
              </w:tc>
              <w:tc>
                <w:tcPr>
                  <w:tcW w:w="1102" w:type="pct"/>
                  <w:vAlign w:val="center"/>
                </w:tcPr>
                <w:p w14:paraId="3D5DA3E1">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71E77216">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5" w:type="pct"/>
                  <w:vMerge w:val="restart"/>
                  <w:vAlign w:val="center"/>
                </w:tcPr>
                <w:p w14:paraId="60129514">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烟花爆竹专用车</w:t>
                  </w:r>
                </w:p>
              </w:tc>
            </w:tr>
            <w:tr w14:paraId="667F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16" w:type="pct"/>
                  <w:vMerge w:val="continue"/>
                  <w:vAlign w:val="center"/>
                </w:tcPr>
                <w:p w14:paraId="34034B28">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052" w:type="pct"/>
                  <w:vAlign w:val="center"/>
                </w:tcPr>
                <w:p w14:paraId="5E79423C">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1.3级②号烟花爆竹成品库</w:t>
                  </w:r>
                </w:p>
              </w:tc>
              <w:tc>
                <w:tcPr>
                  <w:tcW w:w="758" w:type="pct"/>
                  <w:vAlign w:val="center"/>
                </w:tcPr>
                <w:p w14:paraId="71EB4DE9">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C、D类个人燃放类爆竹</w:t>
                  </w:r>
                </w:p>
              </w:tc>
              <w:tc>
                <w:tcPr>
                  <w:tcW w:w="1102" w:type="pct"/>
                  <w:vAlign w:val="center"/>
                </w:tcPr>
                <w:p w14:paraId="7BBDF91D">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24AAEC42">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5" w:type="pct"/>
                  <w:vMerge w:val="continue"/>
                  <w:vAlign w:val="center"/>
                </w:tcPr>
                <w:p w14:paraId="4476E852">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5EAE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16" w:type="pct"/>
                  <w:vMerge w:val="continue"/>
                  <w:vAlign w:val="center"/>
                </w:tcPr>
                <w:p w14:paraId="5C093D97">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052" w:type="pct"/>
                  <w:vAlign w:val="center"/>
                </w:tcPr>
                <w:p w14:paraId="05379371">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w:t>
                  </w:r>
                  <w:r>
                    <w:rPr>
                      <w:rFonts w:hint="eastAsia" w:cs="Times New Roman"/>
                      <w:b w:val="0"/>
                      <w:bCs w:val="0"/>
                      <w:color w:val="auto"/>
                      <w:kern w:val="2"/>
                      <w:sz w:val="21"/>
                      <w:szCs w:val="21"/>
                      <w:highlight w:val="none"/>
                      <w:lang w:val="en-US" w:eastAsia="zh-CN" w:bidi="ar-SA"/>
                    </w:rPr>
                    <w:t>1</w:t>
                  </w:r>
                  <w:r>
                    <w:rPr>
                      <w:rFonts w:hint="eastAsia" w:cs="Times New Roman"/>
                      <w:b w:val="0"/>
                      <w:bCs w:val="0"/>
                      <w:color w:val="auto"/>
                      <w:kern w:val="2"/>
                      <w:sz w:val="21"/>
                      <w:szCs w:val="21"/>
                      <w:highlight w:val="none"/>
                      <w:vertAlign w:val="superscript"/>
                      <w:lang w:val="en-US" w:eastAsia="zh-CN" w:bidi="ar-SA"/>
                    </w:rPr>
                    <w:t>-2</w:t>
                  </w:r>
                  <w:r>
                    <w:rPr>
                      <w:rFonts w:hint="default" w:ascii="Times New Roman" w:hAnsi="Times New Roman" w:eastAsia="宋体" w:cs="Times New Roman"/>
                      <w:b w:val="0"/>
                      <w:bCs w:val="0"/>
                      <w:color w:val="auto"/>
                      <w:kern w:val="2"/>
                      <w:sz w:val="21"/>
                      <w:szCs w:val="21"/>
                      <w:highlight w:val="none"/>
                      <w:lang w:val="en-US" w:eastAsia="zh-CN" w:bidi="ar-SA"/>
                    </w:rPr>
                    <w:t>级烟花爆竹成品库</w:t>
                  </w:r>
                </w:p>
              </w:tc>
              <w:tc>
                <w:tcPr>
                  <w:tcW w:w="758" w:type="pct"/>
                  <w:vAlign w:val="center"/>
                </w:tcPr>
                <w:p w14:paraId="7EC4D081">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A、B类专业燃放类烟花</w:t>
                  </w:r>
                </w:p>
              </w:tc>
              <w:tc>
                <w:tcPr>
                  <w:tcW w:w="1102" w:type="pct"/>
                  <w:vAlign w:val="center"/>
                </w:tcPr>
                <w:p w14:paraId="5116058D">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w:t>
                  </w:r>
                  <w:r>
                    <w:rPr>
                      <w:rFonts w:hint="default" w:ascii="Times New Roman" w:hAnsi="Times New Roman" w:eastAsia="宋体" w:cs="Times New Roman"/>
                      <w:b w:val="0"/>
                      <w:bCs w:val="0"/>
                      <w:color w:val="auto"/>
                      <w:kern w:val="2"/>
                      <w:sz w:val="21"/>
                      <w:szCs w:val="21"/>
                      <w:highlight w:val="none"/>
                      <w:lang w:val="en-US" w:eastAsia="zh-CN" w:bidi="ar-SA"/>
                    </w:rPr>
                    <w:t>0000kg</w:t>
                  </w:r>
                </w:p>
              </w:tc>
              <w:tc>
                <w:tcPr>
                  <w:tcW w:w="834" w:type="pct"/>
                  <w:vAlign w:val="center"/>
                </w:tcPr>
                <w:p w14:paraId="0EC3FD3E">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w:t>
                  </w:r>
                  <w:r>
                    <w:rPr>
                      <w:rFonts w:hint="default" w:ascii="Times New Roman" w:hAnsi="Times New Roman" w:eastAsia="宋体" w:cs="Times New Roman"/>
                      <w:b w:val="0"/>
                      <w:bCs w:val="0"/>
                      <w:color w:val="auto"/>
                      <w:kern w:val="2"/>
                      <w:sz w:val="21"/>
                      <w:szCs w:val="21"/>
                      <w:highlight w:val="none"/>
                      <w:lang w:val="en-US" w:eastAsia="zh-CN" w:bidi="ar-SA"/>
                    </w:rPr>
                    <w:t>0000kg</w:t>
                  </w:r>
                </w:p>
              </w:tc>
              <w:tc>
                <w:tcPr>
                  <w:tcW w:w="835" w:type="pct"/>
                  <w:vMerge w:val="continue"/>
                  <w:vAlign w:val="center"/>
                </w:tcPr>
                <w:p w14:paraId="09BD8D38">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1349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16" w:type="pct"/>
                  <w:vMerge w:val="continue"/>
                  <w:vAlign w:val="center"/>
                </w:tcPr>
                <w:p w14:paraId="1F5A3E5C">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811" w:type="pct"/>
                  <w:gridSpan w:val="2"/>
                  <w:vAlign w:val="center"/>
                </w:tcPr>
                <w:p w14:paraId="0B02E0F7">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合计</w:t>
                  </w:r>
                </w:p>
              </w:tc>
              <w:tc>
                <w:tcPr>
                  <w:tcW w:w="1102" w:type="pct"/>
                  <w:vAlign w:val="center"/>
                </w:tcPr>
                <w:p w14:paraId="605AA454">
                  <w:pPr>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50000kg</w:t>
                  </w:r>
                </w:p>
              </w:tc>
              <w:tc>
                <w:tcPr>
                  <w:tcW w:w="834" w:type="pct"/>
                  <w:vAlign w:val="center"/>
                </w:tcPr>
                <w:p w14:paraId="6FE3915D">
                  <w:pPr>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50000kg</w:t>
                  </w:r>
                </w:p>
              </w:tc>
              <w:tc>
                <w:tcPr>
                  <w:tcW w:w="835" w:type="pct"/>
                  <w:vMerge w:val="continue"/>
                  <w:vAlign w:val="center"/>
                </w:tcPr>
                <w:p w14:paraId="236F2C42">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3526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227" w:type="pct"/>
                  <w:gridSpan w:val="3"/>
                  <w:vAlign w:val="center"/>
                </w:tcPr>
                <w:p w14:paraId="02FDA9DB">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项目建成后全厂总计</w:t>
                  </w:r>
                </w:p>
              </w:tc>
              <w:tc>
                <w:tcPr>
                  <w:tcW w:w="1102" w:type="pct"/>
                  <w:vAlign w:val="center"/>
                </w:tcPr>
                <w:p w14:paraId="5E6428A1">
                  <w:pPr>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110000kg</w:t>
                  </w:r>
                </w:p>
              </w:tc>
              <w:tc>
                <w:tcPr>
                  <w:tcW w:w="834" w:type="pct"/>
                  <w:vAlign w:val="center"/>
                </w:tcPr>
                <w:p w14:paraId="48F22605">
                  <w:pPr>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110000kg</w:t>
                  </w:r>
                </w:p>
              </w:tc>
              <w:tc>
                <w:tcPr>
                  <w:tcW w:w="835" w:type="pct"/>
                  <w:vAlign w:val="center"/>
                </w:tcPr>
                <w:p w14:paraId="3492A17E">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bl>
          <w:p w14:paraId="1F1A1A05">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5</w:t>
            </w:r>
            <w:r>
              <w:rPr>
                <w:b/>
                <w:bCs/>
                <w:color w:val="auto"/>
                <w:sz w:val="24"/>
                <w:szCs w:val="24"/>
                <w:highlight w:val="none"/>
              </w:rPr>
              <w:t>、项目</w:t>
            </w:r>
            <w:r>
              <w:rPr>
                <w:rFonts w:hint="eastAsia"/>
                <w:b/>
                <w:bCs/>
                <w:color w:val="auto"/>
                <w:sz w:val="24"/>
                <w:szCs w:val="24"/>
                <w:highlight w:val="none"/>
              </w:rPr>
              <w:t>贮存物质及其原辅材料情况</w:t>
            </w:r>
          </w:p>
          <w:p w14:paraId="0B30E6D6">
            <w:pPr>
              <w:pStyle w:val="4"/>
              <w:spacing w:before="0" w:after="0" w:line="360" w:lineRule="auto"/>
              <w:ind w:left="0" w:firstLine="480" w:firstLineChars="200"/>
              <w:rPr>
                <w:rFonts w:eastAsia="宋体"/>
                <w:b w:val="0"/>
                <w:bCs w:val="0"/>
                <w:color w:val="auto"/>
                <w:kern w:val="2"/>
                <w:sz w:val="24"/>
                <w:szCs w:val="24"/>
                <w:highlight w:val="none"/>
              </w:rPr>
            </w:pPr>
            <w:r>
              <w:rPr>
                <w:rFonts w:hint="eastAsia" w:eastAsia="宋体"/>
                <w:b w:val="0"/>
                <w:bCs w:val="0"/>
                <w:color w:val="auto"/>
                <w:kern w:val="2"/>
                <w:sz w:val="24"/>
                <w:szCs w:val="24"/>
                <w:highlight w:val="none"/>
              </w:rPr>
              <w:t>本项目最终是以包装形式的成品入库，不涉及生产过程，烟花爆竹生产中所用的原材料主要分为化工材料、约张与纸板、引火线、包装材料、粘土与封口剂、黏合剂，其他材料(底座、稳定杆、锯末、谷壳)等。</w:t>
            </w:r>
          </w:p>
          <w:p w14:paraId="3433C986">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96" w:firstLineChars="200"/>
              <w:textAlignment w:val="auto"/>
              <w:rPr>
                <w:color w:val="auto"/>
                <w:highlight w:val="none"/>
                <w:u w:val="none" w:color="auto"/>
              </w:rPr>
            </w:pPr>
            <w:r>
              <w:rPr>
                <w:color w:val="auto"/>
                <w:spacing w:val="4"/>
                <w:highlight w:val="none"/>
                <w:u w:val="none" w:color="auto"/>
              </w:rPr>
              <w:t>根据业主提供资料</w:t>
            </w:r>
            <w:r>
              <w:rPr>
                <w:rFonts w:hint="eastAsia"/>
                <w:color w:val="auto"/>
                <w:spacing w:val="4"/>
                <w:highlight w:val="none"/>
                <w:u w:val="none" w:color="auto"/>
                <w:lang w:eastAsia="zh-CN"/>
              </w:rPr>
              <w:t>，</w:t>
            </w:r>
            <w:r>
              <w:rPr>
                <w:color w:val="auto"/>
                <w:spacing w:val="3"/>
                <w:highlight w:val="none"/>
                <w:u w:val="none" w:color="auto"/>
              </w:rPr>
              <w:t>本项目</w:t>
            </w:r>
            <w:r>
              <w:rPr>
                <w:color w:val="auto"/>
                <w:spacing w:val="-2"/>
                <w:highlight w:val="none"/>
                <w:u w:val="none" w:color="auto"/>
              </w:rPr>
              <w:t>烟花、爆竹成分为：</w:t>
            </w:r>
          </w:p>
          <w:p w14:paraId="58460127">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color w:val="auto"/>
                <w:spacing w:val="-5"/>
                <w:sz w:val="24"/>
                <w:szCs w:val="24"/>
                <w:highlight w:val="none"/>
                <w:u w:val="none" w:color="auto"/>
              </w:rPr>
            </w:pPr>
            <w:r>
              <w:rPr>
                <w:color w:val="auto"/>
                <w:spacing w:val="-2"/>
                <w:sz w:val="24"/>
                <w:szCs w:val="24"/>
                <w:highlight w:val="none"/>
                <w:u w:val="none" w:color="auto"/>
              </w:rPr>
              <w:t>烟花成分约为：</w:t>
            </w:r>
            <w:r>
              <w:rPr>
                <w:rFonts w:ascii="Times New Roman" w:hAnsi="Times New Roman" w:eastAsia="Times New Roman" w:cs="Times New Roman"/>
                <w:color w:val="auto"/>
                <w:spacing w:val="-2"/>
                <w:sz w:val="24"/>
                <w:szCs w:val="24"/>
                <w:highlight w:val="none"/>
                <w:u w:val="none" w:color="auto"/>
              </w:rPr>
              <w:t>20%</w:t>
            </w:r>
            <w:r>
              <w:rPr>
                <w:color w:val="auto"/>
                <w:spacing w:val="-2"/>
                <w:sz w:val="24"/>
                <w:szCs w:val="24"/>
                <w:highlight w:val="none"/>
                <w:u w:val="none" w:color="auto"/>
              </w:rPr>
              <w:t>黑火药、</w:t>
            </w:r>
            <w:r>
              <w:rPr>
                <w:rFonts w:ascii="Times New Roman" w:hAnsi="Times New Roman" w:eastAsia="Times New Roman" w:cs="Times New Roman"/>
                <w:color w:val="auto"/>
                <w:spacing w:val="-2"/>
                <w:sz w:val="24"/>
                <w:szCs w:val="24"/>
                <w:highlight w:val="none"/>
                <w:u w:val="none" w:color="auto"/>
              </w:rPr>
              <w:t>60%</w:t>
            </w:r>
            <w:r>
              <w:rPr>
                <w:color w:val="auto"/>
                <w:spacing w:val="-2"/>
                <w:sz w:val="24"/>
                <w:szCs w:val="24"/>
                <w:highlight w:val="none"/>
                <w:u w:val="none" w:color="auto"/>
              </w:rPr>
              <w:t>亮珠（</w:t>
            </w:r>
            <w:r>
              <w:rPr>
                <w:rFonts w:ascii="Times New Roman" w:hAnsi="Times New Roman" w:eastAsia="Times New Roman" w:cs="Times New Roman"/>
                <w:color w:val="auto"/>
                <w:spacing w:val="-2"/>
                <w:sz w:val="24"/>
                <w:szCs w:val="24"/>
                <w:highlight w:val="none"/>
                <w:u w:val="none" w:color="auto"/>
              </w:rPr>
              <w:t>30%</w:t>
            </w:r>
            <w:r>
              <w:rPr>
                <w:color w:val="auto"/>
                <w:spacing w:val="-2"/>
                <w:sz w:val="24"/>
                <w:szCs w:val="24"/>
                <w:highlight w:val="none"/>
                <w:u w:val="none" w:color="auto"/>
              </w:rPr>
              <w:t>红色、</w:t>
            </w:r>
            <w:r>
              <w:rPr>
                <w:rFonts w:ascii="Times New Roman" w:hAnsi="Times New Roman" w:eastAsia="Times New Roman" w:cs="Times New Roman"/>
                <w:color w:val="auto"/>
                <w:spacing w:val="-2"/>
                <w:sz w:val="24"/>
                <w:szCs w:val="24"/>
                <w:highlight w:val="none"/>
                <w:u w:val="none" w:color="auto"/>
              </w:rPr>
              <w:t>30%</w:t>
            </w:r>
            <w:r>
              <w:rPr>
                <w:color w:val="auto"/>
                <w:spacing w:val="-2"/>
                <w:sz w:val="24"/>
                <w:szCs w:val="24"/>
                <w:highlight w:val="none"/>
                <w:u w:val="none" w:color="auto"/>
              </w:rPr>
              <w:t>绿色）、</w:t>
            </w:r>
            <w:r>
              <w:rPr>
                <w:rFonts w:ascii="Times New Roman" w:hAnsi="Times New Roman" w:eastAsia="Times New Roman" w:cs="Times New Roman"/>
                <w:color w:val="auto"/>
                <w:spacing w:val="-2"/>
                <w:sz w:val="24"/>
                <w:szCs w:val="24"/>
                <w:highlight w:val="none"/>
                <w:u w:val="none" w:color="auto"/>
              </w:rPr>
              <w:t>20%</w:t>
            </w:r>
            <w:r>
              <w:rPr>
                <w:color w:val="auto"/>
                <w:spacing w:val="-2"/>
                <w:sz w:val="24"/>
                <w:szCs w:val="24"/>
                <w:highlight w:val="none"/>
                <w:u w:val="none" w:color="auto"/>
              </w:rPr>
              <w:t>开包药；其中：</w:t>
            </w:r>
            <w:r>
              <w:rPr>
                <w:color w:val="auto"/>
                <w:spacing w:val="1"/>
                <w:sz w:val="24"/>
                <w:szCs w:val="24"/>
                <w:highlight w:val="none"/>
                <w:u w:val="none" w:color="auto"/>
              </w:rPr>
              <w:t>开包药成分约为：</w:t>
            </w:r>
            <w:r>
              <w:rPr>
                <w:rFonts w:ascii="Times New Roman" w:hAnsi="Times New Roman" w:eastAsia="Times New Roman" w:cs="Times New Roman"/>
                <w:color w:val="auto"/>
                <w:spacing w:val="1"/>
                <w:sz w:val="24"/>
                <w:szCs w:val="24"/>
                <w:highlight w:val="none"/>
                <w:u w:val="none" w:color="auto"/>
              </w:rPr>
              <w:t>50%</w:t>
            </w:r>
            <w:r>
              <w:rPr>
                <w:color w:val="auto"/>
                <w:spacing w:val="1"/>
                <w:sz w:val="24"/>
                <w:szCs w:val="24"/>
                <w:highlight w:val="none"/>
                <w:u w:val="none" w:color="auto"/>
              </w:rPr>
              <w:t>高氯酸钾、</w:t>
            </w:r>
            <w:r>
              <w:rPr>
                <w:rFonts w:ascii="Times New Roman" w:hAnsi="Times New Roman" w:eastAsia="Times New Roman" w:cs="Times New Roman"/>
                <w:color w:val="auto"/>
                <w:spacing w:val="1"/>
                <w:sz w:val="24"/>
                <w:szCs w:val="24"/>
                <w:highlight w:val="none"/>
                <w:u w:val="none" w:color="auto"/>
              </w:rPr>
              <w:t>25%</w:t>
            </w:r>
            <w:r>
              <w:rPr>
                <w:color w:val="auto"/>
                <w:spacing w:val="1"/>
                <w:sz w:val="24"/>
                <w:szCs w:val="24"/>
                <w:highlight w:val="none"/>
                <w:u w:val="none" w:color="auto"/>
              </w:rPr>
              <w:t>硫磺、</w:t>
            </w:r>
            <w:r>
              <w:rPr>
                <w:rFonts w:ascii="Times New Roman" w:hAnsi="Times New Roman" w:eastAsia="Times New Roman" w:cs="Times New Roman"/>
                <w:color w:val="auto"/>
                <w:spacing w:val="1"/>
                <w:sz w:val="24"/>
                <w:szCs w:val="24"/>
                <w:highlight w:val="none"/>
                <w:u w:val="none" w:color="auto"/>
              </w:rPr>
              <w:t>25%</w:t>
            </w:r>
            <w:r>
              <w:rPr>
                <w:color w:val="auto"/>
                <w:spacing w:val="1"/>
                <w:sz w:val="24"/>
                <w:szCs w:val="24"/>
                <w:highlight w:val="none"/>
                <w:u w:val="none" w:color="auto"/>
              </w:rPr>
              <w:t>铝粉；亮珠（红色）成分约为：</w:t>
            </w:r>
            <w:r>
              <w:rPr>
                <w:rFonts w:ascii="Times New Roman" w:hAnsi="Times New Roman" w:eastAsia="Times New Roman" w:cs="Times New Roman"/>
                <w:color w:val="auto"/>
                <w:spacing w:val="1"/>
                <w:sz w:val="24"/>
                <w:szCs w:val="24"/>
                <w:highlight w:val="none"/>
                <w:u w:val="none" w:color="auto"/>
              </w:rPr>
              <w:t>45%</w:t>
            </w:r>
            <w:r>
              <w:rPr>
                <w:color w:val="auto"/>
                <w:spacing w:val="1"/>
                <w:sz w:val="24"/>
                <w:szCs w:val="24"/>
                <w:highlight w:val="none"/>
                <w:u w:val="none" w:color="auto"/>
              </w:rPr>
              <w:t>高氯</w:t>
            </w:r>
            <w:r>
              <w:rPr>
                <w:color w:val="auto"/>
                <w:sz w:val="24"/>
                <w:szCs w:val="24"/>
                <w:highlight w:val="none"/>
                <w:u w:val="none" w:color="auto"/>
              </w:rPr>
              <w:t>酸钾、</w:t>
            </w:r>
            <w:r>
              <w:rPr>
                <w:rFonts w:ascii="Times New Roman" w:hAnsi="Times New Roman" w:eastAsia="Times New Roman" w:cs="Times New Roman"/>
                <w:color w:val="auto"/>
                <w:sz w:val="24"/>
                <w:szCs w:val="24"/>
                <w:highlight w:val="none"/>
                <w:u w:val="none" w:color="auto"/>
              </w:rPr>
              <w:t>22%</w:t>
            </w:r>
            <w:r>
              <w:rPr>
                <w:color w:val="auto"/>
                <w:sz w:val="24"/>
                <w:szCs w:val="24"/>
                <w:highlight w:val="none"/>
                <w:u w:val="none" w:color="auto"/>
              </w:rPr>
              <w:t>镁铝粉、</w:t>
            </w:r>
            <w:r>
              <w:rPr>
                <w:rFonts w:ascii="Times New Roman" w:hAnsi="Times New Roman" w:eastAsia="Times New Roman" w:cs="Times New Roman"/>
                <w:color w:val="auto"/>
                <w:sz w:val="24"/>
                <w:szCs w:val="24"/>
                <w:highlight w:val="none"/>
                <w:u w:val="none" w:color="auto"/>
              </w:rPr>
              <w:t>32%</w:t>
            </w:r>
            <w:r>
              <w:rPr>
                <w:color w:val="auto"/>
                <w:sz w:val="24"/>
                <w:szCs w:val="24"/>
                <w:highlight w:val="none"/>
                <w:u w:val="none" w:color="auto"/>
              </w:rPr>
              <w:t>碳酸锶、</w:t>
            </w:r>
            <w:r>
              <w:rPr>
                <w:rFonts w:ascii="Times New Roman" w:hAnsi="Times New Roman" w:eastAsia="Times New Roman" w:cs="Times New Roman"/>
                <w:color w:val="auto"/>
                <w:sz w:val="24"/>
                <w:szCs w:val="24"/>
                <w:highlight w:val="none"/>
                <w:u w:val="none" w:color="auto"/>
              </w:rPr>
              <w:t>1%</w:t>
            </w:r>
            <w:r>
              <w:rPr>
                <w:color w:val="auto"/>
                <w:sz w:val="24"/>
                <w:szCs w:val="24"/>
                <w:highlight w:val="none"/>
                <w:u w:val="none" w:color="auto"/>
              </w:rPr>
              <w:t>黑</w:t>
            </w:r>
            <w:r>
              <w:rPr>
                <w:color w:val="auto"/>
                <w:spacing w:val="-1"/>
                <w:sz w:val="24"/>
                <w:szCs w:val="24"/>
                <w:highlight w:val="none"/>
                <w:u w:val="none" w:color="auto"/>
              </w:rPr>
              <w:t>火药。亮珠（绿色）成分约为：</w:t>
            </w:r>
            <w:r>
              <w:rPr>
                <w:rFonts w:ascii="Times New Roman" w:hAnsi="Times New Roman" w:eastAsia="Times New Roman" w:cs="Times New Roman"/>
                <w:color w:val="auto"/>
                <w:spacing w:val="-1"/>
                <w:sz w:val="24"/>
                <w:szCs w:val="24"/>
                <w:highlight w:val="none"/>
                <w:u w:val="none" w:color="auto"/>
              </w:rPr>
              <w:t>26%</w:t>
            </w:r>
            <w:r>
              <w:rPr>
                <w:color w:val="auto"/>
                <w:spacing w:val="-1"/>
                <w:sz w:val="24"/>
                <w:szCs w:val="24"/>
                <w:highlight w:val="none"/>
                <w:u w:val="none" w:color="auto"/>
              </w:rPr>
              <w:t>高氯酸钾、</w:t>
            </w:r>
            <w:r>
              <w:rPr>
                <w:rFonts w:ascii="Times New Roman" w:hAnsi="Times New Roman" w:eastAsia="Times New Roman" w:cs="Times New Roman"/>
                <w:color w:val="auto"/>
                <w:spacing w:val="-1"/>
                <w:sz w:val="24"/>
                <w:szCs w:val="24"/>
                <w:highlight w:val="none"/>
                <w:u w:val="none" w:color="auto"/>
              </w:rPr>
              <w:t>22%</w:t>
            </w:r>
            <w:r>
              <w:rPr>
                <w:color w:val="auto"/>
                <w:spacing w:val="-4"/>
                <w:sz w:val="24"/>
                <w:szCs w:val="24"/>
                <w:highlight w:val="none"/>
                <w:u w:val="none" w:color="auto"/>
              </w:rPr>
              <w:t>镁铝粉、</w:t>
            </w:r>
            <w:r>
              <w:rPr>
                <w:rFonts w:ascii="Times New Roman" w:hAnsi="Times New Roman" w:eastAsia="Times New Roman" w:cs="Times New Roman"/>
                <w:color w:val="auto"/>
                <w:spacing w:val="-4"/>
                <w:sz w:val="24"/>
                <w:szCs w:val="24"/>
                <w:highlight w:val="none"/>
                <w:u w:val="none" w:color="auto"/>
              </w:rPr>
              <w:t>50%</w:t>
            </w:r>
            <w:r>
              <w:rPr>
                <w:color w:val="auto"/>
                <w:spacing w:val="-4"/>
                <w:sz w:val="24"/>
                <w:szCs w:val="24"/>
                <w:highlight w:val="none"/>
                <w:u w:val="none" w:color="auto"/>
              </w:rPr>
              <w:t>硝酸钡、</w:t>
            </w:r>
            <w:r>
              <w:rPr>
                <w:rFonts w:ascii="Times New Roman" w:hAnsi="Times New Roman" w:eastAsia="Times New Roman" w:cs="Times New Roman"/>
                <w:color w:val="auto"/>
                <w:spacing w:val="-4"/>
                <w:sz w:val="24"/>
                <w:szCs w:val="24"/>
                <w:highlight w:val="none"/>
                <w:u w:val="none" w:color="auto"/>
              </w:rPr>
              <w:t>2%</w:t>
            </w:r>
            <w:r>
              <w:rPr>
                <w:color w:val="auto"/>
                <w:spacing w:val="-4"/>
                <w:sz w:val="24"/>
                <w:szCs w:val="24"/>
                <w:highlight w:val="none"/>
                <w:u w:val="none" w:color="auto"/>
              </w:rPr>
              <w:t>黑火药；黑火药</w:t>
            </w:r>
            <w:r>
              <w:rPr>
                <w:color w:val="auto"/>
                <w:spacing w:val="-5"/>
                <w:sz w:val="24"/>
                <w:szCs w:val="24"/>
                <w:highlight w:val="none"/>
                <w:u w:val="none" w:color="auto"/>
              </w:rPr>
              <w:t>成分约为：硫磺、硝酸钾、木炭（比例</w:t>
            </w:r>
            <w:r>
              <w:rPr>
                <w:rFonts w:ascii="Times New Roman" w:hAnsi="Times New Roman" w:eastAsia="Times New Roman" w:cs="Times New Roman"/>
                <w:color w:val="auto"/>
                <w:spacing w:val="-5"/>
                <w:sz w:val="24"/>
                <w:szCs w:val="24"/>
                <w:highlight w:val="none"/>
                <w:u w:val="none" w:color="auto"/>
              </w:rPr>
              <w:t>2</w:t>
            </w:r>
            <w:r>
              <w:rPr>
                <w:rFonts w:hint="eastAsia" w:eastAsia="宋体"/>
                <w:color w:val="auto"/>
                <w:spacing w:val="-5"/>
                <w:sz w:val="24"/>
                <w:szCs w:val="24"/>
                <w:highlight w:val="none"/>
                <w:u w:val="none" w:color="auto"/>
                <w:lang w:val="en-US" w:eastAsia="zh-CN"/>
              </w:rPr>
              <w:t>∶</w:t>
            </w:r>
            <w:r>
              <w:rPr>
                <w:rFonts w:ascii="Times New Roman" w:hAnsi="Times New Roman" w:eastAsia="Times New Roman" w:cs="Times New Roman"/>
                <w:color w:val="auto"/>
                <w:spacing w:val="-5"/>
                <w:sz w:val="24"/>
                <w:szCs w:val="24"/>
                <w:highlight w:val="none"/>
                <w:u w:val="none" w:color="auto"/>
              </w:rPr>
              <w:t>1</w:t>
            </w:r>
            <w:r>
              <w:rPr>
                <w:rFonts w:hint="eastAsia" w:eastAsia="宋体"/>
                <w:color w:val="auto"/>
                <w:spacing w:val="-5"/>
                <w:sz w:val="24"/>
                <w:szCs w:val="24"/>
                <w:highlight w:val="none"/>
                <w:u w:val="none" w:color="auto"/>
                <w:lang w:val="en-US" w:eastAsia="zh-CN"/>
              </w:rPr>
              <w:t>∶</w:t>
            </w:r>
            <w:r>
              <w:rPr>
                <w:rFonts w:ascii="Times New Roman" w:hAnsi="Times New Roman" w:eastAsia="Times New Roman" w:cs="Times New Roman"/>
                <w:color w:val="auto"/>
                <w:spacing w:val="-5"/>
                <w:sz w:val="24"/>
                <w:szCs w:val="24"/>
                <w:highlight w:val="none"/>
                <w:u w:val="none" w:color="auto"/>
              </w:rPr>
              <w:t>3</w:t>
            </w:r>
            <w:r>
              <w:rPr>
                <w:color w:val="auto"/>
                <w:spacing w:val="-5"/>
                <w:sz w:val="24"/>
                <w:szCs w:val="24"/>
                <w:highlight w:val="none"/>
                <w:u w:val="none" w:color="auto"/>
              </w:rPr>
              <w:t>）</w:t>
            </w:r>
          </w:p>
          <w:p w14:paraId="2A1B2D5E">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z w:val="24"/>
                <w:szCs w:val="24"/>
                <w:highlight w:val="none"/>
                <w:u w:val="none" w:color="auto"/>
              </w:rPr>
            </w:pPr>
            <w:r>
              <w:rPr>
                <w:color w:val="auto"/>
                <w:sz w:val="24"/>
                <w:szCs w:val="24"/>
                <w:highlight w:val="none"/>
                <w:u w:val="none" w:color="auto"/>
              </w:rPr>
              <w:t>爆竹成分约为：</w:t>
            </w:r>
            <w:r>
              <w:rPr>
                <w:rFonts w:ascii="Times New Roman" w:hAnsi="Times New Roman" w:eastAsia="Times New Roman" w:cs="Times New Roman"/>
                <w:color w:val="auto"/>
                <w:sz w:val="24"/>
                <w:szCs w:val="24"/>
                <w:highlight w:val="none"/>
                <w:u w:val="none" w:color="auto"/>
              </w:rPr>
              <w:t>50%</w:t>
            </w:r>
            <w:r>
              <w:rPr>
                <w:color w:val="auto"/>
                <w:sz w:val="24"/>
                <w:szCs w:val="24"/>
                <w:highlight w:val="none"/>
                <w:u w:val="none" w:color="auto"/>
              </w:rPr>
              <w:t>高氯酸钾、</w:t>
            </w:r>
            <w:r>
              <w:rPr>
                <w:rFonts w:ascii="Times New Roman" w:hAnsi="Times New Roman" w:eastAsia="Times New Roman" w:cs="Times New Roman"/>
                <w:color w:val="auto"/>
                <w:sz w:val="24"/>
                <w:szCs w:val="24"/>
                <w:highlight w:val="none"/>
                <w:u w:val="none" w:color="auto"/>
              </w:rPr>
              <w:t>25%</w:t>
            </w:r>
            <w:r>
              <w:rPr>
                <w:color w:val="auto"/>
                <w:sz w:val="24"/>
                <w:szCs w:val="24"/>
                <w:highlight w:val="none"/>
                <w:u w:val="none" w:color="auto"/>
              </w:rPr>
              <w:t>硫磺、</w:t>
            </w:r>
            <w:r>
              <w:rPr>
                <w:rFonts w:ascii="Times New Roman" w:hAnsi="Times New Roman" w:eastAsia="Times New Roman" w:cs="Times New Roman"/>
                <w:color w:val="auto"/>
                <w:sz w:val="24"/>
                <w:szCs w:val="24"/>
                <w:highlight w:val="none"/>
                <w:u w:val="none" w:color="auto"/>
              </w:rPr>
              <w:t>25%</w:t>
            </w:r>
            <w:r>
              <w:rPr>
                <w:color w:val="auto"/>
                <w:sz w:val="24"/>
                <w:szCs w:val="24"/>
                <w:highlight w:val="none"/>
                <w:u w:val="none" w:color="auto"/>
              </w:rPr>
              <w:t>铝粉。项目存储烟花爆竹主要危险物质</w:t>
            </w:r>
            <w:r>
              <w:rPr>
                <w:color w:val="auto"/>
                <w:spacing w:val="-2"/>
                <w:sz w:val="24"/>
                <w:szCs w:val="24"/>
                <w:highlight w:val="none"/>
                <w:u w:val="none" w:color="auto"/>
              </w:rPr>
              <w:t>详见表</w:t>
            </w:r>
            <w:r>
              <w:rPr>
                <w:rFonts w:ascii="Times New Roman" w:hAnsi="Times New Roman" w:eastAsia="Times New Roman" w:cs="Times New Roman"/>
                <w:color w:val="auto"/>
                <w:spacing w:val="-2"/>
                <w:sz w:val="24"/>
                <w:szCs w:val="24"/>
                <w:highlight w:val="none"/>
                <w:u w:val="none" w:color="auto"/>
              </w:rPr>
              <w:t>2-4</w:t>
            </w:r>
            <w:r>
              <w:rPr>
                <w:color w:val="auto"/>
                <w:spacing w:val="-2"/>
                <w:sz w:val="24"/>
                <w:szCs w:val="24"/>
                <w:highlight w:val="none"/>
                <w:u w:val="none" w:color="auto"/>
              </w:rPr>
              <w:t>。</w:t>
            </w:r>
          </w:p>
          <w:p w14:paraId="3A8E42CB">
            <w:pPr>
              <w:bidi w:val="0"/>
              <w:jc w:val="center"/>
              <w:rPr>
                <w:b/>
                <w:bCs/>
                <w:color w:val="auto"/>
                <w:highlight w:val="none"/>
              </w:rPr>
            </w:pPr>
            <w:r>
              <w:rPr>
                <w:b/>
                <w:bCs/>
                <w:color w:val="auto"/>
                <w:highlight w:val="none"/>
              </w:rPr>
              <w:t>表 2-4  存储烟花爆竹主要危险物质统计表</w:t>
            </w:r>
          </w:p>
          <w:tbl>
            <w:tblPr>
              <w:tblStyle w:val="60"/>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2"/>
              <w:gridCol w:w="795"/>
              <w:gridCol w:w="768"/>
              <w:gridCol w:w="649"/>
              <w:gridCol w:w="714"/>
              <w:gridCol w:w="715"/>
              <w:gridCol w:w="649"/>
              <w:gridCol w:w="847"/>
              <w:gridCol w:w="815"/>
            </w:tblGrid>
            <w:tr w14:paraId="568D7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196" w:type="pct"/>
                  <w:vMerge w:val="restart"/>
                  <w:tcBorders>
                    <w:bottom w:val="nil"/>
                  </w:tcBorders>
                  <w:vAlign w:val="center"/>
                </w:tcPr>
                <w:p w14:paraId="1FF2B9C0">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1"/>
                      <w:sz w:val="21"/>
                      <w:szCs w:val="21"/>
                      <w:highlight w:val="none"/>
                      <w:u w:val="none" w:color="auto"/>
                    </w:rPr>
                    <w:t>产品种类</w:t>
                  </w:r>
                </w:p>
              </w:tc>
              <w:tc>
                <w:tcPr>
                  <w:tcW w:w="3803" w:type="pct"/>
                  <w:gridSpan w:val="8"/>
                  <w:vAlign w:val="center"/>
                </w:tcPr>
                <w:p w14:paraId="062937BD">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1"/>
                      <w:sz w:val="21"/>
                      <w:szCs w:val="21"/>
                      <w:highlight w:val="none"/>
                      <w:u w:val="none" w:color="auto"/>
                    </w:rPr>
                    <w:t>主要危险物质</w:t>
                  </w:r>
                </w:p>
              </w:tc>
            </w:tr>
            <w:tr w14:paraId="6EA39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196" w:type="pct"/>
                  <w:vMerge w:val="continue"/>
                  <w:tcBorders>
                    <w:top w:val="nil"/>
                  </w:tcBorders>
                  <w:vAlign w:val="center"/>
                </w:tcPr>
                <w:p w14:paraId="03F7E99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508" w:type="pct"/>
                  <w:vAlign w:val="center"/>
                </w:tcPr>
                <w:p w14:paraId="567CB7B4">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4"/>
                      <w:sz w:val="21"/>
                      <w:szCs w:val="21"/>
                      <w:highlight w:val="none"/>
                      <w:u w:val="none" w:color="auto"/>
                    </w:rPr>
                    <w:t>高氯酸钾</w:t>
                  </w:r>
                </w:p>
              </w:tc>
              <w:tc>
                <w:tcPr>
                  <w:tcW w:w="491" w:type="pct"/>
                  <w:vAlign w:val="center"/>
                </w:tcPr>
                <w:p w14:paraId="03E3DB40">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2"/>
                      <w:sz w:val="21"/>
                      <w:szCs w:val="21"/>
                      <w:highlight w:val="none"/>
                      <w:u w:val="none" w:color="auto"/>
                    </w:rPr>
                    <w:t>硫磺</w:t>
                  </w:r>
                </w:p>
              </w:tc>
              <w:tc>
                <w:tcPr>
                  <w:tcW w:w="415" w:type="pct"/>
                  <w:vAlign w:val="center"/>
                </w:tcPr>
                <w:p w14:paraId="30FAFC7C">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3"/>
                      <w:sz w:val="21"/>
                      <w:szCs w:val="21"/>
                      <w:highlight w:val="none"/>
                      <w:u w:val="none" w:color="auto"/>
                    </w:rPr>
                    <w:t>铝粉</w:t>
                  </w:r>
                </w:p>
              </w:tc>
              <w:tc>
                <w:tcPr>
                  <w:tcW w:w="456" w:type="pct"/>
                  <w:vAlign w:val="center"/>
                </w:tcPr>
                <w:p w14:paraId="1CA16B11">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z w:val="21"/>
                      <w:szCs w:val="21"/>
                      <w:highlight w:val="none"/>
                      <w:u w:val="none" w:color="auto"/>
                    </w:rPr>
                    <w:t>镁铝粉</w:t>
                  </w:r>
                </w:p>
              </w:tc>
              <w:tc>
                <w:tcPr>
                  <w:tcW w:w="457" w:type="pct"/>
                  <w:vAlign w:val="center"/>
                </w:tcPr>
                <w:p w14:paraId="5BE20032">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z w:val="21"/>
                      <w:szCs w:val="21"/>
                      <w:highlight w:val="none"/>
                      <w:u w:val="none" w:color="auto"/>
                    </w:rPr>
                    <w:t>碳酸锶</w:t>
                  </w:r>
                </w:p>
              </w:tc>
              <w:tc>
                <w:tcPr>
                  <w:tcW w:w="415" w:type="pct"/>
                  <w:vAlign w:val="center"/>
                </w:tcPr>
                <w:p w14:paraId="01C3EADF">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1"/>
                      <w:sz w:val="21"/>
                      <w:szCs w:val="21"/>
                      <w:highlight w:val="none"/>
                      <w:u w:val="none" w:color="auto"/>
                    </w:rPr>
                    <w:t>硝酸钡</w:t>
                  </w:r>
                </w:p>
              </w:tc>
              <w:tc>
                <w:tcPr>
                  <w:tcW w:w="541" w:type="pct"/>
                  <w:vAlign w:val="center"/>
                </w:tcPr>
                <w:p w14:paraId="7762108F">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1"/>
                      <w:sz w:val="21"/>
                      <w:szCs w:val="21"/>
                      <w:highlight w:val="none"/>
                      <w:u w:val="none" w:color="auto"/>
                    </w:rPr>
                    <w:t>硝酸钾</w:t>
                  </w:r>
                </w:p>
              </w:tc>
              <w:tc>
                <w:tcPr>
                  <w:tcW w:w="516" w:type="pct"/>
                  <w:vAlign w:val="center"/>
                </w:tcPr>
                <w:p w14:paraId="56B3FE41">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bCs/>
                      <w:color w:val="auto"/>
                      <w:spacing w:val="-3"/>
                      <w:sz w:val="21"/>
                      <w:szCs w:val="21"/>
                      <w:highlight w:val="none"/>
                      <w:u w:val="none" w:color="auto"/>
                    </w:rPr>
                    <w:t>木炭</w:t>
                  </w:r>
                </w:p>
              </w:tc>
            </w:tr>
            <w:tr w14:paraId="400D2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000" w:type="pct"/>
                  <w:gridSpan w:val="9"/>
                  <w:vAlign w:val="center"/>
                </w:tcPr>
                <w:p w14:paraId="56993FAA">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烟花</w:t>
                  </w:r>
                </w:p>
              </w:tc>
            </w:tr>
            <w:tr w14:paraId="367FE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196" w:type="pct"/>
                  <w:vAlign w:val="center"/>
                </w:tcPr>
                <w:p w14:paraId="184E3A33">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6"/>
                      <w:sz w:val="21"/>
                      <w:szCs w:val="21"/>
                      <w:highlight w:val="none"/>
                      <w:u w:val="none" w:color="auto"/>
                    </w:rPr>
                    <w:t>黑火药（20%）</w:t>
                  </w:r>
                </w:p>
                <w:p w14:paraId="392BC41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pacing w:val="2"/>
                      <w:sz w:val="21"/>
                      <w:szCs w:val="21"/>
                      <w:highlight w:val="none"/>
                      <w:u w:val="none" w:color="auto"/>
                      <w:lang w:val="en-US" w:eastAsia="zh-CN"/>
                    </w:rPr>
                    <w:t>6</w:t>
                  </w:r>
                  <w:r>
                    <w:rPr>
                      <w:rFonts w:hint="default" w:ascii="Times New Roman" w:hAnsi="Times New Roman" w:eastAsia="宋体" w:cs="Times New Roman"/>
                      <w:color w:val="auto"/>
                      <w:spacing w:val="2"/>
                      <w:sz w:val="21"/>
                      <w:szCs w:val="21"/>
                      <w:highlight w:val="none"/>
                      <w:u w:val="none" w:color="auto"/>
                    </w:rPr>
                    <w:t>t</w:t>
                  </w:r>
                </w:p>
              </w:tc>
              <w:tc>
                <w:tcPr>
                  <w:tcW w:w="508" w:type="pct"/>
                  <w:vAlign w:val="center"/>
                </w:tcPr>
                <w:p w14:paraId="1C33240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91" w:type="pct"/>
                  <w:vAlign w:val="center"/>
                </w:tcPr>
                <w:p w14:paraId="2C342EC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33%</w:t>
                  </w:r>
                </w:p>
                <w:p w14:paraId="4EB5841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1.98</w:t>
                  </w:r>
                  <w:r>
                    <w:rPr>
                      <w:rFonts w:hint="default" w:ascii="Times New Roman" w:hAnsi="Times New Roman" w:eastAsia="宋体" w:cs="Times New Roman"/>
                      <w:color w:val="auto"/>
                      <w:spacing w:val="2"/>
                      <w:sz w:val="21"/>
                      <w:szCs w:val="21"/>
                      <w:highlight w:val="none"/>
                      <w:u w:val="none" w:color="auto"/>
                    </w:rPr>
                    <w:t>t)</w:t>
                  </w:r>
                </w:p>
              </w:tc>
              <w:tc>
                <w:tcPr>
                  <w:tcW w:w="415" w:type="pct"/>
                  <w:vAlign w:val="center"/>
                </w:tcPr>
                <w:p w14:paraId="09B0B25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6" w:type="pct"/>
                  <w:vAlign w:val="center"/>
                </w:tcPr>
                <w:p w14:paraId="699388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7" w:type="pct"/>
                  <w:vAlign w:val="center"/>
                </w:tcPr>
                <w:p w14:paraId="03C5653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15" w:type="pct"/>
                  <w:vAlign w:val="center"/>
                </w:tcPr>
                <w:p w14:paraId="5E0B98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41" w:type="pct"/>
                  <w:vAlign w:val="center"/>
                </w:tcPr>
                <w:p w14:paraId="365769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17%</w:t>
                  </w:r>
                </w:p>
                <w:p w14:paraId="54616D7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1.02</w:t>
                  </w:r>
                  <w:r>
                    <w:rPr>
                      <w:rFonts w:hint="default" w:ascii="Times New Roman" w:hAnsi="Times New Roman" w:eastAsia="宋体" w:cs="Times New Roman"/>
                      <w:color w:val="auto"/>
                      <w:spacing w:val="2"/>
                      <w:sz w:val="21"/>
                      <w:szCs w:val="21"/>
                      <w:highlight w:val="none"/>
                      <w:u w:val="none" w:color="auto"/>
                    </w:rPr>
                    <w:t>t)</w:t>
                  </w:r>
                </w:p>
              </w:tc>
              <w:tc>
                <w:tcPr>
                  <w:tcW w:w="516" w:type="pct"/>
                  <w:vAlign w:val="center"/>
                </w:tcPr>
                <w:p w14:paraId="4D8EA3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50%</w:t>
                  </w:r>
                </w:p>
                <w:p w14:paraId="3455532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3</w:t>
                  </w:r>
                  <w:r>
                    <w:rPr>
                      <w:rFonts w:hint="default" w:ascii="Times New Roman" w:hAnsi="Times New Roman" w:eastAsia="宋体" w:cs="Times New Roman"/>
                      <w:color w:val="auto"/>
                      <w:spacing w:val="2"/>
                      <w:sz w:val="21"/>
                      <w:szCs w:val="21"/>
                      <w:highlight w:val="none"/>
                      <w:u w:val="none" w:color="auto"/>
                    </w:rPr>
                    <w:t>t)</w:t>
                  </w:r>
                </w:p>
              </w:tc>
            </w:tr>
            <w:tr w14:paraId="417F0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96" w:type="pct"/>
                  <w:vAlign w:val="center"/>
                </w:tcPr>
                <w:p w14:paraId="5257B0E4">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9"/>
                      <w:sz w:val="21"/>
                      <w:szCs w:val="21"/>
                      <w:highlight w:val="none"/>
                      <w:u w:val="none" w:color="auto"/>
                    </w:rPr>
                    <w:t>量珠（红色</w:t>
                  </w:r>
                  <w:r>
                    <w:rPr>
                      <w:rFonts w:hint="default" w:ascii="Times New Roman" w:hAnsi="Times New Roman" w:eastAsia="宋体" w:cs="Times New Roman"/>
                      <w:color w:val="auto"/>
                      <w:spacing w:val="-2"/>
                      <w:sz w:val="21"/>
                      <w:szCs w:val="21"/>
                      <w:highlight w:val="none"/>
                      <w:u w:val="none" w:color="auto"/>
                    </w:rPr>
                    <w:t>）（</w:t>
                  </w:r>
                  <w:r>
                    <w:rPr>
                      <w:rFonts w:hint="default" w:ascii="Times New Roman" w:hAnsi="Times New Roman" w:eastAsia="宋体" w:cs="Times New Roman"/>
                      <w:color w:val="auto"/>
                      <w:spacing w:val="9"/>
                      <w:sz w:val="21"/>
                      <w:szCs w:val="21"/>
                      <w:highlight w:val="none"/>
                      <w:u w:val="none" w:color="auto"/>
                    </w:rPr>
                    <w:t>30%）</w:t>
                  </w:r>
                </w:p>
              </w:tc>
              <w:tc>
                <w:tcPr>
                  <w:tcW w:w="508" w:type="pct"/>
                  <w:vMerge w:val="restart"/>
                  <w:tcBorders>
                    <w:bottom w:val="nil"/>
                  </w:tcBorders>
                  <w:vAlign w:val="center"/>
                </w:tcPr>
                <w:p w14:paraId="55B9A63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5"/>
                      <w:sz w:val="21"/>
                      <w:szCs w:val="21"/>
                      <w:highlight w:val="none"/>
                      <w:u w:val="none" w:color="auto"/>
                    </w:rPr>
                    <w:t>45%</w:t>
                  </w:r>
                </w:p>
                <w:p w14:paraId="3E2E32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4.05</w:t>
                  </w:r>
                  <w:r>
                    <w:rPr>
                      <w:rFonts w:hint="default" w:ascii="Times New Roman" w:hAnsi="Times New Roman" w:eastAsia="宋体" w:cs="Times New Roman"/>
                      <w:color w:val="auto"/>
                      <w:spacing w:val="2"/>
                      <w:sz w:val="21"/>
                      <w:szCs w:val="21"/>
                      <w:highlight w:val="none"/>
                      <w:u w:val="none" w:color="auto"/>
                    </w:rPr>
                    <w:t>t)</w:t>
                  </w:r>
                </w:p>
              </w:tc>
              <w:tc>
                <w:tcPr>
                  <w:tcW w:w="491" w:type="pct"/>
                  <w:vMerge w:val="restart"/>
                  <w:tcBorders>
                    <w:bottom w:val="nil"/>
                  </w:tcBorders>
                  <w:vAlign w:val="center"/>
                </w:tcPr>
                <w:p w14:paraId="73C9745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0.33%</w:t>
                  </w:r>
                </w:p>
                <w:p w14:paraId="42827C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0.0297</w:t>
                  </w:r>
                  <w:r>
                    <w:rPr>
                      <w:rFonts w:hint="default" w:ascii="Times New Roman" w:hAnsi="Times New Roman" w:eastAsia="宋体" w:cs="Times New Roman"/>
                      <w:color w:val="auto"/>
                      <w:spacing w:val="2"/>
                      <w:sz w:val="21"/>
                      <w:szCs w:val="21"/>
                      <w:highlight w:val="none"/>
                      <w:u w:val="none" w:color="auto"/>
                    </w:rPr>
                    <w:t>t)</w:t>
                  </w:r>
                </w:p>
              </w:tc>
              <w:tc>
                <w:tcPr>
                  <w:tcW w:w="415" w:type="pct"/>
                  <w:vMerge w:val="restart"/>
                  <w:tcBorders>
                    <w:bottom w:val="nil"/>
                  </w:tcBorders>
                  <w:vAlign w:val="center"/>
                </w:tcPr>
                <w:p w14:paraId="33D0783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6" w:type="pct"/>
                  <w:vMerge w:val="restart"/>
                  <w:tcBorders>
                    <w:bottom w:val="nil"/>
                  </w:tcBorders>
                  <w:vAlign w:val="center"/>
                </w:tcPr>
                <w:p w14:paraId="0E5826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22%</w:t>
                  </w:r>
                </w:p>
                <w:p w14:paraId="4DB26C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1.98</w:t>
                  </w:r>
                  <w:r>
                    <w:rPr>
                      <w:rFonts w:hint="default" w:ascii="Times New Roman" w:hAnsi="Times New Roman" w:eastAsia="宋体" w:cs="Times New Roman"/>
                      <w:color w:val="auto"/>
                      <w:spacing w:val="2"/>
                      <w:sz w:val="21"/>
                      <w:szCs w:val="21"/>
                      <w:highlight w:val="none"/>
                      <w:u w:val="none" w:color="auto"/>
                    </w:rPr>
                    <w:t>t)</w:t>
                  </w:r>
                </w:p>
              </w:tc>
              <w:tc>
                <w:tcPr>
                  <w:tcW w:w="457" w:type="pct"/>
                  <w:vMerge w:val="restart"/>
                  <w:tcBorders>
                    <w:bottom w:val="nil"/>
                  </w:tcBorders>
                  <w:vAlign w:val="center"/>
                </w:tcPr>
                <w:p w14:paraId="480535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32%</w:t>
                  </w:r>
                </w:p>
                <w:p w14:paraId="5457CB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2.88</w:t>
                  </w:r>
                  <w:r>
                    <w:rPr>
                      <w:rFonts w:hint="default" w:ascii="Times New Roman" w:hAnsi="Times New Roman" w:eastAsia="宋体" w:cs="Times New Roman"/>
                      <w:color w:val="auto"/>
                      <w:spacing w:val="2"/>
                      <w:sz w:val="21"/>
                      <w:szCs w:val="21"/>
                      <w:highlight w:val="none"/>
                      <w:u w:val="none" w:color="auto"/>
                    </w:rPr>
                    <w:t>t)</w:t>
                  </w:r>
                </w:p>
              </w:tc>
              <w:tc>
                <w:tcPr>
                  <w:tcW w:w="415" w:type="pct"/>
                  <w:vMerge w:val="restart"/>
                  <w:tcBorders>
                    <w:bottom w:val="nil"/>
                  </w:tcBorders>
                  <w:vAlign w:val="center"/>
                </w:tcPr>
                <w:p w14:paraId="56EA95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41" w:type="pct"/>
                  <w:vMerge w:val="restart"/>
                  <w:tcBorders>
                    <w:bottom w:val="nil"/>
                  </w:tcBorders>
                  <w:vAlign w:val="center"/>
                </w:tcPr>
                <w:p w14:paraId="100B691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0.17%</w:t>
                  </w:r>
                </w:p>
                <w:p w14:paraId="054EA3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(0.</w:t>
                  </w:r>
                  <w:r>
                    <w:rPr>
                      <w:rFonts w:hint="eastAsia" w:ascii="Times New Roman" w:hAnsi="Times New Roman" w:eastAsia="宋体" w:cs="Times New Roman"/>
                      <w:color w:val="auto"/>
                      <w:spacing w:val="2"/>
                      <w:sz w:val="21"/>
                      <w:szCs w:val="21"/>
                      <w:highlight w:val="none"/>
                      <w:u w:val="none" w:color="auto"/>
                      <w:lang w:val="en-US" w:eastAsia="zh-CN"/>
                    </w:rPr>
                    <w:t>0153</w:t>
                  </w:r>
                  <w:r>
                    <w:rPr>
                      <w:rFonts w:hint="default" w:ascii="Times New Roman" w:hAnsi="Times New Roman" w:eastAsia="宋体" w:cs="Times New Roman"/>
                      <w:color w:val="auto"/>
                      <w:spacing w:val="2"/>
                      <w:sz w:val="21"/>
                      <w:szCs w:val="21"/>
                      <w:highlight w:val="none"/>
                      <w:u w:val="none" w:color="auto"/>
                    </w:rPr>
                    <w:t>t)</w:t>
                  </w:r>
                </w:p>
              </w:tc>
              <w:tc>
                <w:tcPr>
                  <w:tcW w:w="516" w:type="pct"/>
                  <w:vMerge w:val="restart"/>
                  <w:tcBorders>
                    <w:bottom w:val="nil"/>
                  </w:tcBorders>
                  <w:vAlign w:val="center"/>
                </w:tcPr>
                <w:p w14:paraId="4C91911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0.5%</w:t>
                  </w:r>
                </w:p>
                <w:p w14:paraId="640AB03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0.045</w:t>
                  </w:r>
                  <w:r>
                    <w:rPr>
                      <w:rFonts w:hint="default" w:ascii="Times New Roman" w:hAnsi="Times New Roman" w:eastAsia="宋体" w:cs="Times New Roman"/>
                      <w:color w:val="auto"/>
                      <w:spacing w:val="2"/>
                      <w:sz w:val="21"/>
                      <w:szCs w:val="21"/>
                      <w:highlight w:val="none"/>
                      <w:u w:val="none" w:color="auto"/>
                    </w:rPr>
                    <w:t>t)</w:t>
                  </w:r>
                </w:p>
              </w:tc>
            </w:tr>
            <w:tr w14:paraId="0C1F8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96" w:type="pct"/>
                  <w:vAlign w:val="center"/>
                </w:tcPr>
                <w:p w14:paraId="358E522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pacing w:val="3"/>
                      <w:sz w:val="21"/>
                      <w:szCs w:val="21"/>
                      <w:highlight w:val="none"/>
                      <w:u w:val="none" w:color="auto"/>
                      <w:lang w:val="en-US" w:eastAsia="zh-CN"/>
                    </w:rPr>
                    <w:t>9</w:t>
                  </w:r>
                  <w:r>
                    <w:rPr>
                      <w:rFonts w:hint="default" w:ascii="Times New Roman" w:hAnsi="Times New Roman" w:eastAsia="宋体" w:cs="Times New Roman"/>
                      <w:color w:val="auto"/>
                      <w:spacing w:val="3"/>
                      <w:sz w:val="21"/>
                      <w:szCs w:val="21"/>
                      <w:highlight w:val="none"/>
                      <w:u w:val="none" w:color="auto"/>
                    </w:rPr>
                    <w:t>t</w:t>
                  </w:r>
                </w:p>
              </w:tc>
              <w:tc>
                <w:tcPr>
                  <w:tcW w:w="508" w:type="pct"/>
                  <w:vMerge w:val="continue"/>
                  <w:tcBorders>
                    <w:top w:val="nil"/>
                  </w:tcBorders>
                  <w:vAlign w:val="center"/>
                </w:tcPr>
                <w:p w14:paraId="6EA6DDB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91" w:type="pct"/>
                  <w:vMerge w:val="continue"/>
                  <w:tcBorders>
                    <w:top w:val="nil"/>
                  </w:tcBorders>
                  <w:vAlign w:val="center"/>
                </w:tcPr>
                <w:p w14:paraId="595755E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15" w:type="pct"/>
                  <w:vMerge w:val="continue"/>
                  <w:tcBorders>
                    <w:top w:val="nil"/>
                  </w:tcBorders>
                  <w:vAlign w:val="center"/>
                </w:tcPr>
                <w:p w14:paraId="3EBCCB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56" w:type="pct"/>
                  <w:vMerge w:val="continue"/>
                  <w:tcBorders>
                    <w:top w:val="nil"/>
                  </w:tcBorders>
                  <w:vAlign w:val="center"/>
                </w:tcPr>
                <w:p w14:paraId="2F81138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57" w:type="pct"/>
                  <w:vMerge w:val="continue"/>
                  <w:tcBorders>
                    <w:top w:val="nil"/>
                  </w:tcBorders>
                  <w:vAlign w:val="center"/>
                </w:tcPr>
                <w:p w14:paraId="450E78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15" w:type="pct"/>
                  <w:vMerge w:val="continue"/>
                  <w:tcBorders>
                    <w:top w:val="nil"/>
                  </w:tcBorders>
                  <w:vAlign w:val="center"/>
                </w:tcPr>
                <w:p w14:paraId="0A4114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541" w:type="pct"/>
                  <w:vMerge w:val="continue"/>
                  <w:tcBorders>
                    <w:top w:val="nil"/>
                  </w:tcBorders>
                  <w:vAlign w:val="center"/>
                </w:tcPr>
                <w:p w14:paraId="1D33707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516" w:type="pct"/>
                  <w:vMerge w:val="continue"/>
                  <w:tcBorders>
                    <w:top w:val="nil"/>
                  </w:tcBorders>
                  <w:vAlign w:val="center"/>
                </w:tcPr>
                <w:p w14:paraId="2BF742A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r>
            <w:tr w14:paraId="274CC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96" w:type="pct"/>
                  <w:vAlign w:val="center"/>
                </w:tcPr>
                <w:p w14:paraId="05A47D14">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9"/>
                      <w:sz w:val="21"/>
                      <w:szCs w:val="21"/>
                      <w:highlight w:val="none"/>
                      <w:u w:val="none" w:color="auto"/>
                    </w:rPr>
                    <w:t>量珠（绿色</w:t>
                  </w:r>
                  <w:r>
                    <w:rPr>
                      <w:rFonts w:hint="default" w:ascii="Times New Roman" w:hAnsi="Times New Roman" w:eastAsia="宋体" w:cs="Times New Roman"/>
                      <w:color w:val="auto"/>
                      <w:spacing w:val="-2"/>
                      <w:sz w:val="21"/>
                      <w:szCs w:val="21"/>
                      <w:highlight w:val="none"/>
                      <w:u w:val="none" w:color="auto"/>
                    </w:rPr>
                    <w:t>）（</w:t>
                  </w:r>
                  <w:r>
                    <w:rPr>
                      <w:rFonts w:hint="default" w:ascii="Times New Roman" w:hAnsi="Times New Roman" w:eastAsia="宋体" w:cs="Times New Roman"/>
                      <w:color w:val="auto"/>
                      <w:spacing w:val="9"/>
                      <w:sz w:val="21"/>
                      <w:szCs w:val="21"/>
                      <w:highlight w:val="none"/>
                      <w:u w:val="none" w:color="auto"/>
                    </w:rPr>
                    <w:t>30%）</w:t>
                  </w:r>
                </w:p>
              </w:tc>
              <w:tc>
                <w:tcPr>
                  <w:tcW w:w="508" w:type="pct"/>
                  <w:vMerge w:val="restart"/>
                  <w:tcBorders>
                    <w:bottom w:val="nil"/>
                  </w:tcBorders>
                  <w:vAlign w:val="center"/>
                </w:tcPr>
                <w:p w14:paraId="775F2A6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26%</w:t>
                  </w:r>
                </w:p>
                <w:p w14:paraId="1800D5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2.34</w:t>
                  </w:r>
                  <w:r>
                    <w:rPr>
                      <w:rFonts w:hint="default" w:ascii="Times New Roman" w:hAnsi="Times New Roman" w:eastAsia="宋体" w:cs="Times New Roman"/>
                      <w:color w:val="auto"/>
                      <w:spacing w:val="2"/>
                      <w:sz w:val="21"/>
                      <w:szCs w:val="21"/>
                      <w:highlight w:val="none"/>
                      <w:u w:val="none" w:color="auto"/>
                    </w:rPr>
                    <w:t>t)</w:t>
                  </w:r>
                </w:p>
              </w:tc>
              <w:tc>
                <w:tcPr>
                  <w:tcW w:w="491" w:type="pct"/>
                  <w:vMerge w:val="restart"/>
                  <w:tcBorders>
                    <w:bottom w:val="nil"/>
                  </w:tcBorders>
                  <w:vAlign w:val="center"/>
                </w:tcPr>
                <w:p w14:paraId="79919F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0.66%</w:t>
                  </w:r>
                </w:p>
                <w:p w14:paraId="6F12E0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0.0594</w:t>
                  </w:r>
                  <w:r>
                    <w:rPr>
                      <w:rFonts w:hint="default" w:ascii="Times New Roman" w:hAnsi="Times New Roman" w:eastAsia="宋体" w:cs="Times New Roman"/>
                      <w:color w:val="auto"/>
                      <w:spacing w:val="2"/>
                      <w:sz w:val="21"/>
                      <w:szCs w:val="21"/>
                      <w:highlight w:val="none"/>
                      <w:u w:val="none" w:color="auto"/>
                    </w:rPr>
                    <w:t>t)</w:t>
                  </w:r>
                </w:p>
              </w:tc>
              <w:tc>
                <w:tcPr>
                  <w:tcW w:w="415" w:type="pct"/>
                  <w:vMerge w:val="restart"/>
                  <w:tcBorders>
                    <w:bottom w:val="nil"/>
                  </w:tcBorders>
                  <w:vAlign w:val="center"/>
                </w:tcPr>
                <w:p w14:paraId="2D98544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6" w:type="pct"/>
                  <w:vMerge w:val="restart"/>
                  <w:tcBorders>
                    <w:bottom w:val="nil"/>
                  </w:tcBorders>
                  <w:vAlign w:val="center"/>
                </w:tcPr>
                <w:p w14:paraId="7E48E9E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22%</w:t>
                  </w:r>
                </w:p>
                <w:p w14:paraId="7926FFD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1.98</w:t>
                  </w:r>
                  <w:r>
                    <w:rPr>
                      <w:rFonts w:hint="default" w:ascii="Times New Roman" w:hAnsi="Times New Roman" w:eastAsia="宋体" w:cs="Times New Roman"/>
                      <w:color w:val="auto"/>
                      <w:spacing w:val="2"/>
                      <w:sz w:val="21"/>
                      <w:szCs w:val="21"/>
                      <w:highlight w:val="none"/>
                      <w:u w:val="none" w:color="auto"/>
                    </w:rPr>
                    <w:t>t)</w:t>
                  </w:r>
                </w:p>
              </w:tc>
              <w:tc>
                <w:tcPr>
                  <w:tcW w:w="457" w:type="pct"/>
                  <w:vMerge w:val="restart"/>
                  <w:tcBorders>
                    <w:bottom w:val="nil"/>
                  </w:tcBorders>
                  <w:vAlign w:val="center"/>
                </w:tcPr>
                <w:p w14:paraId="4564AA3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15" w:type="pct"/>
                  <w:vMerge w:val="restart"/>
                  <w:tcBorders>
                    <w:bottom w:val="nil"/>
                  </w:tcBorders>
                  <w:vAlign w:val="center"/>
                </w:tcPr>
                <w:p w14:paraId="7D1F994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50%</w:t>
                  </w:r>
                </w:p>
                <w:p w14:paraId="79693C9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4.5</w:t>
                  </w:r>
                  <w:r>
                    <w:rPr>
                      <w:rFonts w:hint="default" w:ascii="Times New Roman" w:hAnsi="Times New Roman" w:eastAsia="宋体" w:cs="Times New Roman"/>
                      <w:color w:val="auto"/>
                      <w:spacing w:val="2"/>
                      <w:sz w:val="21"/>
                      <w:szCs w:val="21"/>
                      <w:highlight w:val="none"/>
                      <w:u w:val="none" w:color="auto"/>
                    </w:rPr>
                    <w:t>t)</w:t>
                  </w:r>
                </w:p>
              </w:tc>
              <w:tc>
                <w:tcPr>
                  <w:tcW w:w="541" w:type="pct"/>
                  <w:vMerge w:val="restart"/>
                  <w:tcBorders>
                    <w:bottom w:val="nil"/>
                  </w:tcBorders>
                  <w:vAlign w:val="center"/>
                </w:tcPr>
                <w:p w14:paraId="698A7E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0.34%</w:t>
                  </w:r>
                </w:p>
                <w:p w14:paraId="3AB73D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0.0306</w:t>
                  </w:r>
                  <w:r>
                    <w:rPr>
                      <w:rFonts w:hint="default" w:ascii="Times New Roman" w:hAnsi="Times New Roman" w:eastAsia="宋体" w:cs="Times New Roman"/>
                      <w:color w:val="auto"/>
                      <w:spacing w:val="2"/>
                      <w:sz w:val="21"/>
                      <w:szCs w:val="21"/>
                      <w:highlight w:val="none"/>
                      <w:u w:val="none" w:color="auto"/>
                    </w:rPr>
                    <w:t>t)</w:t>
                  </w:r>
                </w:p>
              </w:tc>
              <w:tc>
                <w:tcPr>
                  <w:tcW w:w="516" w:type="pct"/>
                  <w:vMerge w:val="restart"/>
                  <w:tcBorders>
                    <w:bottom w:val="nil"/>
                  </w:tcBorders>
                  <w:vAlign w:val="center"/>
                </w:tcPr>
                <w:p w14:paraId="5953BA0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6"/>
                      <w:sz w:val="21"/>
                      <w:szCs w:val="21"/>
                      <w:highlight w:val="none"/>
                      <w:u w:val="none" w:color="auto"/>
                    </w:rPr>
                    <w:t>1%</w:t>
                  </w:r>
                </w:p>
                <w:p w14:paraId="29E119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0.09</w:t>
                  </w:r>
                  <w:r>
                    <w:rPr>
                      <w:rFonts w:hint="default" w:ascii="Times New Roman" w:hAnsi="Times New Roman" w:eastAsia="宋体" w:cs="Times New Roman"/>
                      <w:color w:val="auto"/>
                      <w:spacing w:val="2"/>
                      <w:sz w:val="21"/>
                      <w:szCs w:val="21"/>
                      <w:highlight w:val="none"/>
                      <w:u w:val="none" w:color="auto"/>
                    </w:rPr>
                    <w:t>t)</w:t>
                  </w:r>
                </w:p>
              </w:tc>
            </w:tr>
            <w:tr w14:paraId="06B45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96" w:type="pct"/>
                  <w:vAlign w:val="center"/>
                </w:tcPr>
                <w:p w14:paraId="01A9FCB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pacing w:val="3"/>
                      <w:sz w:val="21"/>
                      <w:szCs w:val="21"/>
                      <w:highlight w:val="none"/>
                      <w:u w:val="none" w:color="auto"/>
                      <w:lang w:val="en-US" w:eastAsia="zh-CN"/>
                    </w:rPr>
                    <w:t>9</w:t>
                  </w:r>
                  <w:r>
                    <w:rPr>
                      <w:rFonts w:hint="default" w:ascii="Times New Roman" w:hAnsi="Times New Roman" w:eastAsia="宋体" w:cs="Times New Roman"/>
                      <w:color w:val="auto"/>
                      <w:spacing w:val="3"/>
                      <w:sz w:val="21"/>
                      <w:szCs w:val="21"/>
                      <w:highlight w:val="none"/>
                      <w:u w:val="none" w:color="auto"/>
                    </w:rPr>
                    <w:t>t</w:t>
                  </w:r>
                </w:p>
              </w:tc>
              <w:tc>
                <w:tcPr>
                  <w:tcW w:w="508" w:type="pct"/>
                  <w:vMerge w:val="continue"/>
                  <w:tcBorders>
                    <w:top w:val="nil"/>
                  </w:tcBorders>
                  <w:vAlign w:val="center"/>
                </w:tcPr>
                <w:p w14:paraId="1A3C17E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91" w:type="pct"/>
                  <w:vMerge w:val="continue"/>
                  <w:tcBorders>
                    <w:top w:val="nil"/>
                  </w:tcBorders>
                  <w:vAlign w:val="center"/>
                </w:tcPr>
                <w:p w14:paraId="1881C1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15" w:type="pct"/>
                  <w:vMerge w:val="continue"/>
                  <w:tcBorders>
                    <w:top w:val="nil"/>
                  </w:tcBorders>
                  <w:vAlign w:val="center"/>
                </w:tcPr>
                <w:p w14:paraId="1480C1D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56" w:type="pct"/>
                  <w:vMerge w:val="continue"/>
                  <w:tcBorders>
                    <w:top w:val="nil"/>
                  </w:tcBorders>
                  <w:vAlign w:val="center"/>
                </w:tcPr>
                <w:p w14:paraId="6527DED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57" w:type="pct"/>
                  <w:vMerge w:val="continue"/>
                  <w:tcBorders>
                    <w:top w:val="nil"/>
                  </w:tcBorders>
                  <w:vAlign w:val="center"/>
                </w:tcPr>
                <w:p w14:paraId="142E1A2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415" w:type="pct"/>
                  <w:vMerge w:val="continue"/>
                  <w:tcBorders>
                    <w:top w:val="nil"/>
                  </w:tcBorders>
                  <w:vAlign w:val="center"/>
                </w:tcPr>
                <w:p w14:paraId="213971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541" w:type="pct"/>
                  <w:vMerge w:val="continue"/>
                  <w:tcBorders>
                    <w:top w:val="nil"/>
                  </w:tcBorders>
                  <w:vAlign w:val="center"/>
                </w:tcPr>
                <w:p w14:paraId="0C90DCC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c>
                <w:tcPr>
                  <w:tcW w:w="516" w:type="pct"/>
                  <w:vMerge w:val="continue"/>
                  <w:tcBorders>
                    <w:top w:val="nil"/>
                  </w:tcBorders>
                  <w:vAlign w:val="center"/>
                </w:tcPr>
                <w:p w14:paraId="6DC43F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p>
              </w:tc>
            </w:tr>
            <w:tr w14:paraId="6B0D4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196" w:type="pct"/>
                  <w:vAlign w:val="center"/>
                </w:tcPr>
                <w:p w14:paraId="58065D0A">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开包药（20%）</w:t>
                  </w:r>
                </w:p>
                <w:p w14:paraId="593543B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pacing w:val="2"/>
                      <w:sz w:val="21"/>
                      <w:szCs w:val="21"/>
                      <w:highlight w:val="none"/>
                      <w:u w:val="none" w:color="auto"/>
                      <w:lang w:val="en-US" w:eastAsia="zh-CN"/>
                    </w:rPr>
                    <w:t>6</w:t>
                  </w:r>
                  <w:r>
                    <w:rPr>
                      <w:rFonts w:hint="default" w:ascii="Times New Roman" w:hAnsi="Times New Roman" w:eastAsia="宋体" w:cs="Times New Roman"/>
                      <w:color w:val="auto"/>
                      <w:spacing w:val="2"/>
                      <w:sz w:val="21"/>
                      <w:szCs w:val="21"/>
                      <w:highlight w:val="none"/>
                      <w:u w:val="none" w:color="auto"/>
                    </w:rPr>
                    <w:t>t</w:t>
                  </w:r>
                </w:p>
              </w:tc>
              <w:tc>
                <w:tcPr>
                  <w:tcW w:w="508" w:type="pct"/>
                  <w:vAlign w:val="center"/>
                </w:tcPr>
                <w:p w14:paraId="4159A3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50%</w:t>
                  </w:r>
                </w:p>
                <w:p w14:paraId="5A75F85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3</w:t>
                  </w:r>
                  <w:r>
                    <w:rPr>
                      <w:rFonts w:hint="default" w:ascii="Times New Roman" w:hAnsi="Times New Roman" w:eastAsia="宋体" w:cs="Times New Roman"/>
                      <w:color w:val="auto"/>
                      <w:spacing w:val="2"/>
                      <w:sz w:val="21"/>
                      <w:szCs w:val="21"/>
                      <w:highlight w:val="none"/>
                      <w:u w:val="none" w:color="auto"/>
                    </w:rPr>
                    <w:t>t)</w:t>
                  </w:r>
                </w:p>
              </w:tc>
              <w:tc>
                <w:tcPr>
                  <w:tcW w:w="491" w:type="pct"/>
                  <w:vAlign w:val="center"/>
                </w:tcPr>
                <w:p w14:paraId="33C83FF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25%</w:t>
                  </w:r>
                </w:p>
                <w:p w14:paraId="0988630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1.5</w:t>
                  </w:r>
                  <w:r>
                    <w:rPr>
                      <w:rFonts w:hint="default" w:ascii="Times New Roman" w:hAnsi="Times New Roman" w:eastAsia="宋体" w:cs="Times New Roman"/>
                      <w:color w:val="auto"/>
                      <w:spacing w:val="2"/>
                      <w:sz w:val="21"/>
                      <w:szCs w:val="21"/>
                      <w:highlight w:val="none"/>
                      <w:u w:val="none" w:color="auto"/>
                    </w:rPr>
                    <w:t>t)</w:t>
                  </w:r>
                </w:p>
              </w:tc>
              <w:tc>
                <w:tcPr>
                  <w:tcW w:w="415" w:type="pct"/>
                  <w:vAlign w:val="center"/>
                </w:tcPr>
                <w:p w14:paraId="4B48FBC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25%</w:t>
                  </w:r>
                </w:p>
                <w:p w14:paraId="28691E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1.5</w:t>
                  </w:r>
                  <w:r>
                    <w:rPr>
                      <w:rFonts w:hint="default" w:ascii="Times New Roman" w:hAnsi="Times New Roman" w:eastAsia="宋体" w:cs="Times New Roman"/>
                      <w:color w:val="auto"/>
                      <w:spacing w:val="2"/>
                      <w:sz w:val="21"/>
                      <w:szCs w:val="21"/>
                      <w:highlight w:val="none"/>
                      <w:u w:val="none" w:color="auto"/>
                    </w:rPr>
                    <w:t>t)</w:t>
                  </w:r>
                </w:p>
              </w:tc>
              <w:tc>
                <w:tcPr>
                  <w:tcW w:w="456" w:type="pct"/>
                  <w:vAlign w:val="center"/>
                </w:tcPr>
                <w:p w14:paraId="43A469F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7" w:type="pct"/>
                  <w:vAlign w:val="center"/>
                </w:tcPr>
                <w:p w14:paraId="564C684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15" w:type="pct"/>
                  <w:vAlign w:val="center"/>
                </w:tcPr>
                <w:p w14:paraId="5E4D26E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41" w:type="pct"/>
                  <w:vAlign w:val="center"/>
                </w:tcPr>
                <w:p w14:paraId="022BBE1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16" w:type="pct"/>
                  <w:vAlign w:val="center"/>
                </w:tcPr>
                <w:p w14:paraId="67B9A7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r>
            <w:tr w14:paraId="555B5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5000" w:type="pct"/>
                  <w:gridSpan w:val="9"/>
                  <w:vAlign w:val="center"/>
                </w:tcPr>
                <w:p w14:paraId="79A41B29">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爆竹</w:t>
                  </w:r>
                </w:p>
              </w:tc>
            </w:tr>
            <w:tr w14:paraId="5E8CC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196" w:type="pct"/>
                  <w:vAlign w:val="center"/>
                </w:tcPr>
                <w:p w14:paraId="35A206A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6"/>
                      <w:sz w:val="21"/>
                      <w:szCs w:val="21"/>
                      <w:highlight w:val="none"/>
                      <w:u w:val="none" w:color="auto"/>
                    </w:rPr>
                    <w:t>爆竹</w:t>
                  </w:r>
                  <w:r>
                    <w:rPr>
                      <w:rFonts w:hint="eastAsia" w:ascii="Times New Roman" w:hAnsi="Times New Roman" w:eastAsia="宋体" w:cs="Times New Roman"/>
                      <w:color w:val="auto"/>
                      <w:spacing w:val="1"/>
                      <w:sz w:val="21"/>
                      <w:szCs w:val="21"/>
                      <w:highlight w:val="none"/>
                      <w:u w:val="none" w:color="auto"/>
                      <w:lang w:val="en-US" w:eastAsia="zh-CN"/>
                    </w:rPr>
                    <w:t>20</w:t>
                  </w:r>
                  <w:r>
                    <w:rPr>
                      <w:rFonts w:hint="default" w:ascii="Times New Roman" w:hAnsi="Times New Roman" w:eastAsia="宋体" w:cs="Times New Roman"/>
                      <w:color w:val="auto"/>
                      <w:spacing w:val="1"/>
                      <w:sz w:val="21"/>
                      <w:szCs w:val="21"/>
                      <w:highlight w:val="none"/>
                      <w:u w:val="none" w:color="auto"/>
                    </w:rPr>
                    <w:t>t</w:t>
                  </w:r>
                </w:p>
              </w:tc>
              <w:tc>
                <w:tcPr>
                  <w:tcW w:w="508" w:type="pct"/>
                  <w:vAlign w:val="center"/>
                </w:tcPr>
                <w:p w14:paraId="4E92245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50%</w:t>
                  </w:r>
                </w:p>
                <w:p w14:paraId="59A1E29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10</w:t>
                  </w:r>
                  <w:r>
                    <w:rPr>
                      <w:rFonts w:hint="default" w:ascii="Times New Roman" w:hAnsi="Times New Roman" w:eastAsia="宋体" w:cs="Times New Roman"/>
                      <w:color w:val="auto"/>
                      <w:spacing w:val="2"/>
                      <w:sz w:val="21"/>
                      <w:szCs w:val="21"/>
                      <w:highlight w:val="none"/>
                      <w:u w:val="none" w:color="auto"/>
                    </w:rPr>
                    <w:t>t)</w:t>
                  </w:r>
                </w:p>
              </w:tc>
              <w:tc>
                <w:tcPr>
                  <w:tcW w:w="491" w:type="pct"/>
                  <w:vAlign w:val="center"/>
                </w:tcPr>
                <w:p w14:paraId="0B1A504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25%</w:t>
                  </w:r>
                </w:p>
                <w:p w14:paraId="15808D7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5</w:t>
                  </w:r>
                  <w:r>
                    <w:rPr>
                      <w:rFonts w:hint="default" w:ascii="Times New Roman" w:hAnsi="Times New Roman" w:eastAsia="宋体" w:cs="Times New Roman"/>
                      <w:color w:val="auto"/>
                      <w:spacing w:val="2"/>
                      <w:sz w:val="21"/>
                      <w:szCs w:val="21"/>
                      <w:highlight w:val="none"/>
                      <w:u w:val="none" w:color="auto"/>
                    </w:rPr>
                    <w:t>t)</w:t>
                  </w:r>
                </w:p>
              </w:tc>
              <w:tc>
                <w:tcPr>
                  <w:tcW w:w="415" w:type="pct"/>
                  <w:vAlign w:val="center"/>
                </w:tcPr>
                <w:p w14:paraId="646E3B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25%</w:t>
                  </w:r>
                </w:p>
                <w:p w14:paraId="67456C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r>
                    <w:rPr>
                      <w:rFonts w:hint="eastAsia" w:ascii="Times New Roman" w:hAnsi="Times New Roman" w:eastAsia="宋体" w:cs="Times New Roman"/>
                      <w:color w:val="auto"/>
                      <w:spacing w:val="2"/>
                      <w:sz w:val="21"/>
                      <w:szCs w:val="21"/>
                      <w:highlight w:val="none"/>
                      <w:u w:val="none" w:color="auto"/>
                      <w:lang w:val="en-US" w:eastAsia="zh-CN"/>
                    </w:rPr>
                    <w:t>5</w:t>
                  </w:r>
                  <w:r>
                    <w:rPr>
                      <w:rFonts w:hint="default" w:ascii="Times New Roman" w:hAnsi="Times New Roman" w:eastAsia="宋体" w:cs="Times New Roman"/>
                      <w:color w:val="auto"/>
                      <w:spacing w:val="2"/>
                      <w:sz w:val="21"/>
                      <w:szCs w:val="21"/>
                      <w:highlight w:val="none"/>
                      <w:u w:val="none" w:color="auto"/>
                    </w:rPr>
                    <w:t>t)</w:t>
                  </w:r>
                </w:p>
              </w:tc>
              <w:tc>
                <w:tcPr>
                  <w:tcW w:w="456" w:type="pct"/>
                  <w:vAlign w:val="center"/>
                </w:tcPr>
                <w:p w14:paraId="44EFA7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57" w:type="pct"/>
                  <w:vAlign w:val="center"/>
                </w:tcPr>
                <w:p w14:paraId="39D7F36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415" w:type="pct"/>
                  <w:vAlign w:val="center"/>
                </w:tcPr>
                <w:p w14:paraId="3331DBD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41" w:type="pct"/>
                  <w:vAlign w:val="center"/>
                </w:tcPr>
                <w:p w14:paraId="620436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c>
                <w:tcPr>
                  <w:tcW w:w="516" w:type="pct"/>
                  <w:vAlign w:val="center"/>
                </w:tcPr>
                <w:p w14:paraId="4BB1ACD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2"/>
                      <w:sz w:val="21"/>
                      <w:szCs w:val="21"/>
                      <w:highlight w:val="none"/>
                      <w:u w:val="none" w:color="auto"/>
                    </w:rPr>
                    <w:t>/</w:t>
                  </w:r>
                </w:p>
              </w:tc>
            </w:tr>
            <w:tr w14:paraId="59D57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196" w:type="pct"/>
                  <w:vAlign w:val="center"/>
                </w:tcPr>
                <w:p w14:paraId="1175A931">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合计</w:t>
                  </w:r>
                </w:p>
              </w:tc>
              <w:tc>
                <w:tcPr>
                  <w:tcW w:w="508" w:type="pct"/>
                  <w:vAlign w:val="center"/>
                </w:tcPr>
                <w:p w14:paraId="0DA7C8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pacing w:val="1"/>
                      <w:sz w:val="21"/>
                      <w:szCs w:val="21"/>
                      <w:highlight w:val="none"/>
                      <w:u w:val="none" w:color="auto"/>
                      <w:lang w:val="en-US" w:eastAsia="zh-CN"/>
                    </w:rPr>
                    <w:t>19.39</w:t>
                  </w:r>
                </w:p>
              </w:tc>
              <w:tc>
                <w:tcPr>
                  <w:tcW w:w="491" w:type="pct"/>
                  <w:vAlign w:val="center"/>
                </w:tcPr>
                <w:p w14:paraId="7E6FFDC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pacing w:val="1"/>
                      <w:sz w:val="21"/>
                      <w:szCs w:val="21"/>
                      <w:highlight w:val="none"/>
                      <w:u w:val="none" w:color="auto"/>
                      <w:lang w:val="en-US" w:eastAsia="zh-CN"/>
                    </w:rPr>
                    <w:t>8.5691</w:t>
                  </w:r>
                </w:p>
              </w:tc>
              <w:tc>
                <w:tcPr>
                  <w:tcW w:w="415" w:type="pct"/>
                  <w:vAlign w:val="center"/>
                </w:tcPr>
                <w:p w14:paraId="37A2011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6.5</w:t>
                  </w:r>
                </w:p>
              </w:tc>
              <w:tc>
                <w:tcPr>
                  <w:tcW w:w="456" w:type="pct"/>
                  <w:vAlign w:val="center"/>
                </w:tcPr>
                <w:p w14:paraId="1531FDD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3.96</w:t>
                  </w:r>
                </w:p>
              </w:tc>
              <w:tc>
                <w:tcPr>
                  <w:tcW w:w="457" w:type="pct"/>
                  <w:vAlign w:val="center"/>
                </w:tcPr>
                <w:p w14:paraId="51F2A8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2.88</w:t>
                  </w:r>
                </w:p>
              </w:tc>
              <w:tc>
                <w:tcPr>
                  <w:tcW w:w="415" w:type="pct"/>
                  <w:vAlign w:val="center"/>
                </w:tcPr>
                <w:p w14:paraId="691B0ED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4.5</w:t>
                  </w:r>
                </w:p>
              </w:tc>
              <w:tc>
                <w:tcPr>
                  <w:tcW w:w="541" w:type="pct"/>
                  <w:vAlign w:val="center"/>
                </w:tcPr>
                <w:p w14:paraId="138DFE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1.0659</w:t>
                  </w:r>
                </w:p>
              </w:tc>
              <w:tc>
                <w:tcPr>
                  <w:tcW w:w="516" w:type="pct"/>
                  <w:vAlign w:val="center"/>
                </w:tcPr>
                <w:p w14:paraId="1797CDF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3.135</w:t>
                  </w:r>
                </w:p>
              </w:tc>
            </w:tr>
          </w:tbl>
          <w:p w14:paraId="163487EC">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70" w:firstLineChars="200"/>
              <w:textAlignment w:val="auto"/>
              <w:rPr>
                <w:b/>
                <w:bCs/>
                <w:color w:val="auto"/>
                <w:sz w:val="24"/>
                <w:szCs w:val="24"/>
                <w:highlight w:val="none"/>
              </w:rPr>
            </w:pPr>
            <w:r>
              <w:rPr>
                <w:rFonts w:hint="eastAsia"/>
                <w:b/>
                <w:bCs/>
                <w:color w:val="auto"/>
                <w:spacing w:val="-3"/>
                <w:position w:val="2"/>
                <w:sz w:val="24"/>
                <w:szCs w:val="24"/>
                <w:highlight w:val="none"/>
                <w:lang w:val="en-US" w:eastAsia="zh-CN"/>
              </w:rPr>
              <w:t>6、</w:t>
            </w:r>
            <w:r>
              <w:rPr>
                <w:b/>
                <w:bCs/>
                <w:color w:val="auto"/>
                <w:spacing w:val="-3"/>
                <w:position w:val="2"/>
                <w:sz w:val="24"/>
                <w:szCs w:val="24"/>
                <w:highlight w:val="none"/>
              </w:rPr>
              <w:t>贮存物质特性</w:t>
            </w:r>
          </w:p>
          <w:p w14:paraId="175F4D9F">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textAlignment w:val="auto"/>
              <w:rPr>
                <w:color w:val="auto"/>
                <w:sz w:val="24"/>
                <w:szCs w:val="24"/>
                <w:highlight w:val="none"/>
              </w:rPr>
            </w:pPr>
            <w:r>
              <w:rPr>
                <w:color w:val="auto"/>
                <w:spacing w:val="-7"/>
                <w:sz w:val="24"/>
                <w:szCs w:val="24"/>
                <w:highlight w:val="none"/>
              </w:rPr>
              <w:t>烟花爆竹是以烟火药为原料制成的工艺美术品，通过着火源作用燃烧（爆炸）并伴有声、</w:t>
            </w:r>
            <w:r>
              <w:rPr>
                <w:color w:val="auto"/>
                <w:spacing w:val="-1"/>
                <w:sz w:val="24"/>
                <w:szCs w:val="24"/>
                <w:highlight w:val="none"/>
              </w:rPr>
              <w:t>光、色、烟雾等效果的娱乐产品。</w:t>
            </w:r>
          </w:p>
          <w:p w14:paraId="1DC780AE">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8" w:firstLineChars="200"/>
              <w:textAlignment w:val="auto"/>
              <w:rPr>
                <w:color w:val="auto"/>
                <w:sz w:val="24"/>
                <w:szCs w:val="24"/>
                <w:highlight w:val="none"/>
              </w:rPr>
            </w:pPr>
            <w:r>
              <w:rPr>
                <w:color w:val="auto"/>
                <w:spacing w:val="2"/>
                <w:sz w:val="24"/>
                <w:szCs w:val="24"/>
                <w:highlight w:val="none"/>
              </w:rPr>
              <w:t>根据国家标准《烟花爆竹安全与质量》（</w:t>
            </w:r>
            <w:r>
              <w:rPr>
                <w:rFonts w:ascii="Times New Roman" w:hAnsi="Times New Roman" w:eastAsia="Times New Roman" w:cs="Times New Roman"/>
                <w:color w:val="auto"/>
                <w:sz w:val="24"/>
                <w:szCs w:val="24"/>
                <w:highlight w:val="none"/>
              </w:rPr>
              <w:t>GB</w:t>
            </w:r>
            <w:r>
              <w:rPr>
                <w:rFonts w:ascii="Times New Roman" w:hAnsi="Times New Roman" w:eastAsia="Times New Roman" w:cs="Times New Roman"/>
                <w:color w:val="auto"/>
                <w:spacing w:val="2"/>
                <w:sz w:val="24"/>
                <w:szCs w:val="24"/>
                <w:highlight w:val="none"/>
              </w:rPr>
              <w:t>10631-2013</w:t>
            </w:r>
            <w:r>
              <w:rPr>
                <w:color w:val="auto"/>
                <w:spacing w:val="2"/>
                <w:sz w:val="24"/>
                <w:szCs w:val="24"/>
                <w:highlight w:val="none"/>
              </w:rPr>
              <w:t>）中，按照产品的药量及</w:t>
            </w:r>
            <w:r>
              <w:rPr>
                <w:color w:val="auto"/>
                <w:spacing w:val="1"/>
                <w:sz w:val="24"/>
                <w:szCs w:val="24"/>
                <w:highlight w:val="none"/>
              </w:rPr>
              <w:t>所能</w:t>
            </w:r>
            <w:r>
              <w:rPr>
                <w:color w:val="auto"/>
                <w:spacing w:val="-1"/>
                <w:sz w:val="24"/>
                <w:szCs w:val="24"/>
                <w:highlight w:val="none"/>
              </w:rPr>
              <w:t>构成的危险性将烟花爆竹分为以下四级：</w:t>
            </w:r>
          </w:p>
          <w:p w14:paraId="127E14BE">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z w:val="24"/>
                <w:szCs w:val="24"/>
                <w:highlight w:val="none"/>
              </w:rPr>
            </w:pPr>
            <w:r>
              <w:rPr>
                <w:rFonts w:ascii="Times New Roman" w:hAnsi="Times New Roman" w:eastAsia="Times New Roman" w:cs="Times New Roman"/>
                <w:color w:val="auto"/>
                <w:sz w:val="24"/>
                <w:szCs w:val="24"/>
                <w:highlight w:val="none"/>
              </w:rPr>
              <w:t>A</w:t>
            </w:r>
            <w:r>
              <w:rPr>
                <w:color w:val="auto"/>
                <w:sz w:val="24"/>
                <w:szCs w:val="24"/>
                <w:highlight w:val="none"/>
              </w:rPr>
              <w:t>级：适用于由专业燃放人员燃放，在特定条件下燃放</w:t>
            </w:r>
            <w:r>
              <w:rPr>
                <w:color w:val="auto"/>
                <w:spacing w:val="-1"/>
                <w:sz w:val="24"/>
                <w:szCs w:val="24"/>
                <w:highlight w:val="none"/>
              </w:rPr>
              <w:t>的产品。</w:t>
            </w:r>
          </w:p>
          <w:p w14:paraId="188F99EB">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color w:val="auto"/>
                <w:sz w:val="24"/>
                <w:szCs w:val="24"/>
                <w:highlight w:val="none"/>
              </w:rPr>
            </w:pPr>
            <w:r>
              <w:rPr>
                <w:rFonts w:ascii="Times New Roman" w:hAnsi="Times New Roman" w:eastAsia="Times New Roman" w:cs="Times New Roman"/>
                <w:color w:val="auto"/>
                <w:spacing w:val="-1"/>
                <w:sz w:val="24"/>
                <w:szCs w:val="24"/>
                <w:highlight w:val="none"/>
              </w:rPr>
              <w:t>B</w:t>
            </w:r>
            <w:r>
              <w:rPr>
                <w:color w:val="auto"/>
                <w:spacing w:val="-1"/>
                <w:sz w:val="24"/>
                <w:szCs w:val="24"/>
                <w:highlight w:val="none"/>
              </w:rPr>
              <w:t>级：适用于室外大的开放空间燃放的产品，当按照说明燃放时，距离产品及其燃放轨迹</w:t>
            </w:r>
            <w:r>
              <w:rPr>
                <w:rFonts w:ascii="Times New Roman" w:hAnsi="Times New Roman" w:eastAsia="Times New Roman" w:cs="Times New Roman"/>
                <w:color w:val="auto"/>
                <w:spacing w:val="-1"/>
                <w:sz w:val="24"/>
                <w:szCs w:val="24"/>
                <w:highlight w:val="none"/>
              </w:rPr>
              <w:t>25m</w:t>
            </w:r>
            <w:r>
              <w:rPr>
                <w:color w:val="auto"/>
                <w:spacing w:val="-1"/>
                <w:sz w:val="24"/>
                <w:szCs w:val="24"/>
                <w:highlight w:val="none"/>
              </w:rPr>
              <w:t>以上的人或财产不应受到伤害。</w:t>
            </w:r>
          </w:p>
          <w:p w14:paraId="03B867CB">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color w:val="auto"/>
                <w:sz w:val="24"/>
                <w:szCs w:val="24"/>
                <w:highlight w:val="none"/>
              </w:rPr>
            </w:pPr>
            <w:r>
              <w:rPr>
                <w:rFonts w:ascii="Times New Roman" w:hAnsi="Times New Roman" w:eastAsia="Times New Roman" w:cs="Times New Roman"/>
                <w:color w:val="auto"/>
                <w:spacing w:val="-1"/>
                <w:sz w:val="24"/>
                <w:szCs w:val="24"/>
                <w:highlight w:val="none"/>
              </w:rPr>
              <w:t>C</w:t>
            </w:r>
            <w:r>
              <w:rPr>
                <w:color w:val="auto"/>
                <w:spacing w:val="-1"/>
                <w:sz w:val="24"/>
                <w:szCs w:val="24"/>
                <w:highlight w:val="none"/>
              </w:rPr>
              <w:t>级：适用于室外相对开放的空间燃放的产品，当按照说明燃放时，距离产品及其燃放</w:t>
            </w:r>
            <w:r>
              <w:rPr>
                <w:color w:val="auto"/>
                <w:sz w:val="24"/>
                <w:szCs w:val="24"/>
                <w:highlight w:val="none"/>
              </w:rPr>
              <w:t>轨迹</w:t>
            </w:r>
            <w:r>
              <w:rPr>
                <w:rFonts w:ascii="Times New Roman" w:hAnsi="Times New Roman" w:eastAsia="Times New Roman" w:cs="Times New Roman"/>
                <w:color w:val="auto"/>
                <w:sz w:val="24"/>
                <w:szCs w:val="24"/>
                <w:highlight w:val="none"/>
              </w:rPr>
              <w:t>5m</w:t>
            </w:r>
            <w:r>
              <w:rPr>
                <w:color w:val="auto"/>
                <w:sz w:val="24"/>
                <w:szCs w:val="24"/>
                <w:highlight w:val="none"/>
              </w:rPr>
              <w:t>以上的人或财产不应受到伤害。对于手持</w:t>
            </w:r>
            <w:r>
              <w:rPr>
                <w:color w:val="auto"/>
                <w:spacing w:val="-1"/>
                <w:sz w:val="24"/>
                <w:szCs w:val="24"/>
                <w:highlight w:val="none"/>
              </w:rPr>
              <w:t>类产品，手持者不应受到伤害。</w:t>
            </w:r>
          </w:p>
          <w:p w14:paraId="5B27414A">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color w:val="auto"/>
                <w:sz w:val="24"/>
                <w:szCs w:val="24"/>
                <w:highlight w:val="none"/>
              </w:rPr>
            </w:pPr>
            <w:r>
              <w:rPr>
                <w:rFonts w:ascii="Times New Roman" w:hAnsi="Times New Roman" w:eastAsia="Times New Roman" w:cs="Times New Roman"/>
                <w:color w:val="auto"/>
                <w:spacing w:val="-4"/>
                <w:sz w:val="24"/>
                <w:szCs w:val="24"/>
                <w:highlight w:val="none"/>
              </w:rPr>
              <w:t>D</w:t>
            </w:r>
            <w:r>
              <w:rPr>
                <w:color w:val="auto"/>
                <w:spacing w:val="-4"/>
                <w:sz w:val="24"/>
                <w:szCs w:val="24"/>
                <w:highlight w:val="none"/>
              </w:rPr>
              <w:t>级：适用于近距离燃放，当按照说明燃放时，距离产品及其燃放轨迹</w:t>
            </w:r>
            <w:r>
              <w:rPr>
                <w:rFonts w:ascii="Times New Roman" w:hAnsi="Times New Roman" w:eastAsia="Times New Roman" w:cs="Times New Roman"/>
                <w:color w:val="auto"/>
                <w:spacing w:val="-4"/>
                <w:sz w:val="24"/>
                <w:szCs w:val="24"/>
                <w:highlight w:val="none"/>
              </w:rPr>
              <w:t>1m</w:t>
            </w:r>
            <w:r>
              <w:rPr>
                <w:color w:val="auto"/>
                <w:spacing w:val="-4"/>
                <w:sz w:val="24"/>
                <w:szCs w:val="24"/>
                <w:highlight w:val="none"/>
              </w:rPr>
              <w:t>以上的人或财</w:t>
            </w:r>
            <w:r>
              <w:rPr>
                <w:color w:val="auto"/>
                <w:spacing w:val="-1"/>
                <w:sz w:val="24"/>
                <w:szCs w:val="24"/>
                <w:highlight w:val="none"/>
              </w:rPr>
              <w:t>产不应受到伤害。对于手持类产品，手持者不应受到伤害。</w:t>
            </w:r>
          </w:p>
          <w:p w14:paraId="7C987791">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textAlignment w:val="auto"/>
              <w:rPr>
                <w:rFonts w:ascii="Arial"/>
                <w:color w:val="auto"/>
                <w:sz w:val="24"/>
                <w:szCs w:val="24"/>
                <w:highlight w:val="none"/>
              </w:rPr>
            </w:pPr>
            <w:r>
              <w:rPr>
                <w:color w:val="auto"/>
                <w:spacing w:val="-7"/>
                <w:sz w:val="24"/>
                <w:szCs w:val="24"/>
                <w:highlight w:val="none"/>
              </w:rPr>
              <w:t>本项目仓库储存产品属于烟花</w:t>
            </w:r>
            <w:r>
              <w:rPr>
                <w:rFonts w:hint="eastAsia"/>
                <w:color w:val="auto"/>
                <w:spacing w:val="-7"/>
                <w:sz w:val="24"/>
                <w:szCs w:val="24"/>
                <w:highlight w:val="none"/>
                <w:lang w:val="en-US" w:eastAsia="zh-CN"/>
              </w:rPr>
              <w:t>A、B、</w:t>
            </w:r>
            <w:r>
              <w:rPr>
                <w:rFonts w:ascii="Times New Roman" w:hAnsi="Times New Roman" w:eastAsia="Times New Roman" w:cs="Times New Roman"/>
                <w:color w:val="auto"/>
                <w:spacing w:val="-7"/>
                <w:sz w:val="24"/>
                <w:szCs w:val="24"/>
                <w:highlight w:val="none"/>
              </w:rPr>
              <w:t>C</w:t>
            </w:r>
            <w:r>
              <w:rPr>
                <w:color w:val="auto"/>
                <w:spacing w:val="-7"/>
                <w:sz w:val="24"/>
                <w:szCs w:val="24"/>
                <w:highlight w:val="none"/>
              </w:rPr>
              <w:t>、</w:t>
            </w:r>
            <w:r>
              <w:rPr>
                <w:rFonts w:ascii="Times New Roman" w:hAnsi="Times New Roman" w:eastAsia="Times New Roman" w:cs="Times New Roman"/>
                <w:color w:val="auto"/>
                <w:spacing w:val="-7"/>
                <w:sz w:val="24"/>
                <w:szCs w:val="24"/>
                <w:highlight w:val="none"/>
              </w:rPr>
              <w:t>D</w:t>
            </w:r>
            <w:r>
              <w:rPr>
                <w:color w:val="auto"/>
                <w:spacing w:val="-7"/>
                <w:sz w:val="24"/>
                <w:szCs w:val="24"/>
                <w:highlight w:val="none"/>
              </w:rPr>
              <w:t>级，爆竹</w:t>
            </w:r>
            <w:r>
              <w:rPr>
                <w:rFonts w:ascii="Times New Roman" w:hAnsi="Times New Roman" w:eastAsia="Times New Roman" w:cs="Times New Roman"/>
                <w:color w:val="auto"/>
                <w:spacing w:val="-7"/>
                <w:sz w:val="24"/>
                <w:szCs w:val="24"/>
                <w:highlight w:val="none"/>
              </w:rPr>
              <w:t>C</w:t>
            </w:r>
            <w:r>
              <w:rPr>
                <w:color w:val="auto"/>
                <w:spacing w:val="-7"/>
                <w:sz w:val="24"/>
                <w:szCs w:val="24"/>
                <w:highlight w:val="none"/>
              </w:rPr>
              <w:t>级产品，产品类型包含有升空类、喷花类、</w:t>
            </w:r>
            <w:r>
              <w:rPr>
                <w:color w:val="auto"/>
                <w:spacing w:val="-2"/>
                <w:sz w:val="24"/>
                <w:szCs w:val="24"/>
                <w:highlight w:val="none"/>
              </w:rPr>
              <w:t>吐珠类烟花和爆竹类等。</w:t>
            </w:r>
          </w:p>
          <w:p w14:paraId="372E6616">
            <w:pPr>
              <w:pStyle w:val="59"/>
              <w:spacing w:before="121" w:line="361" w:lineRule="auto"/>
              <w:ind w:left="107" w:right="103" w:firstLine="480"/>
              <w:jc w:val="both"/>
              <w:rPr>
                <w:color w:val="auto"/>
                <w:highlight w:val="none"/>
              </w:rPr>
            </w:pPr>
            <w:r>
              <w:rPr>
                <w:color w:val="auto"/>
                <w:spacing w:val="-3"/>
                <w:highlight w:val="none"/>
              </w:rPr>
              <w:t>烟花爆竹生产中所用的原材料主要分为化工材料、约张与纸板、引火线、包装材料、粘土与封口剂、黏合剂，其他材料（底座、稳定杆、锯末、谷壳）等。直接影响烟花爆竹的燃</w:t>
            </w:r>
            <w:r>
              <w:rPr>
                <w:color w:val="auto"/>
                <w:spacing w:val="-1"/>
                <w:highlight w:val="none"/>
              </w:rPr>
              <w:t>放效果和储存安全的化工原材料，主要见下表。</w:t>
            </w:r>
          </w:p>
          <w:p w14:paraId="7BA084C0">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b/>
                <w:bCs/>
                <w:color w:val="auto"/>
                <w:spacing w:val="6"/>
                <w:sz w:val="21"/>
                <w:szCs w:val="21"/>
                <w:highlight w:val="none"/>
              </w:rPr>
              <w:t>表</w:t>
            </w:r>
            <w:r>
              <w:rPr>
                <w:color w:val="auto"/>
                <w:spacing w:val="-23"/>
                <w:sz w:val="21"/>
                <w:szCs w:val="21"/>
                <w:highlight w:val="none"/>
              </w:rPr>
              <w:t xml:space="preserve"> </w:t>
            </w:r>
            <w:r>
              <w:rPr>
                <w:rFonts w:ascii="Times New Roman" w:hAnsi="Times New Roman" w:eastAsia="Times New Roman" w:cs="Times New Roman"/>
                <w:b/>
                <w:bCs/>
                <w:color w:val="auto"/>
                <w:spacing w:val="6"/>
                <w:sz w:val="21"/>
                <w:szCs w:val="21"/>
                <w:highlight w:val="none"/>
              </w:rPr>
              <w:t xml:space="preserve">2-5  </w:t>
            </w:r>
            <w:r>
              <w:rPr>
                <w:b/>
                <w:bCs/>
                <w:color w:val="auto"/>
                <w:spacing w:val="6"/>
                <w:sz w:val="21"/>
                <w:szCs w:val="21"/>
                <w:highlight w:val="none"/>
              </w:rPr>
              <w:t>烟花爆竹生产中所用的原材料一览表</w:t>
            </w:r>
          </w:p>
          <w:tbl>
            <w:tblPr>
              <w:tblStyle w:val="60"/>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3"/>
              <w:gridCol w:w="6410"/>
            </w:tblGrid>
            <w:tr w14:paraId="3D97E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903" w:type="pct"/>
                  <w:vAlign w:val="top"/>
                </w:tcPr>
                <w:p w14:paraId="62397DB4">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b/>
                      <w:bCs/>
                      <w:color w:val="auto"/>
                      <w:sz w:val="21"/>
                      <w:szCs w:val="21"/>
                      <w:highlight w:val="none"/>
                    </w:rPr>
                  </w:pPr>
                  <w:r>
                    <w:rPr>
                      <w:b/>
                      <w:bCs/>
                      <w:color w:val="auto"/>
                      <w:spacing w:val="4"/>
                      <w:sz w:val="21"/>
                      <w:szCs w:val="21"/>
                      <w:highlight w:val="none"/>
                    </w:rPr>
                    <w:t>作用</w:t>
                  </w:r>
                </w:p>
              </w:tc>
              <w:tc>
                <w:tcPr>
                  <w:tcW w:w="4096" w:type="pct"/>
                  <w:vAlign w:val="top"/>
                </w:tcPr>
                <w:p w14:paraId="330AAB29">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b/>
                      <w:bCs/>
                      <w:color w:val="auto"/>
                      <w:sz w:val="21"/>
                      <w:szCs w:val="21"/>
                      <w:highlight w:val="none"/>
                    </w:rPr>
                  </w:pPr>
                  <w:r>
                    <w:rPr>
                      <w:b/>
                      <w:bCs/>
                      <w:color w:val="auto"/>
                      <w:spacing w:val="6"/>
                      <w:sz w:val="21"/>
                      <w:szCs w:val="21"/>
                      <w:highlight w:val="none"/>
                    </w:rPr>
                    <w:t>原料名称</w:t>
                  </w:r>
                </w:p>
              </w:tc>
            </w:tr>
            <w:tr w14:paraId="6118F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03" w:type="pct"/>
                  <w:vAlign w:val="top"/>
                </w:tcPr>
                <w:p w14:paraId="29FC8144">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6"/>
                      <w:sz w:val="21"/>
                      <w:szCs w:val="21"/>
                      <w:highlight w:val="none"/>
                    </w:rPr>
                    <w:t>氧化剂</w:t>
                  </w:r>
                </w:p>
              </w:tc>
              <w:tc>
                <w:tcPr>
                  <w:tcW w:w="4096" w:type="pct"/>
                  <w:vAlign w:val="top"/>
                </w:tcPr>
                <w:p w14:paraId="3581A17D">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7"/>
                      <w:sz w:val="21"/>
                      <w:szCs w:val="21"/>
                      <w:highlight w:val="none"/>
                    </w:rPr>
                    <w:t>高氯酸钾、高氯酸铵、硝酸钾、硝酸钡、硝锶、硝酸钠、硝</w:t>
                  </w:r>
                  <w:r>
                    <w:rPr>
                      <w:color w:val="auto"/>
                      <w:spacing w:val="6"/>
                      <w:sz w:val="21"/>
                      <w:szCs w:val="21"/>
                      <w:highlight w:val="none"/>
                    </w:rPr>
                    <w:t>酸银、氯钾、氧化铜、氧</w:t>
                  </w:r>
                </w:p>
                <w:p w14:paraId="2F2FD8E5">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8"/>
                      <w:sz w:val="21"/>
                      <w:szCs w:val="21"/>
                      <w:highlight w:val="none"/>
                    </w:rPr>
                    <w:t>化铋、重铬酸钾</w:t>
                  </w:r>
                </w:p>
              </w:tc>
            </w:tr>
            <w:tr w14:paraId="5D454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03" w:type="pct"/>
                  <w:vAlign w:val="top"/>
                </w:tcPr>
                <w:p w14:paraId="0A2A30DD">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6"/>
                      <w:sz w:val="21"/>
                      <w:szCs w:val="21"/>
                      <w:highlight w:val="none"/>
                    </w:rPr>
                    <w:t>可燃物</w:t>
                  </w:r>
                </w:p>
              </w:tc>
              <w:tc>
                <w:tcPr>
                  <w:tcW w:w="4096" w:type="pct"/>
                  <w:vAlign w:val="top"/>
                </w:tcPr>
                <w:p w14:paraId="6B1818AB">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9"/>
                      <w:sz w:val="21"/>
                      <w:szCs w:val="21"/>
                      <w:highlight w:val="none"/>
                    </w:rPr>
                    <w:t>硫黄、木炭、镁铝合金粉、铝银粉、钛粉、磷</w:t>
                  </w:r>
                </w:p>
              </w:tc>
            </w:tr>
            <w:tr w14:paraId="66EC9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03" w:type="pct"/>
                  <w:vAlign w:val="top"/>
                </w:tcPr>
                <w:p w14:paraId="4520B34E">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6"/>
                      <w:sz w:val="21"/>
                      <w:szCs w:val="21"/>
                      <w:highlight w:val="none"/>
                    </w:rPr>
                    <w:t>黏合剂</w:t>
                  </w:r>
                </w:p>
              </w:tc>
              <w:tc>
                <w:tcPr>
                  <w:tcW w:w="4096" w:type="pct"/>
                  <w:vAlign w:val="top"/>
                </w:tcPr>
                <w:p w14:paraId="64665317">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9"/>
                      <w:sz w:val="21"/>
                      <w:szCs w:val="21"/>
                      <w:highlight w:val="none"/>
                    </w:rPr>
                    <w:t>酚醛树脂、虫胶、聚乙烯醇</w:t>
                  </w:r>
                </w:p>
              </w:tc>
            </w:tr>
            <w:tr w14:paraId="352CA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03" w:type="pct"/>
                  <w:vAlign w:val="top"/>
                </w:tcPr>
                <w:p w14:paraId="508C4A88">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5"/>
                      <w:sz w:val="21"/>
                      <w:szCs w:val="21"/>
                      <w:highlight w:val="none"/>
                    </w:rPr>
                    <w:t>染焰剂</w:t>
                  </w:r>
                </w:p>
              </w:tc>
              <w:tc>
                <w:tcPr>
                  <w:tcW w:w="4096" w:type="pct"/>
                  <w:vAlign w:val="top"/>
                </w:tcPr>
                <w:p w14:paraId="5E4E252A">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z w:val="21"/>
                      <w:szCs w:val="21"/>
                      <w:highlight w:val="none"/>
                    </w:rPr>
                    <w:t>碳酸锶（红）、冰晶石、草酸钠（黄）、碱式碳酸铜（</w:t>
                  </w:r>
                  <w:r>
                    <w:rPr>
                      <w:color w:val="auto"/>
                      <w:spacing w:val="-1"/>
                      <w:sz w:val="21"/>
                      <w:szCs w:val="21"/>
                      <w:highlight w:val="none"/>
                    </w:rPr>
                    <w:t>蓝）、硝酸钡（绿）</w:t>
                  </w:r>
                </w:p>
              </w:tc>
            </w:tr>
            <w:tr w14:paraId="7CBA0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03" w:type="pct"/>
                  <w:vAlign w:val="top"/>
                </w:tcPr>
                <w:p w14:paraId="534CC3EB">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7"/>
                      <w:sz w:val="21"/>
                      <w:szCs w:val="21"/>
                      <w:highlight w:val="none"/>
                    </w:rPr>
                    <w:t>改善焰色物质</w:t>
                  </w:r>
                </w:p>
              </w:tc>
              <w:tc>
                <w:tcPr>
                  <w:tcW w:w="4096" w:type="pct"/>
                  <w:vAlign w:val="top"/>
                </w:tcPr>
                <w:p w14:paraId="28DB9A57">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8"/>
                      <w:sz w:val="21"/>
                      <w:szCs w:val="21"/>
                      <w:highlight w:val="none"/>
                    </w:rPr>
                    <w:t>聚氯乙烯、六氯代苯、氯丁橡胶、化石蜡</w:t>
                  </w:r>
                </w:p>
              </w:tc>
            </w:tr>
            <w:tr w14:paraId="1FC4A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903" w:type="pct"/>
                  <w:vAlign w:val="top"/>
                </w:tcPr>
                <w:p w14:paraId="67A0F20D">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7"/>
                      <w:sz w:val="21"/>
                      <w:szCs w:val="21"/>
                      <w:highlight w:val="none"/>
                    </w:rPr>
                    <w:t>其他材料</w:t>
                  </w:r>
                </w:p>
              </w:tc>
              <w:tc>
                <w:tcPr>
                  <w:tcW w:w="4096" w:type="pct"/>
                  <w:vAlign w:val="top"/>
                </w:tcPr>
                <w:p w14:paraId="1B146EF2">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auto"/>
                      <w:sz w:val="21"/>
                      <w:szCs w:val="21"/>
                      <w:highlight w:val="none"/>
                    </w:rPr>
                  </w:pPr>
                  <w:r>
                    <w:rPr>
                      <w:color w:val="auto"/>
                      <w:spacing w:val="9"/>
                      <w:sz w:val="21"/>
                      <w:szCs w:val="21"/>
                      <w:highlight w:val="none"/>
                    </w:rPr>
                    <w:t>硬脂酸、石蜡、酒精、丙酮等</w:t>
                  </w:r>
                </w:p>
              </w:tc>
            </w:tr>
          </w:tbl>
          <w:p w14:paraId="4E3CC500">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2"/>
              <w:jc w:val="both"/>
              <w:textAlignment w:val="auto"/>
              <w:rPr>
                <w:color w:val="auto"/>
                <w:highlight w:val="none"/>
              </w:rPr>
            </w:pPr>
            <w:r>
              <w:rPr>
                <w:color w:val="auto"/>
                <w:spacing w:val="-7"/>
                <w:highlight w:val="none"/>
              </w:rPr>
              <w:t>烟花爆竹主要危险成分为黑火药和烟火药，其中主要物料有高氯酸钾、硝酸钾、硝酸钡、</w:t>
            </w:r>
            <w:r>
              <w:rPr>
                <w:color w:val="auto"/>
                <w:spacing w:val="-3"/>
                <w:highlight w:val="none"/>
              </w:rPr>
              <w:t>硫磺、镁粉、铝粉、木炭、硫化锑、漆片、酚醛树脂、钛粉、碳酸锶、草酸钠、氧化铜、黑</w:t>
            </w:r>
            <w:r>
              <w:rPr>
                <w:color w:val="auto"/>
                <w:spacing w:val="-1"/>
                <w:highlight w:val="none"/>
              </w:rPr>
              <w:t>火药等。主要物料的理化性质如下表：</w:t>
            </w:r>
          </w:p>
          <w:p w14:paraId="2C904A7E">
            <w:pPr>
              <w:pStyle w:val="59"/>
              <w:spacing w:before="1" w:line="360" w:lineRule="auto"/>
              <w:ind w:left="589"/>
              <w:rPr>
                <w:color w:val="auto"/>
                <w:highlight w:val="none"/>
              </w:rPr>
            </w:pPr>
            <w:r>
              <w:rPr>
                <w:color w:val="auto"/>
                <w:spacing w:val="-1"/>
                <w:highlight w:val="none"/>
              </w:rPr>
              <w:t>主要物料的理化性质如下：</w:t>
            </w:r>
          </w:p>
          <w:p w14:paraId="233EEB73">
            <w:pPr>
              <w:pStyle w:val="30"/>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pacing w:val="6"/>
                <w:sz w:val="21"/>
                <w:szCs w:val="21"/>
                <w:highlight w:val="none"/>
              </w:rPr>
              <w:t>表</w:t>
            </w:r>
            <w:r>
              <w:rPr>
                <w:rFonts w:hint="default" w:ascii="Times New Roman" w:hAnsi="Times New Roman" w:eastAsia="宋体" w:cs="Times New Roman"/>
                <w:color w:val="auto"/>
                <w:spacing w:val="-23"/>
                <w:sz w:val="21"/>
                <w:szCs w:val="21"/>
                <w:highlight w:val="none"/>
              </w:rPr>
              <w:t xml:space="preserve"> </w:t>
            </w:r>
            <w:r>
              <w:rPr>
                <w:rFonts w:hint="default" w:ascii="Times New Roman" w:hAnsi="Times New Roman" w:eastAsia="宋体" w:cs="Times New Roman"/>
                <w:b/>
                <w:bCs/>
                <w:color w:val="auto"/>
                <w:spacing w:val="6"/>
                <w:sz w:val="21"/>
                <w:szCs w:val="21"/>
                <w:highlight w:val="none"/>
              </w:rPr>
              <w:t>2-6  主要物料成分理化性质及毒理毒性表</w:t>
            </w:r>
          </w:p>
          <w:tbl>
            <w:tblPr>
              <w:tblStyle w:val="60"/>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9"/>
              <w:gridCol w:w="581"/>
              <w:gridCol w:w="6663"/>
            </w:tblGrid>
            <w:tr w14:paraId="0B56B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370" w:type="pct"/>
                  <w:vAlign w:val="center"/>
                </w:tcPr>
                <w:p w14:paraId="5A14ABFD">
                  <w:pPr>
                    <w:pStyle w:val="59"/>
                    <w:spacing w:before="82" w:line="230" w:lineRule="auto"/>
                    <w:ind w:left="139"/>
                    <w:jc w:val="center"/>
                    <w:rPr>
                      <w:b/>
                      <w:bCs/>
                      <w:color w:val="auto"/>
                      <w:sz w:val="21"/>
                      <w:szCs w:val="21"/>
                      <w:highlight w:val="none"/>
                    </w:rPr>
                  </w:pPr>
                  <w:r>
                    <w:rPr>
                      <w:b/>
                      <w:bCs/>
                      <w:color w:val="auto"/>
                      <w:spacing w:val="5"/>
                      <w:sz w:val="21"/>
                      <w:szCs w:val="21"/>
                      <w:highlight w:val="none"/>
                    </w:rPr>
                    <w:t>序号</w:t>
                  </w:r>
                </w:p>
              </w:tc>
              <w:tc>
                <w:tcPr>
                  <w:tcW w:w="371" w:type="pct"/>
                  <w:vAlign w:val="center"/>
                </w:tcPr>
                <w:p w14:paraId="59BCC135">
                  <w:pPr>
                    <w:pStyle w:val="59"/>
                    <w:spacing w:before="82" w:line="231" w:lineRule="auto"/>
                    <w:ind w:left="143"/>
                    <w:jc w:val="center"/>
                    <w:rPr>
                      <w:b/>
                      <w:bCs/>
                      <w:color w:val="auto"/>
                      <w:sz w:val="21"/>
                      <w:szCs w:val="21"/>
                      <w:highlight w:val="none"/>
                    </w:rPr>
                  </w:pPr>
                  <w:r>
                    <w:rPr>
                      <w:b/>
                      <w:bCs/>
                      <w:color w:val="auto"/>
                      <w:spacing w:val="3"/>
                      <w:sz w:val="21"/>
                      <w:szCs w:val="21"/>
                      <w:highlight w:val="none"/>
                    </w:rPr>
                    <w:t>名称</w:t>
                  </w:r>
                </w:p>
              </w:tc>
              <w:tc>
                <w:tcPr>
                  <w:tcW w:w="4257" w:type="pct"/>
                  <w:vAlign w:val="center"/>
                </w:tcPr>
                <w:p w14:paraId="2EE43C9E">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b/>
                      <w:bCs/>
                      <w:color w:val="auto"/>
                      <w:sz w:val="21"/>
                      <w:szCs w:val="21"/>
                      <w:highlight w:val="none"/>
                    </w:rPr>
                  </w:pPr>
                  <w:r>
                    <w:rPr>
                      <w:b/>
                      <w:bCs/>
                      <w:color w:val="auto"/>
                      <w:spacing w:val="6"/>
                      <w:sz w:val="21"/>
                      <w:szCs w:val="21"/>
                      <w:highlight w:val="none"/>
                    </w:rPr>
                    <w:t>理化性质</w:t>
                  </w:r>
                </w:p>
              </w:tc>
            </w:tr>
            <w:tr w14:paraId="79D6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370" w:type="pct"/>
                  <w:vAlign w:val="center"/>
                </w:tcPr>
                <w:p w14:paraId="30EA655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1"/>
                      <w:sz w:val="21"/>
                      <w:szCs w:val="21"/>
                      <w:highlight w:val="none"/>
                    </w:rPr>
                    <w:t>1</w:t>
                  </w:r>
                </w:p>
              </w:tc>
              <w:tc>
                <w:tcPr>
                  <w:tcW w:w="371" w:type="pct"/>
                  <w:vAlign w:val="center"/>
                </w:tcPr>
                <w:p w14:paraId="6367CA2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2"/>
                      <w:sz w:val="21"/>
                      <w:szCs w:val="21"/>
                      <w:highlight w:val="none"/>
                    </w:rPr>
                    <w:t>高氯</w:t>
                  </w:r>
                  <w:r>
                    <w:rPr>
                      <w:color w:val="auto"/>
                      <w:spacing w:val="4"/>
                      <w:sz w:val="21"/>
                      <w:szCs w:val="21"/>
                      <w:highlight w:val="none"/>
                    </w:rPr>
                    <w:t>酸钾</w:t>
                  </w:r>
                </w:p>
              </w:tc>
              <w:tc>
                <w:tcPr>
                  <w:tcW w:w="4257" w:type="pct"/>
                  <w:vAlign w:val="top"/>
                </w:tcPr>
                <w:p w14:paraId="502DD60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物化性质：白色粉末或无色结晶。相对密度</w:t>
                  </w:r>
                  <w:r>
                    <w:rPr>
                      <w:rFonts w:hint="default" w:ascii="Times New Roman" w:hAnsi="Times New Roman" w:eastAsia="Times New Roman" w:cs="Times New Roman"/>
                      <w:color w:val="auto"/>
                      <w:spacing w:val="0"/>
                      <w:position w:val="0"/>
                      <w:sz w:val="21"/>
                      <w:szCs w:val="21"/>
                      <w:highlight w:val="none"/>
                    </w:rPr>
                    <w:t>2.52</w:t>
                  </w:r>
                  <w:r>
                    <w:rPr>
                      <w:rFonts w:hint="default" w:ascii="Times New Roman" w:hAnsi="Times New Roman" w:cs="Times New Roman"/>
                      <w:color w:val="auto"/>
                      <w:spacing w:val="0"/>
                      <w:position w:val="0"/>
                      <w:sz w:val="21"/>
                      <w:szCs w:val="21"/>
                      <w:highlight w:val="none"/>
                    </w:rPr>
                    <w:t>。无吸湿性。常温时稳定，加热至</w:t>
                  </w:r>
                  <w:r>
                    <w:rPr>
                      <w:rFonts w:hint="default" w:ascii="Times New Roman" w:hAnsi="Times New Roman" w:eastAsia="Times New Roman" w:cs="Times New Roman"/>
                      <w:color w:val="auto"/>
                      <w:spacing w:val="0"/>
                      <w:position w:val="0"/>
                      <w:sz w:val="21"/>
                      <w:szCs w:val="21"/>
                      <w:highlight w:val="none"/>
                    </w:rPr>
                    <w:t>540</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570</w:t>
                  </w:r>
                  <w:r>
                    <w:rPr>
                      <w:rFonts w:hint="default" w:ascii="Times New Roman" w:hAnsi="Times New Roman" w:cs="Times New Roman"/>
                      <w:color w:val="auto"/>
                      <w:spacing w:val="0"/>
                      <w:position w:val="0"/>
                      <w:sz w:val="21"/>
                      <w:szCs w:val="21"/>
                      <w:highlight w:val="none"/>
                    </w:rPr>
                    <w:t>℃左右渐渐熔融，在</w:t>
                  </w:r>
                  <w:r>
                    <w:rPr>
                      <w:rFonts w:hint="default" w:ascii="Times New Roman" w:hAnsi="Times New Roman" w:eastAsia="Times New Roman" w:cs="Times New Roman"/>
                      <w:color w:val="auto"/>
                      <w:spacing w:val="0"/>
                      <w:position w:val="0"/>
                      <w:sz w:val="21"/>
                      <w:szCs w:val="21"/>
                      <w:highlight w:val="none"/>
                    </w:rPr>
                    <w:t>590</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610</w:t>
                  </w:r>
                  <w:r>
                    <w:rPr>
                      <w:rFonts w:hint="default" w:ascii="Times New Roman" w:hAnsi="Times New Roman" w:cs="Times New Roman"/>
                      <w:color w:val="auto"/>
                      <w:spacing w:val="0"/>
                      <w:position w:val="0"/>
                      <w:sz w:val="21"/>
                      <w:szCs w:val="21"/>
                      <w:highlight w:val="none"/>
                    </w:rPr>
                    <w:t>℃左右急速分解而转变为氯化钾。如有二氧化锰及三氧化二铁等催化剂存在，可降低分解温度。微溶于水，水溶液呈中性，不溶于醇和醚。危险特性：强氧化剂。与还原剂、有机物、易燃物如硫、磷或金属粉等混合可形成爆炸性混合物。在火场中，受热的容器有爆炸危险。受热分解，放出氧气。</w:t>
                  </w:r>
                </w:p>
                <w:p w14:paraId="1746EC6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燃烧</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分解</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产物：氯化物、氧化钾。</w:t>
                  </w:r>
                </w:p>
              </w:tc>
            </w:tr>
            <w:tr w14:paraId="42059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370" w:type="pct"/>
                  <w:vAlign w:val="center"/>
                </w:tcPr>
                <w:p w14:paraId="021433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1"/>
                      <w:sz w:val="21"/>
                      <w:szCs w:val="21"/>
                      <w:highlight w:val="none"/>
                    </w:rPr>
                    <w:t>2</w:t>
                  </w:r>
                </w:p>
              </w:tc>
              <w:tc>
                <w:tcPr>
                  <w:tcW w:w="371" w:type="pct"/>
                  <w:vAlign w:val="center"/>
                </w:tcPr>
                <w:p w14:paraId="749B3BD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3"/>
                      <w:sz w:val="21"/>
                      <w:szCs w:val="21"/>
                      <w:highlight w:val="none"/>
                    </w:rPr>
                    <w:t>硝酸</w:t>
                  </w:r>
                  <w:r>
                    <w:rPr>
                      <w:color w:val="auto"/>
                      <w:sz w:val="21"/>
                      <w:szCs w:val="21"/>
                      <w:highlight w:val="none"/>
                    </w:rPr>
                    <w:t>钾</w:t>
                  </w:r>
                </w:p>
              </w:tc>
              <w:tc>
                <w:tcPr>
                  <w:tcW w:w="4257" w:type="pct"/>
                  <w:vAlign w:val="top"/>
                </w:tcPr>
                <w:p w14:paraId="55202C1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物化性质：无色透明结晶或白色颗粒乃至结晶性粉末。有冷感和刺激性咸味。相对密度</w:t>
                  </w:r>
                  <w:r>
                    <w:rPr>
                      <w:rFonts w:hint="default" w:ascii="Times New Roman" w:hAnsi="Times New Roman" w:eastAsia="Times New Roman" w:cs="Times New Roman"/>
                      <w:color w:val="auto"/>
                      <w:spacing w:val="0"/>
                      <w:position w:val="0"/>
                      <w:sz w:val="21"/>
                      <w:szCs w:val="21"/>
                      <w:highlight w:val="none"/>
                    </w:rPr>
                    <w:t>2.11</w:t>
                  </w:r>
                  <w:r>
                    <w:rPr>
                      <w:rFonts w:hint="default" w:ascii="Times New Roman" w:hAnsi="Times New Roman" w:cs="Times New Roman"/>
                      <w:color w:val="auto"/>
                      <w:spacing w:val="0"/>
                      <w:position w:val="0"/>
                      <w:sz w:val="21"/>
                      <w:szCs w:val="21"/>
                      <w:highlight w:val="none"/>
                    </w:rPr>
                    <w:t>，熔点</w:t>
                  </w:r>
                  <w:r>
                    <w:rPr>
                      <w:rFonts w:hint="default" w:ascii="Times New Roman" w:hAnsi="Times New Roman" w:eastAsia="Times New Roman" w:cs="Times New Roman"/>
                      <w:color w:val="auto"/>
                      <w:spacing w:val="0"/>
                      <w:position w:val="0"/>
                      <w:sz w:val="21"/>
                      <w:szCs w:val="21"/>
                      <w:highlight w:val="none"/>
                    </w:rPr>
                    <w:t>338</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400</w:t>
                  </w:r>
                  <w:r>
                    <w:rPr>
                      <w:rFonts w:hint="default" w:ascii="Times New Roman" w:hAnsi="Times New Roman" w:cs="Times New Roman"/>
                      <w:color w:val="auto"/>
                      <w:spacing w:val="0"/>
                      <w:position w:val="0"/>
                      <w:sz w:val="21"/>
                      <w:szCs w:val="21"/>
                      <w:highlight w:val="none"/>
                    </w:rPr>
                    <w:t>℃时分解，释出氧气，易溶于水、液氨及甘油。不溶于无水乙醇与乙醚。</w:t>
                  </w:r>
                </w:p>
                <w:p w14:paraId="0008778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危险特性：强氧化剂。遇可燃物着火时，能助长火势。与有机物、还原剂、易燃物如硫、磷等接触或混合时有引起燃烧爆炸的危险。燃烧分解时，放出有毒的氮氧化物。受高热分解，产生有毒的氮氧化物。</w:t>
                  </w:r>
                </w:p>
                <w:p w14:paraId="08C61EB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燃烧</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分解</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产物：氮氧化物。</w:t>
                  </w:r>
                </w:p>
              </w:tc>
            </w:tr>
            <w:tr w14:paraId="06DCE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 w:hRule="atLeast"/>
              </w:trPr>
              <w:tc>
                <w:tcPr>
                  <w:tcW w:w="370" w:type="pct"/>
                  <w:vAlign w:val="center"/>
                </w:tcPr>
                <w:p w14:paraId="5873302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2"/>
                      <w:sz w:val="21"/>
                      <w:szCs w:val="21"/>
                      <w:highlight w:val="none"/>
                    </w:rPr>
                    <w:t>3</w:t>
                  </w:r>
                </w:p>
              </w:tc>
              <w:tc>
                <w:tcPr>
                  <w:tcW w:w="371" w:type="pct"/>
                  <w:vAlign w:val="center"/>
                </w:tcPr>
                <w:p w14:paraId="31DEF25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5"/>
                      <w:sz w:val="21"/>
                      <w:szCs w:val="21"/>
                      <w:highlight w:val="none"/>
                    </w:rPr>
                    <w:t>硫磺</w:t>
                  </w:r>
                </w:p>
              </w:tc>
              <w:tc>
                <w:tcPr>
                  <w:tcW w:w="4257" w:type="pct"/>
                  <w:vAlign w:val="top"/>
                </w:tcPr>
                <w:p w14:paraId="1CA10B9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物化性质：常温下化合力较迟钝，但在高温下则反应非常活跃，几乎能与金、白金以外的所有金属及氢化合而成硫化物。此外还能与氧、碳、卤素等化合。相对密度</w:t>
                  </w:r>
                  <w:r>
                    <w:rPr>
                      <w:rFonts w:hint="default" w:ascii="Times New Roman" w:hAnsi="Times New Roman" w:eastAsia="Times New Roman" w:cs="Times New Roman"/>
                      <w:color w:val="auto"/>
                      <w:spacing w:val="0"/>
                      <w:position w:val="0"/>
                      <w:sz w:val="21"/>
                      <w:szCs w:val="21"/>
                      <w:highlight w:val="none"/>
                    </w:rPr>
                    <w:t>2.06</w:t>
                  </w:r>
                  <w:r>
                    <w:rPr>
                      <w:rFonts w:hint="default" w:ascii="Times New Roman" w:hAnsi="Times New Roman" w:cs="Times New Roman"/>
                      <w:color w:val="auto"/>
                      <w:spacing w:val="0"/>
                      <w:position w:val="0"/>
                      <w:sz w:val="21"/>
                      <w:szCs w:val="21"/>
                      <w:highlight w:val="none"/>
                    </w:rPr>
                    <w:t>；熔点</w:t>
                  </w:r>
                  <w:r>
                    <w:rPr>
                      <w:rFonts w:hint="default" w:ascii="Times New Roman" w:hAnsi="Times New Roman" w:eastAsia="Times New Roman" w:cs="Times New Roman"/>
                      <w:color w:val="auto"/>
                      <w:spacing w:val="0"/>
                      <w:position w:val="0"/>
                      <w:sz w:val="21"/>
                      <w:szCs w:val="21"/>
                      <w:highlight w:val="none"/>
                    </w:rPr>
                    <w:t>112.8</w:t>
                  </w:r>
                  <w:r>
                    <w:rPr>
                      <w:rFonts w:hint="default" w:ascii="Times New Roman" w:hAnsi="Times New Roman" w:cs="Times New Roman"/>
                      <w:color w:val="auto"/>
                      <w:spacing w:val="0"/>
                      <w:position w:val="0"/>
                      <w:sz w:val="21"/>
                      <w:szCs w:val="21"/>
                      <w:highlight w:val="none"/>
                    </w:rPr>
                    <w:t>℃；沸点</w:t>
                  </w:r>
                  <w:r>
                    <w:rPr>
                      <w:rFonts w:hint="default" w:ascii="Times New Roman" w:hAnsi="Times New Roman" w:eastAsia="Times New Roman" w:cs="Times New Roman"/>
                      <w:color w:val="auto"/>
                      <w:spacing w:val="0"/>
                      <w:position w:val="0"/>
                      <w:sz w:val="21"/>
                      <w:szCs w:val="21"/>
                      <w:highlight w:val="none"/>
                    </w:rPr>
                    <w:t>444.6</w:t>
                  </w:r>
                  <w:r>
                    <w:rPr>
                      <w:rFonts w:hint="default" w:ascii="Times New Roman" w:hAnsi="Times New Roman" w:cs="Times New Roman"/>
                      <w:color w:val="auto"/>
                      <w:spacing w:val="0"/>
                      <w:position w:val="0"/>
                      <w:sz w:val="21"/>
                      <w:szCs w:val="21"/>
                      <w:highlight w:val="none"/>
                    </w:rPr>
                    <w:t>℃。几乎不溶于水，微溶于乙醚、乙醇、苯、甘油。极易溶于氧化硫、二氧化碳。</w:t>
                  </w:r>
                </w:p>
                <w:p w14:paraId="01E7695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 xml:space="preserve">危险特性：粉尘或蒸气与空气或氧化剂混合形成爆炸性混合物。闪点 </w:t>
                  </w:r>
                  <w:r>
                    <w:rPr>
                      <w:rFonts w:hint="default" w:ascii="Times New Roman" w:hAnsi="Times New Roman" w:eastAsia="Times New Roman" w:cs="Times New Roman"/>
                      <w:color w:val="auto"/>
                      <w:spacing w:val="0"/>
                      <w:position w:val="0"/>
                      <w:sz w:val="21"/>
                      <w:szCs w:val="21"/>
                      <w:highlight w:val="none"/>
                    </w:rPr>
                    <w:t>207</w:t>
                  </w:r>
                  <w:r>
                    <w:rPr>
                      <w:rFonts w:hint="default" w:ascii="Times New Roman" w:hAnsi="Times New Roman" w:cs="Times New Roman"/>
                      <w:color w:val="auto"/>
                      <w:spacing w:val="0"/>
                      <w:position w:val="0"/>
                      <w:sz w:val="21"/>
                      <w:szCs w:val="21"/>
                      <w:highlight w:val="none"/>
                    </w:rPr>
                    <w:t>℃,自燃点</w:t>
                  </w:r>
                  <w:r>
                    <w:rPr>
                      <w:rFonts w:hint="default" w:ascii="Times New Roman" w:hAnsi="Times New Roman" w:eastAsia="Times New Roman" w:cs="Times New Roman"/>
                      <w:color w:val="auto"/>
                      <w:spacing w:val="0"/>
                      <w:position w:val="0"/>
                      <w:sz w:val="21"/>
                      <w:szCs w:val="21"/>
                      <w:highlight w:val="none"/>
                    </w:rPr>
                    <w:t>232</w:t>
                  </w:r>
                  <w:r>
                    <w:rPr>
                      <w:rFonts w:hint="default" w:ascii="Times New Roman" w:hAnsi="Times New Roman" w:cs="Times New Roman"/>
                      <w:color w:val="auto"/>
                      <w:spacing w:val="0"/>
                      <w:position w:val="0"/>
                      <w:sz w:val="21"/>
                      <w:szCs w:val="21"/>
                      <w:highlight w:val="none"/>
                    </w:rPr>
                    <w:t>℃。空气中含量达</w:t>
                  </w:r>
                  <w:r>
                    <w:rPr>
                      <w:rFonts w:hint="default" w:ascii="Times New Roman" w:hAnsi="Times New Roman" w:eastAsia="Times New Roman" w:cs="Times New Roman"/>
                      <w:color w:val="auto"/>
                      <w:spacing w:val="0"/>
                      <w:position w:val="0"/>
                      <w:sz w:val="21"/>
                      <w:szCs w:val="21"/>
                      <w:highlight w:val="none"/>
                    </w:rPr>
                    <w:t>35g/m</w:t>
                  </w:r>
                  <w:r>
                    <w:rPr>
                      <w:rFonts w:hint="default" w:ascii="Times New Roman" w:hAnsi="Times New Roman" w:eastAsia="Times New Roman" w:cs="Times New Roman"/>
                      <w:color w:val="auto"/>
                      <w:spacing w:val="0"/>
                      <w:position w:val="0"/>
                      <w:sz w:val="21"/>
                      <w:szCs w:val="21"/>
                      <w:highlight w:val="none"/>
                      <w:vertAlign w:val="superscript"/>
                    </w:rPr>
                    <w:t>3</w:t>
                  </w:r>
                  <w:r>
                    <w:rPr>
                      <w:rFonts w:hint="default" w:ascii="Times New Roman" w:hAnsi="Times New Roman" w:cs="Times New Roman"/>
                      <w:color w:val="auto"/>
                      <w:spacing w:val="0"/>
                      <w:position w:val="0"/>
                      <w:sz w:val="21"/>
                      <w:szCs w:val="21"/>
                      <w:highlight w:val="none"/>
                    </w:rPr>
                    <w:t>以上即具燃烧性。与卤素、金属粉等接触剧烈反应。硫磺为不良导体，在运输或储存室易产生静电荷，可导致硫尘起火，硫磺堆放场所的意外火灾是颇为多见且是一种事故隐患，因为火被扑灭后，可能会复燃。</w:t>
                  </w:r>
                </w:p>
              </w:tc>
            </w:tr>
            <w:tr w14:paraId="511A1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370" w:type="pct"/>
                  <w:tcBorders>
                    <w:top w:val="single" w:color="000000" w:sz="6" w:space="0"/>
                  </w:tcBorders>
                  <w:vAlign w:val="center"/>
                </w:tcPr>
                <w:p w14:paraId="552C642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pacing w:val="1"/>
                      <w:position w:val="1"/>
                      <w:sz w:val="21"/>
                      <w:szCs w:val="21"/>
                      <w:highlight w:val="none"/>
                    </w:rPr>
                    <w:t>4</w:t>
                  </w:r>
                </w:p>
              </w:tc>
              <w:tc>
                <w:tcPr>
                  <w:tcW w:w="371" w:type="pct"/>
                  <w:tcBorders>
                    <w:top w:val="single" w:color="000000" w:sz="6" w:space="0"/>
                  </w:tcBorders>
                  <w:vAlign w:val="center"/>
                </w:tcPr>
                <w:p w14:paraId="28F1AD0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4"/>
                      <w:sz w:val="21"/>
                      <w:szCs w:val="21"/>
                      <w:highlight w:val="none"/>
                    </w:rPr>
                    <w:t>铝粉</w:t>
                  </w:r>
                </w:p>
              </w:tc>
              <w:tc>
                <w:tcPr>
                  <w:tcW w:w="4257" w:type="pct"/>
                  <w:tcBorders>
                    <w:top w:val="single" w:color="000000" w:sz="6" w:space="0"/>
                  </w:tcBorders>
                  <w:vAlign w:val="top"/>
                </w:tcPr>
                <w:p w14:paraId="4FA3A23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物化性质：银白色至银灰色和黑灰色两种。质地轻、浮力高、遮盖力强，稳定性好，反射光和热性能好。相对密度</w:t>
                  </w:r>
                  <w:r>
                    <w:rPr>
                      <w:rFonts w:hint="default" w:ascii="Times New Roman" w:hAnsi="Times New Roman" w:eastAsia="Times New Roman" w:cs="Times New Roman"/>
                      <w:color w:val="auto"/>
                      <w:spacing w:val="0"/>
                      <w:position w:val="0"/>
                      <w:sz w:val="21"/>
                      <w:szCs w:val="21"/>
                      <w:highlight w:val="none"/>
                    </w:rPr>
                    <w:t>2.70</w:t>
                  </w:r>
                  <w:r>
                    <w:rPr>
                      <w:rFonts w:hint="default" w:ascii="Times New Roman" w:hAnsi="Times New Roman" w:cs="Times New Roman"/>
                      <w:color w:val="auto"/>
                      <w:spacing w:val="0"/>
                      <w:position w:val="0"/>
                      <w:sz w:val="21"/>
                      <w:szCs w:val="21"/>
                      <w:highlight w:val="none"/>
                    </w:rPr>
                    <w:t>，熔点</w:t>
                  </w:r>
                  <w:r>
                    <w:rPr>
                      <w:rFonts w:hint="default" w:ascii="Times New Roman" w:hAnsi="Times New Roman" w:eastAsia="Times New Roman" w:cs="Times New Roman"/>
                      <w:color w:val="auto"/>
                      <w:spacing w:val="0"/>
                      <w:position w:val="0"/>
                      <w:sz w:val="21"/>
                      <w:szCs w:val="21"/>
                      <w:highlight w:val="none"/>
                    </w:rPr>
                    <w:t>660.4</w:t>
                  </w:r>
                  <w:r>
                    <w:rPr>
                      <w:rFonts w:hint="default" w:ascii="Times New Roman" w:hAnsi="Times New Roman" w:cs="Times New Roman"/>
                      <w:color w:val="auto"/>
                      <w:spacing w:val="0"/>
                      <w:position w:val="0"/>
                      <w:sz w:val="21"/>
                      <w:szCs w:val="21"/>
                      <w:highlight w:val="none"/>
                    </w:rPr>
                    <w:t>℃,沸点</w:t>
                  </w:r>
                  <w:r>
                    <w:rPr>
                      <w:rFonts w:hint="default" w:ascii="Times New Roman" w:hAnsi="Times New Roman" w:eastAsia="Times New Roman" w:cs="Times New Roman"/>
                      <w:color w:val="auto"/>
                      <w:spacing w:val="0"/>
                      <w:position w:val="0"/>
                      <w:sz w:val="21"/>
                      <w:szCs w:val="21"/>
                      <w:highlight w:val="none"/>
                    </w:rPr>
                    <w:t>2060</w:t>
                  </w:r>
                  <w:r>
                    <w:rPr>
                      <w:rFonts w:hint="default" w:ascii="Times New Roman" w:hAnsi="Times New Roman" w:cs="Times New Roman"/>
                      <w:color w:val="auto"/>
                      <w:spacing w:val="0"/>
                      <w:position w:val="0"/>
                      <w:sz w:val="21"/>
                      <w:szCs w:val="21"/>
                      <w:highlight w:val="none"/>
                    </w:rPr>
                    <w:t>℃, 一般粒度越细、颜色越深，活性铝越少。溶于稀盐酸、硫酸、氢氧化钾及氢氧化钠水溶液，同时产生氢气。不溶于浓硫酸或浓醋酸。</w:t>
                  </w:r>
                </w:p>
                <w:p w14:paraId="1075B1C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特性：大量粉尘遇潮湿、水蒸气能自燃。与氧化剂混合能形成爆炸性混合物。与氟、氯等接触会发生剧烈的化学反应。与酸类或与强碱接触也能产生氢气，引起燃烧爆炸。粉体与空气可形成爆炸性混合物，当达到一定浓度时，遇火星会发生爆炸。</w:t>
                  </w:r>
                </w:p>
                <w:p w14:paraId="3B10D6C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燃烧</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分解</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rPr>
                    <w:t>产物：氧化铝。</w:t>
                  </w:r>
                </w:p>
              </w:tc>
            </w:tr>
            <w:tr w14:paraId="60508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370" w:type="pct"/>
                  <w:vAlign w:val="center"/>
                </w:tcPr>
                <w:p w14:paraId="43B8C5A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5</w:t>
                  </w:r>
                </w:p>
              </w:tc>
              <w:tc>
                <w:tcPr>
                  <w:tcW w:w="371" w:type="pct"/>
                  <w:vAlign w:val="center"/>
                </w:tcPr>
                <w:p w14:paraId="5B47B17A">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2"/>
                      <w:sz w:val="21"/>
                      <w:szCs w:val="21"/>
                      <w:highlight w:val="none"/>
                    </w:rPr>
                    <w:t>黑火</w:t>
                  </w:r>
                  <w:r>
                    <w:rPr>
                      <w:color w:val="auto"/>
                      <w:sz w:val="21"/>
                      <w:szCs w:val="21"/>
                      <w:highlight w:val="none"/>
                    </w:rPr>
                    <w:t>药</w:t>
                  </w:r>
                </w:p>
              </w:tc>
              <w:tc>
                <w:tcPr>
                  <w:tcW w:w="4257" w:type="pct"/>
                  <w:vAlign w:val="top"/>
                </w:tcPr>
                <w:p w14:paraId="3847802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物化性质：黑色粒状粉末，为硝酸钾、硫磺、炭末的混合物，容易燃烧，爆炸时有烟，破坏能力较小。黑火药一般不易变质，但易吸潮，吸朝后将失去预期的使用效果。最大爆炸速度约</w:t>
                  </w:r>
                  <w:r>
                    <w:rPr>
                      <w:rFonts w:hint="default" w:ascii="Times New Roman" w:hAnsi="Times New Roman" w:eastAsia="Times New Roman" w:cs="Times New Roman"/>
                      <w:color w:val="auto"/>
                      <w:spacing w:val="0"/>
                      <w:position w:val="0"/>
                      <w:sz w:val="21"/>
                      <w:szCs w:val="21"/>
                      <w:highlight w:val="none"/>
                    </w:rPr>
                    <w:t>500m/s</w:t>
                  </w:r>
                  <w:r>
                    <w:rPr>
                      <w:rFonts w:hint="default" w:ascii="Times New Roman" w:hAnsi="Times New Roman" w:cs="Times New Roman"/>
                      <w:color w:val="auto"/>
                      <w:spacing w:val="0"/>
                      <w:position w:val="0"/>
                      <w:sz w:val="21"/>
                      <w:szCs w:val="21"/>
                      <w:highlight w:val="none"/>
                    </w:rPr>
                    <w:t>。爆发点：</w:t>
                  </w:r>
                  <w:r>
                    <w:rPr>
                      <w:rFonts w:hint="default" w:ascii="Times New Roman" w:hAnsi="Times New Roman" w:eastAsia="Times New Roman" w:cs="Times New Roman"/>
                      <w:color w:val="auto"/>
                      <w:spacing w:val="0"/>
                      <w:position w:val="0"/>
                      <w:sz w:val="21"/>
                      <w:szCs w:val="21"/>
                      <w:highlight w:val="none"/>
                    </w:rPr>
                    <w:t>270-330</w:t>
                  </w:r>
                  <w:r>
                    <w:rPr>
                      <w:rFonts w:hint="default" w:ascii="Times New Roman" w:hAnsi="Times New Roman" w:cs="Times New Roman"/>
                      <w:color w:val="auto"/>
                      <w:spacing w:val="0"/>
                      <w:position w:val="0"/>
                      <w:sz w:val="21"/>
                      <w:szCs w:val="21"/>
                      <w:highlight w:val="none"/>
                    </w:rPr>
                    <w:t>℃, 爆轰气体体积：</w:t>
                  </w:r>
                  <w:r>
                    <w:rPr>
                      <w:rFonts w:hint="default" w:ascii="Times New Roman" w:hAnsi="Times New Roman" w:eastAsia="Times New Roman" w:cs="Times New Roman"/>
                      <w:color w:val="auto"/>
                      <w:spacing w:val="0"/>
                      <w:position w:val="0"/>
                      <w:sz w:val="21"/>
                      <w:szCs w:val="21"/>
                      <w:highlight w:val="none"/>
                    </w:rPr>
                    <w:t>280cm</w:t>
                  </w:r>
                  <w:r>
                    <w:rPr>
                      <w:rFonts w:hint="default" w:ascii="Times New Roman" w:hAnsi="Times New Roman" w:eastAsia="Times New Roman" w:cs="Times New Roman"/>
                      <w:color w:val="auto"/>
                      <w:spacing w:val="0"/>
                      <w:position w:val="0"/>
                      <w:sz w:val="21"/>
                      <w:szCs w:val="21"/>
                      <w:highlight w:val="none"/>
                      <w:vertAlign w:val="superscript"/>
                    </w:rPr>
                    <w:t>3</w:t>
                  </w:r>
                  <w:r>
                    <w:rPr>
                      <w:rFonts w:hint="default" w:ascii="Times New Roman" w:hAnsi="Times New Roman" w:eastAsia="Times New Roman" w:cs="Times New Roman"/>
                      <w:color w:val="auto"/>
                      <w:spacing w:val="0"/>
                      <w:position w:val="0"/>
                      <w:sz w:val="21"/>
                      <w:szCs w:val="21"/>
                      <w:highlight w:val="none"/>
                    </w:rPr>
                    <w:t>/g</w:t>
                  </w:r>
                  <w:r>
                    <w:rPr>
                      <w:rFonts w:hint="default" w:ascii="Times New Roman" w:hAnsi="Times New Roman" w:cs="Times New Roman"/>
                      <w:color w:val="auto"/>
                      <w:spacing w:val="0"/>
                      <w:position w:val="0"/>
                      <w:sz w:val="21"/>
                      <w:szCs w:val="21"/>
                      <w:highlight w:val="none"/>
                    </w:rPr>
                    <w:t>，爆热</w:t>
                  </w:r>
                  <w:r>
                    <w:rPr>
                      <w:rFonts w:hint="default" w:ascii="Times New Roman" w:hAnsi="Times New Roman" w:eastAsia="Times New Roman" w:cs="Times New Roman"/>
                      <w:color w:val="auto"/>
                      <w:spacing w:val="0"/>
                      <w:position w:val="0"/>
                      <w:sz w:val="21"/>
                      <w:szCs w:val="21"/>
                      <w:highlight w:val="none"/>
                    </w:rPr>
                    <w:t>720cal/g</w:t>
                  </w:r>
                  <w:r>
                    <w:rPr>
                      <w:rFonts w:hint="default" w:ascii="Times New Roman" w:hAnsi="Times New Roman" w:cs="Times New Roman"/>
                      <w:color w:val="auto"/>
                      <w:spacing w:val="0"/>
                      <w:position w:val="0"/>
                      <w:sz w:val="21"/>
                      <w:szCs w:val="21"/>
                      <w:highlight w:val="none"/>
                    </w:rPr>
                    <w:t xml:space="preserve">，火焰温度 </w:t>
                  </w:r>
                  <w:r>
                    <w:rPr>
                      <w:rFonts w:hint="default" w:ascii="Times New Roman" w:hAnsi="Times New Roman" w:eastAsia="Times New Roman" w:cs="Times New Roman"/>
                      <w:color w:val="auto"/>
                      <w:spacing w:val="0"/>
                      <w:position w:val="0"/>
                      <w:sz w:val="21"/>
                      <w:szCs w:val="21"/>
                      <w:highlight w:val="none"/>
                    </w:rPr>
                    <w:t>2500</w:t>
                  </w:r>
                  <w:r>
                    <w:rPr>
                      <w:rFonts w:hint="default" w:ascii="Times New Roman" w:hAnsi="Times New Roman" w:cs="Times New Roman"/>
                      <w:color w:val="auto"/>
                      <w:spacing w:val="0"/>
                      <w:position w:val="0"/>
                      <w:sz w:val="21"/>
                      <w:szCs w:val="21"/>
                      <w:highlight w:val="none"/>
                    </w:rPr>
                    <w:t>℃,撞击感度：</w:t>
                  </w:r>
                  <w:r>
                    <w:rPr>
                      <w:rFonts w:hint="default" w:ascii="Times New Roman" w:hAnsi="Times New Roman" w:eastAsia="Times New Roman" w:cs="Times New Roman"/>
                      <w:color w:val="auto"/>
                      <w:spacing w:val="0"/>
                      <w:position w:val="0"/>
                      <w:sz w:val="21"/>
                      <w:szCs w:val="21"/>
                      <w:highlight w:val="none"/>
                    </w:rPr>
                    <w:t>1.2-1.8kg.m/cm</w:t>
                  </w:r>
                  <w:r>
                    <w:rPr>
                      <w:rFonts w:hint="default" w:ascii="Times New Roman" w:hAnsi="Times New Roman" w:eastAsia="Times New Roman" w:cs="Times New Roman"/>
                      <w:color w:val="auto"/>
                      <w:spacing w:val="0"/>
                      <w:position w:val="0"/>
                      <w:sz w:val="21"/>
                      <w:szCs w:val="21"/>
                      <w:highlight w:val="none"/>
                      <w:vertAlign w:val="superscript"/>
                    </w:rPr>
                    <w:t>2</w:t>
                  </w:r>
                  <w:r>
                    <w:rPr>
                      <w:rFonts w:hint="default" w:ascii="Times New Roman" w:hAnsi="Times New Roman" w:cs="Times New Roman"/>
                      <w:color w:val="auto"/>
                      <w:spacing w:val="0"/>
                      <w:position w:val="0"/>
                      <w:sz w:val="21"/>
                      <w:szCs w:val="21"/>
                      <w:highlight w:val="none"/>
                    </w:rPr>
                    <w:t>（落锤试验），在</w:t>
                  </w:r>
                  <w:r>
                    <w:rPr>
                      <w:rFonts w:hint="default" w:ascii="Times New Roman" w:hAnsi="Times New Roman" w:eastAsia="Times New Roman" w:cs="Times New Roman"/>
                      <w:color w:val="auto"/>
                      <w:spacing w:val="0"/>
                      <w:position w:val="0"/>
                      <w:sz w:val="21"/>
                      <w:szCs w:val="21"/>
                      <w:highlight w:val="none"/>
                    </w:rPr>
                    <w:t>40</w:t>
                  </w:r>
                  <w:r>
                    <w:rPr>
                      <w:rFonts w:hint="default" w:ascii="Times New Roman" w:hAnsi="Times New Roman" w:cs="Times New Roman"/>
                      <w:color w:val="auto"/>
                      <w:spacing w:val="0"/>
                      <w:position w:val="0"/>
                      <w:sz w:val="21"/>
                      <w:szCs w:val="21"/>
                      <w:highlight w:val="none"/>
                    </w:rPr>
                    <w:t>℃以上时特别敏感。</w:t>
                  </w:r>
                </w:p>
                <w:p w14:paraId="36C87E4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危险特性：遇明火、撞击、摩擦、高温，有引起燃烧爆炸的危险。</w:t>
                  </w:r>
                </w:p>
                <w:p w14:paraId="52067B6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爆竹内的火药是以</w:t>
                  </w:r>
                  <w:r>
                    <w:rPr>
                      <w:rFonts w:hint="default" w:ascii="Times New Roman" w:hAnsi="Times New Roman" w:eastAsia="Times New Roman" w:cs="Times New Roman"/>
                      <w:color w:val="auto"/>
                      <w:spacing w:val="0"/>
                      <w:position w:val="0"/>
                      <w:sz w:val="21"/>
                      <w:szCs w:val="21"/>
                      <w:highlight w:val="none"/>
                    </w:rPr>
                    <w:t>1</w:t>
                  </w:r>
                  <w:r>
                    <w:rPr>
                      <w:rFonts w:hint="default" w:ascii="Times New Roman" w:hAnsi="Times New Roman" w:cs="Times New Roman"/>
                      <w:color w:val="auto"/>
                      <w:spacing w:val="0"/>
                      <w:position w:val="0"/>
                      <w:sz w:val="21"/>
                      <w:szCs w:val="21"/>
                      <w:highlight w:val="none"/>
                    </w:rPr>
                    <w:t>硫</w:t>
                  </w:r>
                  <w:r>
                    <w:rPr>
                      <w:rFonts w:hint="default" w:ascii="Times New Roman" w:hAnsi="Times New Roman" w:eastAsia="Times New Roman" w:cs="Times New Roman"/>
                      <w:color w:val="auto"/>
                      <w:spacing w:val="0"/>
                      <w:position w:val="0"/>
                      <w:sz w:val="21"/>
                      <w:szCs w:val="21"/>
                      <w:highlight w:val="none"/>
                    </w:rPr>
                    <w:t>2</w:t>
                  </w:r>
                  <w:r>
                    <w:rPr>
                      <w:rFonts w:hint="default" w:ascii="Times New Roman" w:hAnsi="Times New Roman" w:cs="Times New Roman"/>
                      <w:color w:val="auto"/>
                      <w:spacing w:val="0"/>
                      <w:position w:val="0"/>
                      <w:sz w:val="21"/>
                      <w:szCs w:val="21"/>
                      <w:highlight w:val="none"/>
                    </w:rPr>
                    <w:t>硝</w:t>
                  </w:r>
                  <w:r>
                    <w:rPr>
                      <w:rFonts w:hint="default" w:ascii="Times New Roman" w:hAnsi="Times New Roman" w:eastAsia="Times New Roman" w:cs="Times New Roman"/>
                      <w:color w:val="auto"/>
                      <w:spacing w:val="0"/>
                      <w:position w:val="0"/>
                      <w:sz w:val="21"/>
                      <w:szCs w:val="21"/>
                      <w:highlight w:val="none"/>
                    </w:rPr>
                    <w:t>3</w:t>
                  </w:r>
                  <w:r>
                    <w:rPr>
                      <w:rFonts w:hint="default" w:ascii="Times New Roman" w:hAnsi="Times New Roman" w:cs="Times New Roman"/>
                      <w:color w:val="auto"/>
                      <w:spacing w:val="0"/>
                      <w:position w:val="0"/>
                      <w:sz w:val="21"/>
                      <w:szCs w:val="21"/>
                      <w:highlight w:val="none"/>
                    </w:rPr>
                    <w:t>碳的黑色火药为基础发展而来的，一般配方是：硝酸钾（</w:t>
                  </w:r>
                  <w:r>
                    <w:rPr>
                      <w:rFonts w:hint="default" w:ascii="Times New Roman" w:hAnsi="Times New Roman" w:eastAsia="Times New Roman" w:cs="Times New Roman"/>
                      <w:color w:val="auto"/>
                      <w:spacing w:val="0"/>
                      <w:position w:val="0"/>
                      <w:sz w:val="21"/>
                      <w:szCs w:val="21"/>
                      <w:highlight w:val="none"/>
                    </w:rPr>
                    <w:t>KNO3</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3</w:t>
                  </w:r>
                  <w:r>
                    <w:rPr>
                      <w:rFonts w:hint="default" w:ascii="Times New Roman" w:hAnsi="Times New Roman" w:cs="Times New Roman"/>
                      <w:color w:val="auto"/>
                      <w:spacing w:val="0"/>
                      <w:position w:val="0"/>
                      <w:sz w:val="21"/>
                      <w:szCs w:val="21"/>
                      <w:highlight w:val="none"/>
                    </w:rPr>
                    <w:t>克，硫磺（</w:t>
                  </w:r>
                  <w:r>
                    <w:rPr>
                      <w:rFonts w:hint="default" w:ascii="Times New Roman" w:hAnsi="Times New Roman" w:eastAsia="Times New Roman" w:cs="Times New Roman"/>
                      <w:color w:val="auto"/>
                      <w:spacing w:val="0"/>
                      <w:position w:val="0"/>
                      <w:sz w:val="21"/>
                      <w:szCs w:val="21"/>
                      <w:highlight w:val="none"/>
                    </w:rPr>
                    <w:t>S</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2</w:t>
                  </w:r>
                  <w:r>
                    <w:rPr>
                      <w:rFonts w:hint="default" w:ascii="Times New Roman" w:hAnsi="Times New Roman" w:cs="Times New Roman"/>
                      <w:color w:val="auto"/>
                      <w:spacing w:val="0"/>
                      <w:position w:val="0"/>
                      <w:sz w:val="21"/>
                      <w:szCs w:val="21"/>
                      <w:highlight w:val="none"/>
                    </w:rPr>
                    <w:t>克，炭粉（</w:t>
                  </w:r>
                  <w:r>
                    <w:rPr>
                      <w:rFonts w:hint="default" w:ascii="Times New Roman" w:hAnsi="Times New Roman" w:eastAsia="Times New Roman" w:cs="Times New Roman"/>
                      <w:color w:val="auto"/>
                      <w:spacing w:val="0"/>
                      <w:position w:val="0"/>
                      <w:sz w:val="21"/>
                      <w:szCs w:val="21"/>
                      <w:highlight w:val="none"/>
                    </w:rPr>
                    <w:t>C</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4.5</w:t>
                  </w:r>
                  <w:r>
                    <w:rPr>
                      <w:rFonts w:hint="default" w:ascii="Times New Roman" w:hAnsi="Times New Roman" w:cs="Times New Roman"/>
                      <w:color w:val="auto"/>
                      <w:spacing w:val="0"/>
                      <w:position w:val="0"/>
                      <w:sz w:val="21"/>
                      <w:szCs w:val="21"/>
                      <w:highlight w:val="none"/>
                    </w:rPr>
                    <w:t>克，蔗糖（</w:t>
                  </w:r>
                  <w:r>
                    <w:rPr>
                      <w:rFonts w:hint="default" w:ascii="Times New Roman" w:hAnsi="Times New Roman" w:eastAsia="Times New Roman" w:cs="Times New Roman"/>
                      <w:color w:val="auto"/>
                      <w:spacing w:val="0"/>
                      <w:position w:val="0"/>
                      <w:sz w:val="21"/>
                      <w:szCs w:val="21"/>
                      <w:highlight w:val="none"/>
                    </w:rPr>
                    <w:t>C</w:t>
                  </w:r>
                  <w:r>
                    <w:rPr>
                      <w:rFonts w:hint="default" w:ascii="Times New Roman" w:hAnsi="Times New Roman" w:eastAsia="Times New Roman" w:cs="Times New Roman"/>
                      <w:color w:val="auto"/>
                      <w:spacing w:val="0"/>
                      <w:position w:val="0"/>
                      <w:sz w:val="21"/>
                      <w:szCs w:val="21"/>
                      <w:highlight w:val="none"/>
                      <w:vertAlign w:val="subscript"/>
                    </w:rPr>
                    <w:t>12</w:t>
                  </w:r>
                  <w:r>
                    <w:rPr>
                      <w:rFonts w:hint="default" w:ascii="Times New Roman" w:hAnsi="Times New Roman" w:eastAsia="Times New Roman" w:cs="Times New Roman"/>
                      <w:color w:val="auto"/>
                      <w:spacing w:val="0"/>
                      <w:position w:val="0"/>
                      <w:sz w:val="21"/>
                      <w:szCs w:val="21"/>
                      <w:highlight w:val="none"/>
                    </w:rPr>
                    <w:t>H</w:t>
                  </w:r>
                  <w:r>
                    <w:rPr>
                      <w:rFonts w:hint="default" w:ascii="Times New Roman" w:hAnsi="Times New Roman" w:eastAsia="Times New Roman" w:cs="Times New Roman"/>
                      <w:color w:val="auto"/>
                      <w:spacing w:val="0"/>
                      <w:position w:val="0"/>
                      <w:sz w:val="21"/>
                      <w:szCs w:val="21"/>
                      <w:highlight w:val="none"/>
                      <w:vertAlign w:val="subscript"/>
                    </w:rPr>
                    <w:t>22</w:t>
                  </w:r>
                  <w:r>
                    <w:rPr>
                      <w:rFonts w:hint="default" w:ascii="Times New Roman" w:hAnsi="Times New Roman" w:eastAsia="Times New Roman" w:cs="Times New Roman"/>
                      <w:color w:val="auto"/>
                      <w:spacing w:val="0"/>
                      <w:position w:val="0"/>
                      <w:sz w:val="21"/>
                      <w:szCs w:val="21"/>
                      <w:highlight w:val="none"/>
                    </w:rPr>
                    <w:t>O</w:t>
                  </w:r>
                  <w:r>
                    <w:rPr>
                      <w:rFonts w:hint="default" w:ascii="Times New Roman" w:hAnsi="Times New Roman" w:eastAsia="Times New Roman" w:cs="Times New Roman"/>
                      <w:color w:val="auto"/>
                      <w:spacing w:val="0"/>
                      <w:position w:val="0"/>
                      <w:sz w:val="21"/>
                      <w:szCs w:val="21"/>
                      <w:highlight w:val="none"/>
                      <w:vertAlign w:val="subscript"/>
                    </w:rPr>
                    <w:t>11</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5</w:t>
                  </w:r>
                  <w:r>
                    <w:rPr>
                      <w:rFonts w:hint="default" w:ascii="Times New Roman" w:hAnsi="Times New Roman" w:cs="Times New Roman"/>
                      <w:color w:val="auto"/>
                      <w:spacing w:val="0"/>
                      <w:position w:val="0"/>
                      <w:sz w:val="21"/>
                      <w:szCs w:val="21"/>
                      <w:highlight w:val="none"/>
                    </w:rPr>
                    <w:t>克，镁粉（</w:t>
                  </w:r>
                  <w:r>
                    <w:rPr>
                      <w:rFonts w:hint="default" w:ascii="Times New Roman" w:hAnsi="Times New Roman" w:eastAsia="Times New Roman" w:cs="Times New Roman"/>
                      <w:color w:val="auto"/>
                      <w:spacing w:val="0"/>
                      <w:position w:val="0"/>
                      <w:sz w:val="21"/>
                      <w:szCs w:val="21"/>
                      <w:highlight w:val="none"/>
                    </w:rPr>
                    <w:t>Mg</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1</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2</w:t>
                  </w:r>
                  <w:r>
                    <w:rPr>
                      <w:rFonts w:hint="default" w:ascii="Times New Roman" w:hAnsi="Times New Roman" w:cs="Times New Roman"/>
                      <w:color w:val="auto"/>
                      <w:spacing w:val="0"/>
                      <w:position w:val="0"/>
                      <w:sz w:val="21"/>
                      <w:szCs w:val="21"/>
                      <w:highlight w:val="none"/>
                    </w:rPr>
                    <w:t>克。其中蔗糖作为气体发生剂以增加响度，镁为发光剂。点燃后的爆炸反应主要是：</w:t>
                  </w:r>
                  <w:r>
                    <w:rPr>
                      <w:rFonts w:hint="default" w:ascii="Times New Roman" w:hAnsi="Times New Roman" w:eastAsia="Times New Roman" w:cs="Times New Roman"/>
                      <w:i/>
                      <w:iCs/>
                      <w:color w:val="auto"/>
                      <w:spacing w:val="0"/>
                      <w:position w:val="0"/>
                      <w:sz w:val="21"/>
                      <w:szCs w:val="21"/>
                      <w:highlight w:val="none"/>
                    </w:rPr>
                    <w:t>S</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2</w:t>
                  </w:r>
                  <w:r>
                    <w:rPr>
                      <w:rFonts w:hint="default" w:ascii="Times New Roman" w:hAnsi="Times New Roman" w:eastAsia="Times New Roman" w:cs="Times New Roman"/>
                      <w:i/>
                      <w:iCs/>
                      <w:color w:val="auto"/>
                      <w:spacing w:val="0"/>
                      <w:position w:val="0"/>
                      <w:sz w:val="21"/>
                      <w:szCs w:val="21"/>
                      <w:highlight w:val="none"/>
                    </w:rPr>
                    <w:t>KNO</w:t>
                  </w:r>
                  <w:r>
                    <w:rPr>
                      <w:rFonts w:hint="default" w:ascii="Times New Roman" w:hAnsi="Times New Roman" w:eastAsia="Times New Roman" w:cs="Times New Roman"/>
                      <w:color w:val="auto"/>
                      <w:spacing w:val="0"/>
                      <w:position w:val="0"/>
                      <w:sz w:val="21"/>
                      <w:szCs w:val="21"/>
                      <w:highlight w:val="none"/>
                      <w:vertAlign w:val="subscript"/>
                    </w:rPr>
                    <w:t>3</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3</w:t>
                  </w:r>
                  <w:r>
                    <w:rPr>
                      <w:rFonts w:hint="default" w:ascii="Times New Roman" w:hAnsi="Times New Roman" w:eastAsia="Times New Roman" w:cs="Times New Roman"/>
                      <w:i/>
                      <w:iCs/>
                      <w:color w:val="auto"/>
                      <w:spacing w:val="0"/>
                      <w:position w:val="0"/>
                      <w:sz w:val="21"/>
                      <w:szCs w:val="21"/>
                      <w:highlight w:val="none"/>
                    </w:rPr>
                    <w:t>C</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i/>
                      <w:iCs/>
                      <w:color w:val="auto"/>
                      <w:spacing w:val="0"/>
                      <w:position w:val="0"/>
                      <w:sz w:val="21"/>
                      <w:szCs w:val="21"/>
                      <w:highlight w:val="none"/>
                    </w:rPr>
                    <w:t>K</w:t>
                  </w:r>
                  <w:r>
                    <w:rPr>
                      <w:rFonts w:hint="default" w:ascii="Times New Roman" w:hAnsi="Times New Roman" w:eastAsia="Times New Roman" w:cs="Times New Roman"/>
                      <w:color w:val="auto"/>
                      <w:spacing w:val="0"/>
                      <w:position w:val="0"/>
                      <w:sz w:val="21"/>
                      <w:szCs w:val="21"/>
                      <w:highlight w:val="none"/>
                      <w:vertAlign w:val="subscript"/>
                    </w:rPr>
                    <w:t>2</w:t>
                  </w:r>
                  <w:r>
                    <w:rPr>
                      <w:rFonts w:hint="default" w:ascii="Times New Roman" w:hAnsi="Times New Roman" w:eastAsia="Times New Roman" w:cs="Times New Roman"/>
                      <w:i/>
                      <w:iCs/>
                      <w:color w:val="auto"/>
                      <w:spacing w:val="0"/>
                      <w:position w:val="0"/>
                      <w:sz w:val="21"/>
                      <w:szCs w:val="21"/>
                      <w:highlight w:val="none"/>
                    </w:rPr>
                    <w:t>S</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i/>
                      <w:iCs/>
                      <w:color w:val="auto"/>
                      <w:spacing w:val="0"/>
                      <w:position w:val="0"/>
                      <w:sz w:val="21"/>
                      <w:szCs w:val="21"/>
                      <w:highlight w:val="none"/>
                    </w:rPr>
                    <w:t>N</w:t>
                  </w:r>
                  <w:r>
                    <w:rPr>
                      <w:rFonts w:hint="default" w:ascii="Times New Roman" w:hAnsi="Times New Roman" w:eastAsia="Times New Roman" w:cs="Times New Roman"/>
                      <w:color w:val="auto"/>
                      <w:spacing w:val="0"/>
                      <w:position w:val="0"/>
                      <w:sz w:val="21"/>
                      <w:szCs w:val="21"/>
                      <w:highlight w:val="none"/>
                      <w:vertAlign w:val="subscript"/>
                    </w:rPr>
                    <w:t>2</w:t>
                  </w:r>
                  <w:r>
                    <w:rPr>
                      <w:rFonts w:hint="default" w:ascii="Times New Roman" w:hAnsi="Times New Roman" w:eastAsia="Times New Roman" w:cs="Times New Roman"/>
                      <w:color w:val="auto"/>
                      <w:spacing w:val="0"/>
                      <w:w w:val="101"/>
                      <w:position w:val="0"/>
                      <w:sz w:val="21"/>
                      <w:szCs w:val="21"/>
                      <w:highlight w:val="none"/>
                    </w:rPr>
                    <w:t xml:space="preserve">  </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3</w:t>
                  </w:r>
                  <w:r>
                    <w:rPr>
                      <w:rFonts w:hint="default" w:ascii="Times New Roman" w:hAnsi="Times New Roman" w:eastAsia="Times New Roman" w:cs="Times New Roman"/>
                      <w:i/>
                      <w:iCs/>
                      <w:color w:val="auto"/>
                      <w:spacing w:val="0"/>
                      <w:position w:val="0"/>
                      <w:sz w:val="21"/>
                      <w:szCs w:val="21"/>
                      <w:highlight w:val="none"/>
                    </w:rPr>
                    <w:t>CO</w:t>
                  </w:r>
                  <w:r>
                    <w:rPr>
                      <w:rFonts w:hint="default" w:ascii="Times New Roman" w:hAnsi="Times New Roman" w:eastAsia="Times New Roman" w:cs="Times New Roman"/>
                      <w:color w:val="auto"/>
                      <w:spacing w:val="0"/>
                      <w:position w:val="0"/>
                      <w:sz w:val="21"/>
                      <w:szCs w:val="21"/>
                      <w:highlight w:val="none"/>
                      <w:vertAlign w:val="subscript"/>
                    </w:rPr>
                    <w:t>2</w:t>
                  </w:r>
                  <w:r>
                    <w:rPr>
                      <w:rFonts w:hint="default" w:ascii="Times New Roman" w:hAnsi="Times New Roman" w:eastAsia="微软雅黑"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707</w:t>
                  </w:r>
                  <w:r>
                    <w:rPr>
                      <w:rFonts w:hint="default" w:ascii="Times New Roman" w:hAnsi="Times New Roman" w:eastAsia="Times New Roman" w:cs="Times New Roman"/>
                      <w:i/>
                      <w:iCs/>
                      <w:color w:val="auto"/>
                      <w:spacing w:val="0"/>
                      <w:position w:val="0"/>
                      <w:sz w:val="21"/>
                      <w:szCs w:val="21"/>
                      <w:highlight w:val="none"/>
                    </w:rPr>
                    <w:t>kJ</w:t>
                  </w:r>
                </w:p>
              </w:tc>
            </w:tr>
            <w:tr w14:paraId="3261D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70" w:type="pct"/>
                  <w:vAlign w:val="center"/>
                </w:tcPr>
                <w:p w14:paraId="2BA26C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2"/>
                      <w:sz w:val="21"/>
                      <w:szCs w:val="21"/>
                      <w:highlight w:val="none"/>
                    </w:rPr>
                    <w:t>6</w:t>
                  </w:r>
                </w:p>
              </w:tc>
              <w:tc>
                <w:tcPr>
                  <w:tcW w:w="371" w:type="pct"/>
                  <w:vAlign w:val="center"/>
                </w:tcPr>
                <w:p w14:paraId="6B5240D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5"/>
                      <w:sz w:val="21"/>
                      <w:szCs w:val="21"/>
                      <w:highlight w:val="none"/>
                    </w:rPr>
                    <w:t>镁铝</w:t>
                  </w:r>
                  <w:r>
                    <w:rPr>
                      <w:color w:val="auto"/>
                      <w:spacing w:val="1"/>
                      <w:sz w:val="21"/>
                      <w:szCs w:val="21"/>
                      <w:highlight w:val="none"/>
                    </w:rPr>
                    <w:t>粉</w:t>
                  </w:r>
                </w:p>
              </w:tc>
              <w:tc>
                <w:tcPr>
                  <w:tcW w:w="4257" w:type="pct"/>
                  <w:vAlign w:val="top"/>
                </w:tcPr>
                <w:p w14:paraId="39DAA4F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镁的熔点为</w:t>
                  </w:r>
                  <w:r>
                    <w:rPr>
                      <w:rFonts w:hint="default" w:ascii="Times New Roman" w:hAnsi="Times New Roman" w:eastAsia="Times New Roman" w:cs="Times New Roman"/>
                      <w:color w:val="auto"/>
                      <w:spacing w:val="0"/>
                      <w:position w:val="0"/>
                      <w:sz w:val="21"/>
                      <w:szCs w:val="21"/>
                      <w:highlight w:val="none"/>
                    </w:rPr>
                    <w:t>651</w:t>
                  </w:r>
                  <w:r>
                    <w:rPr>
                      <w:rFonts w:hint="default" w:ascii="Times New Roman" w:hAnsi="Times New Roman" w:cs="Times New Roman"/>
                      <w:color w:val="auto"/>
                      <w:spacing w:val="0"/>
                      <w:position w:val="0"/>
                      <w:sz w:val="21"/>
                      <w:szCs w:val="21"/>
                      <w:highlight w:val="none"/>
                    </w:rPr>
                    <w:t>℃,沸点为</w:t>
                  </w:r>
                  <w:r>
                    <w:rPr>
                      <w:rFonts w:hint="default" w:ascii="Times New Roman" w:hAnsi="Times New Roman" w:eastAsia="Times New Roman" w:cs="Times New Roman"/>
                      <w:color w:val="auto"/>
                      <w:spacing w:val="0"/>
                      <w:position w:val="0"/>
                      <w:sz w:val="21"/>
                      <w:szCs w:val="21"/>
                      <w:highlight w:val="none"/>
                    </w:rPr>
                    <w:t>1107</w:t>
                  </w:r>
                  <w:r>
                    <w:rPr>
                      <w:rFonts w:hint="default" w:ascii="Times New Roman" w:hAnsi="Times New Roman" w:cs="Times New Roman"/>
                      <w:color w:val="auto"/>
                      <w:spacing w:val="0"/>
                      <w:position w:val="0"/>
                      <w:sz w:val="21"/>
                      <w:szCs w:val="21"/>
                      <w:highlight w:val="none"/>
                    </w:rPr>
                    <w:t>℃。镁的蒸气压很高，</w:t>
                  </w:r>
                  <w:r>
                    <w:rPr>
                      <w:rFonts w:hint="default" w:ascii="Times New Roman" w:hAnsi="Times New Roman" w:eastAsia="Times New Roman" w:cs="Times New Roman"/>
                      <w:color w:val="auto"/>
                      <w:spacing w:val="0"/>
                      <w:position w:val="0"/>
                      <w:sz w:val="21"/>
                      <w:szCs w:val="21"/>
                      <w:highlight w:val="none"/>
                    </w:rPr>
                    <w:t>627</w:t>
                  </w:r>
                  <w:r>
                    <w:rPr>
                      <w:rFonts w:hint="default" w:ascii="Times New Roman" w:hAnsi="Times New Roman" w:cs="Times New Roman"/>
                      <w:color w:val="auto"/>
                      <w:spacing w:val="0"/>
                      <w:position w:val="0"/>
                      <w:sz w:val="21"/>
                      <w:szCs w:val="21"/>
                      <w:highlight w:val="none"/>
                    </w:rPr>
                    <w:t xml:space="preserve">℃时为 </w:t>
                  </w:r>
                  <w:r>
                    <w:rPr>
                      <w:rFonts w:hint="default" w:ascii="Times New Roman" w:hAnsi="Times New Roman" w:eastAsia="Times New Roman" w:cs="Times New Roman"/>
                      <w:color w:val="auto"/>
                      <w:spacing w:val="0"/>
                      <w:position w:val="0"/>
                      <w:sz w:val="21"/>
                      <w:szCs w:val="21"/>
                      <w:highlight w:val="none"/>
                    </w:rPr>
                    <w:t>215215.95Pa</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727</w:t>
                  </w:r>
                  <w:r>
                    <w:rPr>
                      <w:rFonts w:hint="default" w:ascii="Times New Roman" w:hAnsi="Times New Roman" w:cs="Times New Roman"/>
                      <w:color w:val="auto"/>
                      <w:spacing w:val="0"/>
                      <w:position w:val="0"/>
                      <w:sz w:val="21"/>
                      <w:szCs w:val="21"/>
                      <w:highlight w:val="none"/>
                    </w:rPr>
                    <w:t>℃时为</w:t>
                  </w:r>
                  <w:r>
                    <w:rPr>
                      <w:rFonts w:hint="default" w:ascii="Times New Roman" w:hAnsi="Times New Roman" w:eastAsia="Times New Roman" w:cs="Times New Roman"/>
                      <w:color w:val="auto"/>
                      <w:spacing w:val="0"/>
                      <w:position w:val="0"/>
                      <w:sz w:val="21"/>
                      <w:szCs w:val="21"/>
                      <w:highlight w:val="none"/>
                    </w:rPr>
                    <w:t>1037.1Pa</w:t>
                  </w:r>
                  <w:r>
                    <w:rPr>
                      <w:rFonts w:hint="default" w:ascii="Times New Roman" w:hAnsi="Times New Roman" w:cs="Times New Roman"/>
                      <w:color w:val="auto"/>
                      <w:spacing w:val="0"/>
                      <w:position w:val="0"/>
                      <w:sz w:val="21"/>
                      <w:szCs w:val="21"/>
                      <w:highlight w:val="none"/>
                    </w:rPr>
                    <w:t>，因此镁铍极易挥发。镁原子最外层的两个电子很易失去，是很活泼的金属。常温下镁能与</w:t>
                  </w:r>
                  <w:r>
                    <w:rPr>
                      <w:rFonts w:hint="default" w:ascii="Times New Roman" w:hAnsi="Times New Roman" w:eastAsia="Times New Roman" w:cs="Times New Roman"/>
                      <w:color w:val="auto"/>
                      <w:spacing w:val="0"/>
                      <w:position w:val="0"/>
                      <w:sz w:val="21"/>
                      <w:szCs w:val="21"/>
                      <w:highlight w:val="none"/>
                    </w:rPr>
                    <w:t>F</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CL</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BR</w:t>
                  </w:r>
                  <w:r>
                    <w:rPr>
                      <w:rFonts w:hint="default" w:ascii="Times New Roman" w:hAnsi="Times New Roman" w:cs="Times New Roman"/>
                      <w:color w:val="auto"/>
                      <w:spacing w:val="0"/>
                      <w:position w:val="0"/>
                      <w:sz w:val="21"/>
                      <w:szCs w:val="21"/>
                      <w:highlight w:val="none"/>
                    </w:rPr>
                    <w:t>、</w:t>
                  </w:r>
                  <w:r>
                    <w:rPr>
                      <w:rFonts w:hint="default" w:ascii="Times New Roman" w:hAnsi="Times New Roman" w:eastAsia="Times New Roman" w:cs="Times New Roman"/>
                      <w:color w:val="auto"/>
                      <w:spacing w:val="0"/>
                      <w:position w:val="0"/>
                      <w:sz w:val="21"/>
                      <w:szCs w:val="21"/>
                      <w:highlight w:val="none"/>
                    </w:rPr>
                    <w:t>I</w:t>
                  </w:r>
                  <w:r>
                    <w:rPr>
                      <w:rFonts w:hint="default" w:ascii="Times New Roman" w:hAnsi="Times New Roman" w:cs="Times New Roman"/>
                      <w:color w:val="auto"/>
                      <w:spacing w:val="0"/>
                      <w:position w:val="0"/>
                      <w:sz w:val="21"/>
                      <w:szCs w:val="21"/>
                      <w:highlight w:val="none"/>
                    </w:rPr>
                    <w:t>等元素作用生成相应化合物。加热时镁能与硫、氮作用生成</w:t>
                  </w:r>
                  <w:r>
                    <w:rPr>
                      <w:rFonts w:hint="default" w:ascii="Times New Roman" w:hAnsi="Times New Roman" w:eastAsia="Times New Roman" w:cs="Times New Roman"/>
                      <w:color w:val="auto"/>
                      <w:spacing w:val="0"/>
                      <w:position w:val="0"/>
                      <w:sz w:val="21"/>
                      <w:szCs w:val="21"/>
                      <w:highlight w:val="none"/>
                    </w:rPr>
                    <w:t>MgS</w:t>
                  </w:r>
                  <w:r>
                    <w:rPr>
                      <w:rFonts w:hint="default" w:ascii="Times New Roman" w:hAnsi="Times New Roman" w:cs="Times New Roman"/>
                      <w:color w:val="auto"/>
                      <w:spacing w:val="0"/>
                      <w:position w:val="0"/>
                      <w:sz w:val="21"/>
                      <w:szCs w:val="21"/>
                      <w:highlight w:val="none"/>
                    </w:rPr>
                    <w:t xml:space="preserve">和 </w:t>
                  </w:r>
                  <w:r>
                    <w:rPr>
                      <w:rFonts w:hint="default" w:ascii="Times New Roman" w:hAnsi="Times New Roman" w:eastAsia="Times New Roman" w:cs="Times New Roman"/>
                      <w:color w:val="auto"/>
                      <w:spacing w:val="0"/>
                      <w:position w:val="0"/>
                      <w:sz w:val="21"/>
                      <w:szCs w:val="21"/>
                      <w:highlight w:val="none"/>
                    </w:rPr>
                    <w:t>Mg</w:t>
                  </w:r>
                  <w:r>
                    <w:rPr>
                      <w:rFonts w:hint="default" w:ascii="Times New Roman" w:hAnsi="Times New Roman" w:eastAsia="Times New Roman" w:cs="Times New Roman"/>
                      <w:color w:val="auto"/>
                      <w:spacing w:val="0"/>
                      <w:position w:val="0"/>
                      <w:sz w:val="21"/>
                      <w:szCs w:val="21"/>
                      <w:highlight w:val="none"/>
                      <w:vertAlign w:val="subscript"/>
                    </w:rPr>
                    <w:t>3</w:t>
                  </w:r>
                  <w:r>
                    <w:rPr>
                      <w:rFonts w:hint="default" w:ascii="Times New Roman" w:hAnsi="Times New Roman" w:eastAsia="Times New Roman" w:cs="Times New Roman"/>
                      <w:color w:val="auto"/>
                      <w:spacing w:val="0"/>
                      <w:position w:val="0"/>
                      <w:sz w:val="21"/>
                      <w:szCs w:val="21"/>
                      <w:highlight w:val="none"/>
                    </w:rPr>
                    <w:t>N</w:t>
                  </w:r>
                  <w:r>
                    <w:rPr>
                      <w:rFonts w:hint="default" w:ascii="Times New Roman" w:hAnsi="Times New Roman" w:eastAsia="Times New Roman" w:cs="Times New Roman"/>
                      <w:color w:val="auto"/>
                      <w:spacing w:val="0"/>
                      <w:position w:val="0"/>
                      <w:sz w:val="21"/>
                      <w:szCs w:val="21"/>
                      <w:highlight w:val="none"/>
                      <w:vertAlign w:val="subscript"/>
                    </w:rPr>
                    <w:t>2</w:t>
                  </w:r>
                  <w:r>
                    <w:rPr>
                      <w:rFonts w:hint="default" w:ascii="Times New Roman" w:hAnsi="Times New Roman" w:cs="Times New Roman"/>
                      <w:color w:val="auto"/>
                      <w:spacing w:val="0"/>
                      <w:position w:val="0"/>
                      <w:sz w:val="21"/>
                      <w:szCs w:val="21"/>
                      <w:highlight w:val="none"/>
                    </w:rPr>
                    <w:t>。在空气中镁会慢慢氧化，失去银白光泽而变黑。若温度提高至</w:t>
                  </w:r>
                  <w:r>
                    <w:rPr>
                      <w:rFonts w:hint="default" w:ascii="Times New Roman" w:hAnsi="Times New Roman" w:eastAsia="Times New Roman" w:cs="Times New Roman"/>
                      <w:color w:val="auto"/>
                      <w:spacing w:val="0"/>
                      <w:position w:val="0"/>
                      <w:sz w:val="21"/>
                      <w:szCs w:val="21"/>
                      <w:highlight w:val="none"/>
                    </w:rPr>
                    <w:t>400</w:t>
                  </w:r>
                  <w:r>
                    <w:rPr>
                      <w:rFonts w:hint="default" w:ascii="Times New Roman" w:hAnsi="Times New Roman" w:cs="Times New Roman"/>
                      <w:color w:val="auto"/>
                      <w:spacing w:val="0"/>
                      <w:position w:val="0"/>
                      <w:sz w:val="21"/>
                      <w:szCs w:val="21"/>
                      <w:highlight w:val="none"/>
                    </w:rPr>
                    <w:t>℃以上，镁的氧化速度增快，超过</w:t>
                  </w:r>
                  <w:r>
                    <w:rPr>
                      <w:rFonts w:hint="default" w:ascii="Times New Roman" w:hAnsi="Times New Roman" w:eastAsia="Times New Roman" w:cs="Times New Roman"/>
                      <w:color w:val="auto"/>
                      <w:spacing w:val="0"/>
                      <w:position w:val="0"/>
                      <w:sz w:val="21"/>
                      <w:szCs w:val="21"/>
                      <w:highlight w:val="none"/>
                    </w:rPr>
                    <w:t>500</w:t>
                  </w:r>
                  <w:r>
                    <w:rPr>
                      <w:rFonts w:hint="default" w:ascii="Times New Roman" w:hAnsi="Times New Roman" w:cs="Times New Roman"/>
                      <w:color w:val="auto"/>
                      <w:spacing w:val="0"/>
                      <w:position w:val="0"/>
                      <w:sz w:val="21"/>
                      <w:szCs w:val="21"/>
                      <w:highlight w:val="none"/>
                    </w:rPr>
                    <w:t>℃以后氧化速度更快，会着火燃烧，此时会生成氧化镁和少量氮化镁。</w:t>
                  </w:r>
                </w:p>
              </w:tc>
            </w:tr>
            <w:tr w14:paraId="1A34F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370" w:type="pct"/>
                  <w:vAlign w:val="center"/>
                </w:tcPr>
                <w:p w14:paraId="538DC96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7</w:t>
                  </w:r>
                </w:p>
              </w:tc>
              <w:tc>
                <w:tcPr>
                  <w:tcW w:w="371" w:type="pct"/>
                  <w:vAlign w:val="center"/>
                </w:tcPr>
                <w:p w14:paraId="7B3C88B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4"/>
                      <w:sz w:val="21"/>
                      <w:szCs w:val="21"/>
                      <w:highlight w:val="none"/>
                    </w:rPr>
                    <w:t>木炭</w:t>
                  </w:r>
                </w:p>
              </w:tc>
              <w:tc>
                <w:tcPr>
                  <w:tcW w:w="4257" w:type="pct"/>
                  <w:vAlign w:val="top"/>
                </w:tcPr>
                <w:p w14:paraId="2F5BE1B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木炭粉是用农作物秸秆、林业剩余物制成的炭粉，如今木炭粉在工业、农业、医药、家庭等多个领域均有应用</w:t>
                  </w:r>
                </w:p>
              </w:tc>
            </w:tr>
            <w:tr w14:paraId="3C6AB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70" w:type="pct"/>
                  <w:vAlign w:val="center"/>
                </w:tcPr>
                <w:p w14:paraId="47CB7C5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2"/>
                      <w:sz w:val="21"/>
                      <w:szCs w:val="21"/>
                      <w:highlight w:val="none"/>
                    </w:rPr>
                    <w:t>8</w:t>
                  </w:r>
                </w:p>
              </w:tc>
              <w:tc>
                <w:tcPr>
                  <w:tcW w:w="371" w:type="pct"/>
                  <w:vAlign w:val="center"/>
                </w:tcPr>
                <w:p w14:paraId="40DE106A">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4"/>
                      <w:sz w:val="21"/>
                      <w:szCs w:val="21"/>
                      <w:highlight w:val="none"/>
                    </w:rPr>
                    <w:t>碳酸</w:t>
                  </w:r>
                  <w:r>
                    <w:rPr>
                      <w:color w:val="auto"/>
                      <w:spacing w:val="1"/>
                      <w:sz w:val="21"/>
                      <w:szCs w:val="21"/>
                      <w:highlight w:val="none"/>
                    </w:rPr>
                    <w:t>锶</w:t>
                  </w:r>
                </w:p>
              </w:tc>
              <w:tc>
                <w:tcPr>
                  <w:tcW w:w="4257" w:type="pct"/>
                  <w:vAlign w:val="top"/>
                </w:tcPr>
                <w:p w14:paraId="064C480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碳酸锶是一种无机化合物，化学式为</w:t>
                  </w:r>
                  <w:r>
                    <w:rPr>
                      <w:rFonts w:hint="default" w:ascii="Times New Roman" w:hAnsi="Times New Roman" w:eastAsia="Times New Roman" w:cs="Times New Roman"/>
                      <w:color w:val="auto"/>
                      <w:spacing w:val="0"/>
                      <w:position w:val="0"/>
                      <w:sz w:val="21"/>
                      <w:szCs w:val="21"/>
                      <w:highlight w:val="none"/>
                    </w:rPr>
                    <w:t>SrCO</w:t>
                  </w:r>
                  <w:r>
                    <w:rPr>
                      <w:rFonts w:hint="default" w:ascii="Times New Roman" w:hAnsi="Times New Roman" w:eastAsia="Times New Roman" w:cs="Times New Roman"/>
                      <w:color w:val="auto"/>
                      <w:spacing w:val="0"/>
                      <w:position w:val="0"/>
                      <w:sz w:val="21"/>
                      <w:szCs w:val="21"/>
                      <w:highlight w:val="none"/>
                      <w:vertAlign w:val="subscript"/>
                    </w:rPr>
                    <w:t>3</w:t>
                  </w:r>
                  <w:r>
                    <w:rPr>
                      <w:rFonts w:hint="default" w:ascii="Times New Roman" w:hAnsi="Times New Roman" w:cs="Times New Roman"/>
                      <w:color w:val="auto"/>
                      <w:spacing w:val="0"/>
                      <w:position w:val="0"/>
                      <w:sz w:val="21"/>
                      <w:szCs w:val="21"/>
                      <w:highlight w:val="none"/>
                    </w:rPr>
                    <w:t>，白色粉末或颗粒、无臭无味。主要用于玻壳玻璃，磁性材料，金属冶炼，锶盐制备，电子元件，焰火。</w:t>
                  </w:r>
                </w:p>
              </w:tc>
            </w:tr>
            <w:tr w14:paraId="2724A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370" w:type="pct"/>
                  <w:vAlign w:val="center"/>
                </w:tcPr>
                <w:p w14:paraId="62A1A5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position w:val="2"/>
                      <w:sz w:val="21"/>
                      <w:szCs w:val="21"/>
                      <w:highlight w:val="none"/>
                    </w:rPr>
                    <w:t>9</w:t>
                  </w:r>
                </w:p>
              </w:tc>
              <w:tc>
                <w:tcPr>
                  <w:tcW w:w="371" w:type="pct"/>
                  <w:vAlign w:val="center"/>
                </w:tcPr>
                <w:p w14:paraId="6460676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3"/>
                      <w:sz w:val="21"/>
                      <w:szCs w:val="21"/>
                      <w:highlight w:val="none"/>
                    </w:rPr>
                    <w:t>硝酸</w:t>
                  </w:r>
                  <w:r>
                    <w:rPr>
                      <w:color w:val="auto"/>
                      <w:spacing w:val="1"/>
                      <w:sz w:val="21"/>
                      <w:szCs w:val="21"/>
                      <w:highlight w:val="none"/>
                    </w:rPr>
                    <w:t>钡</w:t>
                  </w:r>
                </w:p>
              </w:tc>
              <w:tc>
                <w:tcPr>
                  <w:tcW w:w="4257" w:type="pct"/>
                  <w:vAlign w:val="top"/>
                </w:tcPr>
                <w:p w14:paraId="62756FD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硝酸钡是一种无机物，化学式</w:t>
                  </w:r>
                  <w:r>
                    <w:rPr>
                      <w:rFonts w:hint="default" w:ascii="Times New Roman" w:hAnsi="Times New Roman" w:eastAsia="Times New Roman" w:cs="Times New Roman"/>
                      <w:color w:val="auto"/>
                      <w:spacing w:val="0"/>
                      <w:position w:val="0"/>
                      <w:sz w:val="21"/>
                      <w:szCs w:val="21"/>
                      <w:highlight w:val="none"/>
                    </w:rPr>
                    <w:t>Ba(NO</w:t>
                  </w:r>
                  <w:r>
                    <w:rPr>
                      <w:rFonts w:hint="default" w:ascii="Times New Roman" w:hAnsi="Times New Roman" w:eastAsia="Arial" w:cs="Times New Roman"/>
                      <w:color w:val="auto"/>
                      <w:spacing w:val="0"/>
                      <w:position w:val="0"/>
                      <w:sz w:val="21"/>
                      <w:szCs w:val="21"/>
                      <w:highlight w:val="none"/>
                      <w:vertAlign w:val="subscript"/>
                    </w:rPr>
                    <w:t>3</w:t>
                  </w:r>
                  <w:r>
                    <w:rPr>
                      <w:rFonts w:hint="default" w:ascii="Times New Roman" w:hAnsi="Times New Roman" w:eastAsia="Times New Roman" w:cs="Times New Roman"/>
                      <w:color w:val="auto"/>
                      <w:spacing w:val="0"/>
                      <w:position w:val="0"/>
                      <w:sz w:val="21"/>
                      <w:szCs w:val="21"/>
                      <w:highlight w:val="none"/>
                    </w:rPr>
                    <w:t>)</w:t>
                  </w:r>
                  <w:r>
                    <w:rPr>
                      <w:rFonts w:hint="default" w:ascii="Times New Roman" w:hAnsi="Times New Roman" w:eastAsia="Arial" w:cs="Times New Roman"/>
                      <w:color w:val="auto"/>
                      <w:spacing w:val="0"/>
                      <w:position w:val="0"/>
                      <w:sz w:val="21"/>
                      <w:szCs w:val="21"/>
                      <w:highlight w:val="none"/>
                      <w:vertAlign w:val="subscript"/>
                    </w:rPr>
                    <w:t>2</w:t>
                  </w:r>
                  <w:r>
                    <w:rPr>
                      <w:rFonts w:hint="default" w:ascii="Times New Roman" w:hAnsi="Times New Roman" w:cs="Times New Roman"/>
                      <w:color w:val="auto"/>
                      <w:spacing w:val="0"/>
                      <w:position w:val="0"/>
                      <w:sz w:val="21"/>
                      <w:szCs w:val="21"/>
                      <w:highlight w:val="none"/>
                    </w:rPr>
                    <w:t>，分子量</w:t>
                  </w:r>
                  <w:r>
                    <w:rPr>
                      <w:rFonts w:hint="default" w:ascii="Times New Roman" w:hAnsi="Times New Roman" w:eastAsia="Times New Roman" w:cs="Times New Roman"/>
                      <w:color w:val="auto"/>
                      <w:spacing w:val="0"/>
                      <w:position w:val="0"/>
                      <w:sz w:val="21"/>
                      <w:szCs w:val="21"/>
                      <w:highlight w:val="none"/>
                    </w:rPr>
                    <w:t>261.35</w:t>
                  </w:r>
                  <w:r>
                    <w:rPr>
                      <w:rFonts w:hint="default" w:ascii="Times New Roman" w:hAnsi="Times New Roman" w:cs="Times New Roman"/>
                      <w:color w:val="auto"/>
                      <w:spacing w:val="0"/>
                      <w:position w:val="0"/>
                      <w:sz w:val="21"/>
                      <w:szCs w:val="21"/>
                      <w:highlight w:val="none"/>
                    </w:rPr>
                    <w:t>。密度</w:t>
                  </w:r>
                  <w:r>
                    <w:rPr>
                      <w:rFonts w:hint="default" w:ascii="Times New Roman" w:hAnsi="Times New Roman" w:eastAsia="Times New Roman" w:cs="Times New Roman"/>
                      <w:color w:val="auto"/>
                      <w:spacing w:val="0"/>
                      <w:position w:val="0"/>
                      <w:sz w:val="21"/>
                      <w:szCs w:val="21"/>
                      <w:highlight w:val="none"/>
                    </w:rPr>
                    <w:t>3.24g/cm</w:t>
                  </w:r>
                  <w:r>
                    <w:rPr>
                      <w:rFonts w:hint="default" w:ascii="Times New Roman" w:hAnsi="Times New Roman" w:eastAsia="宋体" w:cs="Times New Roman"/>
                      <w:color w:val="auto"/>
                      <w:spacing w:val="0"/>
                      <w:position w:val="0"/>
                      <w:sz w:val="21"/>
                      <w:szCs w:val="21"/>
                      <w:highlight w:val="none"/>
                      <w:vertAlign w:val="superscript"/>
                      <w:lang w:val="en-US" w:eastAsia="zh-CN"/>
                    </w:rPr>
                    <w:t>3</w:t>
                  </w:r>
                  <w:r>
                    <w:rPr>
                      <w:rFonts w:hint="default" w:ascii="Times New Roman" w:hAnsi="Times New Roman" w:cs="Times New Roman"/>
                      <w:color w:val="auto"/>
                      <w:spacing w:val="0"/>
                      <w:position w:val="0"/>
                      <w:sz w:val="21"/>
                      <w:szCs w:val="21"/>
                      <w:highlight w:val="none"/>
                    </w:rPr>
                    <w:t xml:space="preserve">，溶于水，不溶于乙醇。硝酸钡为无色或白色有光泽的立方晶体，微具吸湿性，有强氧化性，助燃，有毒。加热时分解放出氧气，有强氧化性，跟硫、磷、有机物接触、摩擦或撞击能引起燃烧或爆炸。熔点 </w:t>
                  </w:r>
                  <w:r>
                    <w:rPr>
                      <w:rFonts w:hint="default" w:ascii="Times New Roman" w:hAnsi="Times New Roman" w:eastAsia="Times New Roman" w:cs="Times New Roman"/>
                      <w:color w:val="auto"/>
                      <w:spacing w:val="0"/>
                      <w:position w:val="0"/>
                      <w:sz w:val="21"/>
                      <w:szCs w:val="21"/>
                      <w:highlight w:val="none"/>
                    </w:rPr>
                    <w:t>592</w:t>
                  </w:r>
                  <w:r>
                    <w:rPr>
                      <w:rFonts w:hint="default" w:ascii="Times New Roman" w:hAnsi="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lang w:eastAsia="zh-CN"/>
                    </w:rPr>
                    <w:t>，</w:t>
                  </w:r>
                  <w:r>
                    <w:rPr>
                      <w:rFonts w:hint="default" w:ascii="Times New Roman" w:hAnsi="Times New Roman" w:cs="Times New Roman"/>
                      <w:color w:val="auto"/>
                      <w:spacing w:val="0"/>
                      <w:position w:val="0"/>
                      <w:sz w:val="21"/>
                      <w:szCs w:val="21"/>
                      <w:highlight w:val="none"/>
                    </w:rPr>
                    <w:t>温度再高即分解。燃烧时呈现绿色火焰。用作氧化剂、分析试剂。用于制钡盐、信号弹及烟花，还用于制陶瓷等。</w:t>
                  </w:r>
                </w:p>
              </w:tc>
            </w:tr>
            <w:tr w14:paraId="278D7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370" w:type="pct"/>
                  <w:vAlign w:val="center"/>
                </w:tcPr>
                <w:p w14:paraId="6DEAE86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pacing w:val="-8"/>
                      <w:position w:val="2"/>
                      <w:sz w:val="21"/>
                      <w:szCs w:val="21"/>
                      <w:highlight w:val="none"/>
                    </w:rPr>
                    <w:t>10</w:t>
                  </w:r>
                </w:p>
              </w:tc>
              <w:tc>
                <w:tcPr>
                  <w:tcW w:w="371" w:type="pct"/>
                  <w:vAlign w:val="center"/>
                </w:tcPr>
                <w:p w14:paraId="0286317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highlight w:val="none"/>
                    </w:rPr>
                  </w:pPr>
                  <w:r>
                    <w:rPr>
                      <w:color w:val="auto"/>
                      <w:spacing w:val="4"/>
                      <w:sz w:val="21"/>
                      <w:szCs w:val="21"/>
                      <w:highlight w:val="none"/>
                    </w:rPr>
                    <w:t>钛粉</w:t>
                  </w:r>
                </w:p>
              </w:tc>
              <w:tc>
                <w:tcPr>
                  <w:tcW w:w="4257" w:type="pct"/>
                  <w:vAlign w:val="top"/>
                </w:tcPr>
                <w:p w14:paraId="4FADDCF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color w:val="auto"/>
                      <w:spacing w:val="0"/>
                      <w:position w:val="0"/>
                      <w:sz w:val="21"/>
                      <w:szCs w:val="21"/>
                      <w:highlight w:val="none"/>
                      <w:lang w:eastAsia="zh-CN"/>
                    </w:rPr>
                  </w:pPr>
                  <w:r>
                    <w:rPr>
                      <w:rFonts w:hint="default" w:ascii="Times New Roman" w:hAnsi="Times New Roman" w:cs="Times New Roman"/>
                      <w:color w:val="auto"/>
                      <w:spacing w:val="0"/>
                      <w:position w:val="0"/>
                      <w:sz w:val="21"/>
                      <w:szCs w:val="21"/>
                      <w:highlight w:val="none"/>
                    </w:rPr>
                    <w:t>钛粉的熔点为</w:t>
                  </w:r>
                  <w:r>
                    <w:rPr>
                      <w:rFonts w:hint="default" w:ascii="Times New Roman" w:hAnsi="Times New Roman" w:eastAsia="Times New Roman" w:cs="Times New Roman"/>
                      <w:color w:val="auto"/>
                      <w:spacing w:val="0"/>
                      <w:position w:val="0"/>
                      <w:sz w:val="21"/>
                      <w:szCs w:val="21"/>
                      <w:highlight w:val="none"/>
                    </w:rPr>
                    <w:t>1720</w:t>
                  </w:r>
                  <w:r>
                    <w:rPr>
                      <w:rFonts w:hint="default" w:ascii="Times New Roman" w:hAnsi="Times New Roman" w:cs="Times New Roman"/>
                      <w:color w:val="auto"/>
                      <w:spacing w:val="0"/>
                      <w:position w:val="0"/>
                      <w:sz w:val="21"/>
                      <w:szCs w:val="21"/>
                      <w:highlight w:val="none"/>
                    </w:rPr>
                    <w:t>℃</w:t>
                  </w:r>
                  <w:r>
                    <w:rPr>
                      <w:rFonts w:hint="default" w:ascii="Times New Roman" w:hAnsi="Times New Roman" w:cs="Times New Roman"/>
                      <w:color w:val="auto"/>
                      <w:spacing w:val="0"/>
                      <w:position w:val="0"/>
                      <w:sz w:val="21"/>
                      <w:szCs w:val="21"/>
                      <w:highlight w:val="none"/>
                      <w:lang w:eastAsia="zh-CN"/>
                    </w:rPr>
                    <w:t>，</w:t>
                  </w:r>
                  <w:r>
                    <w:rPr>
                      <w:rFonts w:hint="default" w:ascii="Times New Roman" w:hAnsi="Times New Roman" w:cs="Times New Roman"/>
                      <w:color w:val="auto"/>
                      <w:spacing w:val="0"/>
                      <w:position w:val="0"/>
                      <w:sz w:val="21"/>
                      <w:szCs w:val="21"/>
                      <w:highlight w:val="none"/>
                    </w:rPr>
                    <w:t>沸点为</w:t>
                  </w:r>
                  <w:r>
                    <w:rPr>
                      <w:rFonts w:hint="default" w:ascii="Times New Roman" w:hAnsi="Times New Roman" w:eastAsia="Times New Roman" w:cs="Times New Roman"/>
                      <w:color w:val="auto"/>
                      <w:spacing w:val="0"/>
                      <w:position w:val="0"/>
                      <w:sz w:val="21"/>
                      <w:szCs w:val="21"/>
                      <w:highlight w:val="none"/>
                    </w:rPr>
                    <w:t>3530</w:t>
                  </w:r>
                  <w:r>
                    <w:rPr>
                      <w:rFonts w:hint="default" w:ascii="Times New Roman" w:hAnsi="Times New Roman" w:cs="Times New Roman"/>
                      <w:color w:val="auto"/>
                      <w:spacing w:val="0"/>
                      <w:position w:val="0"/>
                      <w:sz w:val="21"/>
                      <w:szCs w:val="21"/>
                      <w:highlight w:val="none"/>
                    </w:rPr>
                    <w:t>℃。相对密度</w:t>
                  </w:r>
                  <w:r>
                    <w:rPr>
                      <w:rFonts w:hint="default" w:ascii="Times New Roman" w:hAnsi="Times New Roman" w:eastAsia="Times New Roman" w:cs="Times New Roman"/>
                      <w:color w:val="auto"/>
                      <w:spacing w:val="0"/>
                      <w:position w:val="0"/>
                      <w:sz w:val="21"/>
                      <w:szCs w:val="21"/>
                      <w:highlight w:val="none"/>
                    </w:rPr>
                    <w:t>4.5</w:t>
                  </w:r>
                  <w:r>
                    <w:rPr>
                      <w:rFonts w:hint="default" w:ascii="Times New Roman" w:hAnsi="Times New Roman" w:cs="Times New Roman"/>
                      <w:color w:val="auto"/>
                      <w:spacing w:val="0"/>
                      <w:position w:val="0"/>
                      <w:sz w:val="21"/>
                      <w:szCs w:val="21"/>
                      <w:highlight w:val="none"/>
                    </w:rPr>
                    <w:t>，深灰色或黑色发亮无定形粉末；易燃，具有爆炸性，遇热、明火、发生化学反应后会发生燃烧爆炸，吸入后对上呼吸道有刺激性</w:t>
                  </w:r>
                  <w:r>
                    <w:rPr>
                      <w:rFonts w:hint="default" w:ascii="Times New Roman" w:hAnsi="Times New Roman" w:cs="Times New Roman"/>
                      <w:color w:val="auto"/>
                      <w:spacing w:val="0"/>
                      <w:position w:val="0"/>
                      <w:sz w:val="21"/>
                      <w:szCs w:val="21"/>
                      <w:highlight w:val="none"/>
                      <w:lang w:eastAsia="zh-CN"/>
                    </w:rPr>
                    <w:t>。</w:t>
                  </w:r>
                </w:p>
              </w:tc>
            </w:tr>
          </w:tbl>
          <w:p w14:paraId="27F75B55">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7、</w:t>
            </w:r>
            <w:r>
              <w:rPr>
                <w:rFonts w:hint="eastAsia"/>
                <w:b/>
                <w:bCs/>
                <w:color w:val="auto"/>
                <w:sz w:val="24"/>
                <w:szCs w:val="24"/>
                <w:highlight w:val="none"/>
              </w:rPr>
              <w:t>储存要求</w:t>
            </w:r>
          </w:p>
          <w:p w14:paraId="7F85A54D">
            <w:pPr>
              <w:spacing w:line="360" w:lineRule="auto"/>
              <w:ind w:firstLine="480" w:firstLineChars="200"/>
              <w:rPr>
                <w:color w:val="auto"/>
                <w:sz w:val="24"/>
                <w:szCs w:val="24"/>
                <w:highlight w:val="none"/>
              </w:rPr>
            </w:pPr>
            <w:r>
              <w:rPr>
                <w:rFonts w:hint="eastAsia"/>
                <w:color w:val="auto"/>
                <w:sz w:val="24"/>
                <w:szCs w:val="24"/>
                <w:highlight w:val="none"/>
              </w:rPr>
              <w:t>①控制好温度和湿度。烟花爆竹的库房温度最好保持在20℃左右，至少应使温度控制在15~35℃之 间。因为温度每升高10℃，烟火药的化学反应速度会增加3~4倍；同时温度太低，由于热胀冷缩的关系，花炮的药物可产生脱壳现象。库房要根据温、湿度情况，加强通风。一般库房温度在35℃以下，相对湿度在75%以下时，可以打开门窗通风。但在雨、雪天和外部温度及相对湿度大于库内时，不宜通风。</w:t>
            </w:r>
          </w:p>
          <w:p w14:paraId="2E3BFB1B">
            <w:pPr>
              <w:spacing w:line="360" w:lineRule="auto"/>
              <w:ind w:firstLine="480" w:firstLineChars="200"/>
              <w:rPr>
                <w:color w:val="auto"/>
                <w:sz w:val="24"/>
                <w:szCs w:val="24"/>
                <w:highlight w:val="none"/>
              </w:rPr>
            </w:pPr>
            <w:r>
              <w:rPr>
                <w:rFonts w:hint="eastAsia"/>
                <w:color w:val="auto"/>
                <w:sz w:val="24"/>
                <w:szCs w:val="24"/>
                <w:highlight w:val="none"/>
              </w:rPr>
              <w:t>②正确处理好物品的收发和晾晒。库房的收发工作应在白天进行，晚上不得收进和发出。由于末干透的烟火药和彩珠，以及刚晒干(或烘干)的彩珠在术摊开散热以前，都有自燃及白爆的危险，因此，均不得放入库内储存。对用过的余药和已受潮的烟火药、彩珠，同样亦不得放入库内。如果库存时受潮，应立即搬出库房，重新干燥后再摊晾入库。</w:t>
            </w:r>
          </w:p>
          <w:p w14:paraId="3CDA094A">
            <w:pPr>
              <w:spacing w:line="360" w:lineRule="auto"/>
              <w:ind w:firstLine="480" w:firstLineChars="200"/>
              <w:rPr>
                <w:color w:val="auto"/>
                <w:sz w:val="24"/>
                <w:szCs w:val="24"/>
                <w:highlight w:val="none"/>
              </w:rPr>
            </w:pPr>
            <w:r>
              <w:rPr>
                <w:rFonts w:hint="eastAsia"/>
                <w:color w:val="auto"/>
                <w:sz w:val="24"/>
                <w:szCs w:val="24"/>
                <w:highlight w:val="none"/>
              </w:rPr>
              <w:t>③防止虫蛀鼠咬和各种火源。烟花爆竹在库存过程中，库房内若有老鼠应及时扑杀灭净。因为老鼠喜欢啃咬花炮和粉珠，特别是有浆糊的烟火药和花炮，会引起着火和爆炸。同时，仓库应严禁烟火，不得穿带钉子的鞋入库，严禁在库房内拆包、封装、修理等，并不得使用可产生火花的工具。</w:t>
            </w:r>
          </w:p>
          <w:p w14:paraId="5D501BF8">
            <w:pPr>
              <w:spacing w:line="360" w:lineRule="auto"/>
              <w:ind w:firstLine="480" w:firstLineChars="200"/>
              <w:rPr>
                <w:color w:val="auto"/>
              </w:rPr>
            </w:pPr>
            <w:r>
              <w:rPr>
                <w:rFonts w:hint="eastAsia"/>
                <w:color w:val="auto"/>
                <w:sz w:val="24"/>
                <w:szCs w:val="24"/>
                <w:highlight w:val="none"/>
              </w:rPr>
              <w:t>④不要储存过期的烟花爆竹。在正常情况下，烟花爆竹的保管期限为2年，过期应及时销毁。</w:t>
            </w:r>
          </w:p>
          <w:p w14:paraId="3980A115">
            <w:pPr>
              <w:spacing w:line="360" w:lineRule="auto"/>
              <w:ind w:firstLine="482" w:firstLineChars="200"/>
              <w:rPr>
                <w:rFonts w:hint="eastAsia" w:eastAsia="宋体"/>
                <w:b/>
                <w:bCs/>
                <w:color w:val="auto"/>
                <w:sz w:val="24"/>
                <w:szCs w:val="24"/>
                <w:highlight w:val="none"/>
                <w:lang w:val="en-US" w:eastAsia="zh-CN"/>
              </w:rPr>
            </w:pPr>
            <w:r>
              <w:rPr>
                <w:rFonts w:hint="eastAsia" w:eastAsia="宋体"/>
                <w:b/>
                <w:bCs/>
                <w:color w:val="auto"/>
                <w:sz w:val="24"/>
                <w:szCs w:val="24"/>
                <w:highlight w:val="none"/>
                <w:lang w:val="en-US" w:eastAsia="zh-CN"/>
              </w:rPr>
              <w:t>8、总平面布置</w:t>
            </w:r>
          </w:p>
          <w:p w14:paraId="0BB5C162">
            <w:pPr>
              <w:spacing w:line="360" w:lineRule="auto"/>
              <w:ind w:firstLine="480" w:firstLineChars="200"/>
              <w:rPr>
                <w:rFonts w:hint="default" w:eastAsia="宋体"/>
                <w:color w:val="auto"/>
                <w:sz w:val="24"/>
                <w:szCs w:val="24"/>
                <w:highlight w:val="none"/>
                <w:lang w:val="en-US" w:eastAsia="zh-CN"/>
              </w:rPr>
            </w:pPr>
            <w:r>
              <w:rPr>
                <w:rFonts w:hint="eastAsia" w:ascii="宋体" w:hAnsi="宋体" w:eastAsia="宋体" w:cs="宋体"/>
                <w:b w:val="0"/>
                <w:bCs w:val="0"/>
                <w:color w:val="auto"/>
                <w:sz w:val="24"/>
                <w:szCs w:val="24"/>
                <w:lang w:val="en-US" w:eastAsia="zh-CN"/>
              </w:rPr>
              <w:t>地块一烟花爆竹仓库位于整个项目最北侧，在现有烟花爆竹仓库旁，地块为位于项目区中部，位于现有生活区南侧，地块三位于项目区最南侧，距地块一530m，地块二300m，各烟花爆竹仓库</w:t>
            </w:r>
            <w:r>
              <w:rPr>
                <w:rFonts w:hint="eastAsia"/>
                <w:color w:val="auto"/>
                <w:sz w:val="24"/>
                <w:szCs w:val="24"/>
                <w:highlight w:val="none"/>
                <w:lang w:val="en-US" w:eastAsia="zh-CN"/>
              </w:rPr>
              <w:t>按</w:t>
            </w:r>
            <w:r>
              <w:rPr>
                <w:rFonts w:hint="eastAsia" w:ascii="宋体" w:hAnsi="宋体" w:eastAsia="宋体" w:cs="宋体"/>
                <w:b w:val="0"/>
                <w:bCs w:val="0"/>
                <w:color w:val="auto"/>
                <w:sz w:val="24"/>
                <w:szCs w:val="24"/>
              </w:rPr>
              <w:t>《烟花爆竹工程设计安全标准》（</w:t>
            </w:r>
            <w:r>
              <w:rPr>
                <w:rFonts w:hint="default" w:ascii="Times New Roman PS MT" w:hAnsi="Times New Roman PS MT" w:eastAsia="Times New Roman PS MT" w:cs="Times New Roman PS MT"/>
                <w:b w:val="0"/>
                <w:bCs w:val="0"/>
                <w:color w:val="auto"/>
                <w:sz w:val="24"/>
                <w:szCs w:val="24"/>
              </w:rPr>
              <w:t>GB50161-2022</w:t>
            </w:r>
            <w:r>
              <w:rPr>
                <w:rFonts w:hint="eastAsia" w:ascii="宋体" w:hAnsi="宋体" w:eastAsia="宋体" w:cs="宋体"/>
                <w:b w:val="0"/>
                <w:bCs w:val="0"/>
                <w:color w:val="auto"/>
                <w:sz w:val="24"/>
                <w:szCs w:val="24"/>
              </w:rPr>
              <w:t>）及其他有关标准布置</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内部间距</w:t>
            </w:r>
            <w:r>
              <w:rPr>
                <w:rFonts w:hint="eastAsia" w:ascii="宋体" w:hAnsi="宋体" w:eastAsia="宋体" w:cs="宋体"/>
                <w:b w:val="0"/>
                <w:bCs w:val="0"/>
                <w:color w:val="auto"/>
                <w:sz w:val="24"/>
                <w:szCs w:val="24"/>
                <w:lang w:val="en-US" w:eastAsia="zh-CN"/>
              </w:rPr>
              <w:t>和外部距离</w:t>
            </w:r>
            <w:r>
              <w:rPr>
                <w:rFonts w:hint="eastAsia" w:ascii="宋体" w:hAnsi="宋体" w:eastAsia="宋体" w:cs="宋体"/>
                <w:b w:val="0"/>
                <w:bCs w:val="0"/>
                <w:color w:val="auto"/>
                <w:sz w:val="24"/>
                <w:szCs w:val="24"/>
              </w:rPr>
              <w:t>符合安全要求。</w:t>
            </w:r>
            <w:r>
              <w:rPr>
                <w:rFonts w:hint="eastAsia" w:eastAsia="宋体"/>
                <w:color w:val="auto"/>
                <w:sz w:val="24"/>
                <w:szCs w:val="24"/>
                <w:highlight w:val="none"/>
                <w:lang w:val="en-US" w:eastAsia="zh-CN"/>
              </w:rPr>
              <w:t>项目从整体布局上</w:t>
            </w:r>
            <w:r>
              <w:rPr>
                <w:rFonts w:hint="eastAsia" w:eastAsia="宋体"/>
                <w:color w:val="auto"/>
                <w:sz w:val="24"/>
                <w:szCs w:val="24"/>
                <w:highlight w:val="none"/>
              </w:rPr>
              <w:t>避免人流、货流交叉，方便管理，确保安全。每个</w:t>
            </w:r>
            <w:r>
              <w:rPr>
                <w:rFonts w:hint="eastAsia" w:eastAsia="宋体"/>
                <w:color w:val="auto"/>
                <w:sz w:val="24"/>
                <w:szCs w:val="24"/>
                <w:highlight w:val="none"/>
                <w:lang w:val="en-US" w:eastAsia="zh-CN"/>
              </w:rPr>
              <w:t>烟花爆竹</w:t>
            </w:r>
            <w:r>
              <w:rPr>
                <w:rFonts w:hint="eastAsia" w:eastAsia="宋体"/>
                <w:color w:val="auto"/>
                <w:sz w:val="24"/>
                <w:szCs w:val="24"/>
                <w:highlight w:val="none"/>
              </w:rPr>
              <w:t>库房安置</w:t>
            </w:r>
            <w:r>
              <w:rPr>
                <w:rFonts w:hint="default" w:eastAsia="宋体"/>
                <w:color w:val="auto"/>
                <w:sz w:val="24"/>
                <w:szCs w:val="24"/>
                <w:highlight w:val="none"/>
              </w:rPr>
              <w:t>1</w:t>
            </w:r>
            <w:r>
              <w:rPr>
                <w:rFonts w:hint="eastAsia" w:eastAsia="宋体"/>
                <w:color w:val="auto"/>
                <w:sz w:val="24"/>
                <w:szCs w:val="24"/>
                <w:highlight w:val="none"/>
              </w:rPr>
              <w:t>个安全出口。项目布置能满足生产工艺、安全和消防、卫生采光等要求，适当划分区域，各区既有明确分区，又保持一定联系，将废气、废水、噪音等污染源影响限制在局部，并在局部合理解决。各个环节紧密连接，互不影响。</w:t>
            </w:r>
          </w:p>
          <w:p w14:paraId="08B5AF80">
            <w:p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9、项目占地</w:t>
            </w:r>
          </w:p>
          <w:p w14:paraId="2E9B72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default" w:ascii="Times New Roman" w:hAnsi="Times New Roman" w:cs="Times New Roman"/>
                <w:snapToGrid w:val="0"/>
                <w:color w:val="auto"/>
                <w:sz w:val="24"/>
                <w:szCs w:val="20"/>
                <w:highlight w:val="none"/>
              </w:rPr>
              <w:t>按《土地利用现状分类》（GB/T 21010-2017），</w:t>
            </w:r>
            <w:r>
              <w:rPr>
                <w:rFonts w:hint="eastAsia"/>
                <w:color w:val="auto"/>
                <w:sz w:val="24"/>
                <w:szCs w:val="24"/>
                <w:lang w:val="en-US" w:eastAsia="zh-CN"/>
              </w:rPr>
              <w:t>本项目占地类型为草地和林地，总占地面积为24465m</w:t>
            </w:r>
            <w:r>
              <w:rPr>
                <w:rFonts w:hint="eastAsia"/>
                <w:color w:val="auto"/>
                <w:sz w:val="24"/>
                <w:szCs w:val="24"/>
                <w:vertAlign w:val="superscript"/>
                <w:lang w:val="en-US" w:eastAsia="zh-CN"/>
              </w:rPr>
              <w:t>2</w:t>
            </w:r>
            <w:r>
              <w:rPr>
                <w:rFonts w:hint="eastAsia"/>
                <w:color w:val="auto"/>
                <w:sz w:val="24"/>
                <w:szCs w:val="24"/>
                <w:lang w:val="en-US" w:eastAsia="zh-CN"/>
              </w:rPr>
              <w:t>，为观关社区集体土地，其中草地2790m</w:t>
            </w:r>
            <w:r>
              <w:rPr>
                <w:rFonts w:hint="eastAsia"/>
                <w:color w:val="auto"/>
                <w:sz w:val="24"/>
                <w:szCs w:val="24"/>
                <w:vertAlign w:val="superscript"/>
                <w:lang w:val="en-US" w:eastAsia="zh-CN"/>
              </w:rPr>
              <w:t>2</w:t>
            </w:r>
            <w:r>
              <w:rPr>
                <w:rFonts w:hint="eastAsia"/>
                <w:color w:val="auto"/>
                <w:sz w:val="24"/>
                <w:szCs w:val="24"/>
                <w:vertAlign w:val="baseline"/>
                <w:lang w:val="en-US" w:eastAsia="zh-CN"/>
              </w:rPr>
              <w:t>（附件5）</w:t>
            </w:r>
            <w:r>
              <w:rPr>
                <w:rFonts w:hint="eastAsia"/>
                <w:color w:val="auto"/>
                <w:sz w:val="24"/>
                <w:szCs w:val="24"/>
                <w:lang w:val="en-US" w:eastAsia="zh-CN"/>
              </w:rPr>
              <w:t>，根据现场调查，项目区草地不属于天然牧草地、沼泽草地、人工牧草地，为其他草地，林地为21675m</w:t>
            </w:r>
            <w:r>
              <w:rPr>
                <w:rFonts w:hint="eastAsia"/>
                <w:color w:val="auto"/>
                <w:sz w:val="24"/>
                <w:szCs w:val="24"/>
                <w:vertAlign w:val="superscript"/>
                <w:lang w:val="en-US" w:eastAsia="zh-CN"/>
              </w:rPr>
              <w:t>2</w:t>
            </w:r>
            <w:r>
              <w:rPr>
                <w:rFonts w:hint="eastAsia"/>
                <w:color w:val="auto"/>
                <w:sz w:val="24"/>
                <w:szCs w:val="24"/>
                <w:vertAlign w:val="baseline"/>
                <w:lang w:val="en-US" w:eastAsia="zh-CN"/>
              </w:rPr>
              <w:t>（附件7）</w:t>
            </w:r>
            <w:r>
              <w:rPr>
                <w:rFonts w:hint="eastAsia"/>
                <w:color w:val="auto"/>
                <w:sz w:val="24"/>
                <w:szCs w:val="24"/>
                <w:lang w:val="en-US" w:eastAsia="zh-CN"/>
              </w:rPr>
              <w:t>，其中商用用材林地16657m</w:t>
            </w:r>
            <w:r>
              <w:rPr>
                <w:rFonts w:hint="eastAsia"/>
                <w:color w:val="auto"/>
                <w:sz w:val="24"/>
                <w:szCs w:val="24"/>
                <w:vertAlign w:val="superscript"/>
                <w:lang w:val="en-US" w:eastAsia="zh-CN"/>
              </w:rPr>
              <w:t>2</w:t>
            </w:r>
            <w:r>
              <w:rPr>
                <w:rFonts w:hint="eastAsia"/>
                <w:color w:val="auto"/>
                <w:sz w:val="24"/>
                <w:szCs w:val="24"/>
                <w:vertAlign w:val="baseline"/>
                <w:lang w:val="en-US" w:eastAsia="zh-CN"/>
              </w:rPr>
              <w:t>，灌木林地5018</w:t>
            </w:r>
            <w:r>
              <w:rPr>
                <w:rFonts w:hint="eastAsia"/>
                <w:color w:val="auto"/>
                <w:sz w:val="24"/>
                <w:szCs w:val="24"/>
                <w:lang w:val="en-US" w:eastAsia="zh-CN"/>
              </w:rPr>
              <w:t>m</w:t>
            </w:r>
            <w:r>
              <w:rPr>
                <w:rFonts w:hint="eastAsia"/>
                <w:color w:val="auto"/>
                <w:sz w:val="24"/>
                <w:szCs w:val="24"/>
                <w:vertAlign w:val="superscript"/>
                <w:lang w:val="en-US" w:eastAsia="zh-CN"/>
              </w:rPr>
              <w:t>2</w:t>
            </w:r>
            <w:r>
              <w:rPr>
                <w:rFonts w:hint="eastAsia"/>
                <w:color w:val="auto"/>
                <w:sz w:val="24"/>
                <w:szCs w:val="24"/>
                <w:vertAlign w:val="baseline"/>
                <w:lang w:val="en-US" w:eastAsia="zh-CN"/>
              </w:rPr>
              <w:t>，</w:t>
            </w:r>
            <w:r>
              <w:rPr>
                <w:rFonts w:hint="eastAsia"/>
                <w:color w:val="auto"/>
                <w:sz w:val="24"/>
                <w:szCs w:val="24"/>
                <w:lang w:val="en-US" w:eastAsia="zh-CN"/>
              </w:rPr>
              <w:t>项目占地类型详见下表。</w:t>
            </w:r>
          </w:p>
          <w:p w14:paraId="148D3CC1">
            <w:pPr>
              <w:snapToGrid w:val="0"/>
              <w:spacing w:line="240" w:lineRule="auto"/>
              <w:ind w:firstLine="482" w:firstLineChars="200"/>
              <w:jc w:val="center"/>
              <w:rPr>
                <w:b/>
                <w:iCs/>
                <w:snapToGrid w:val="0"/>
                <w:color w:val="auto"/>
                <w:sz w:val="24"/>
                <w:szCs w:val="20"/>
              </w:rPr>
            </w:pPr>
            <w:r>
              <w:rPr>
                <w:b/>
                <w:iCs/>
                <w:snapToGrid w:val="0"/>
                <w:color w:val="auto"/>
                <w:sz w:val="24"/>
                <w:szCs w:val="20"/>
              </w:rPr>
              <w:t>表</w:t>
            </w:r>
            <w:r>
              <w:rPr>
                <w:rFonts w:hint="eastAsia"/>
                <w:b/>
                <w:iCs/>
                <w:snapToGrid w:val="0"/>
                <w:color w:val="auto"/>
                <w:sz w:val="24"/>
                <w:szCs w:val="20"/>
                <w:lang w:val="en-US" w:eastAsia="zh-CN"/>
              </w:rPr>
              <w:t>2</w:t>
            </w:r>
            <w:r>
              <w:rPr>
                <w:b/>
                <w:iCs/>
                <w:snapToGrid w:val="0"/>
                <w:color w:val="auto"/>
                <w:sz w:val="24"/>
                <w:szCs w:val="20"/>
              </w:rPr>
              <w:t>-</w:t>
            </w:r>
            <w:r>
              <w:rPr>
                <w:rFonts w:hint="eastAsia"/>
                <w:b/>
                <w:iCs/>
                <w:snapToGrid w:val="0"/>
                <w:color w:val="auto"/>
                <w:sz w:val="24"/>
                <w:szCs w:val="20"/>
                <w:lang w:val="en-US" w:eastAsia="zh-CN"/>
              </w:rPr>
              <w:t>7</w:t>
            </w:r>
            <w:r>
              <w:rPr>
                <w:rFonts w:hint="eastAsia"/>
                <w:b/>
                <w:iCs/>
                <w:snapToGrid w:val="0"/>
                <w:color w:val="auto"/>
                <w:sz w:val="24"/>
                <w:szCs w:val="20"/>
              </w:rPr>
              <w:t xml:space="preserve">  </w:t>
            </w:r>
            <w:r>
              <w:rPr>
                <w:b/>
                <w:iCs/>
                <w:snapToGrid w:val="0"/>
                <w:color w:val="auto"/>
                <w:sz w:val="24"/>
                <w:szCs w:val="20"/>
              </w:rPr>
              <w:t>项目土地利用现状表</w:t>
            </w:r>
          </w:p>
          <w:tbl>
            <w:tblPr>
              <w:tblStyle w:val="6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3"/>
              <w:gridCol w:w="1955"/>
              <w:gridCol w:w="1955"/>
              <w:gridCol w:w="1955"/>
            </w:tblGrid>
            <w:tr w14:paraId="7778F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pct"/>
                  <w:vAlign w:val="center"/>
                </w:tcPr>
                <w:p w14:paraId="32D3DC08">
                  <w:pPr>
                    <w:keepNext w:val="0"/>
                    <w:keepLines w:val="0"/>
                    <w:suppressLineNumbers w:val="0"/>
                    <w:snapToGrid w:val="0"/>
                    <w:spacing w:before="0" w:beforeAutospacing="0" w:after="0" w:afterAutospacing="0" w:line="240" w:lineRule="auto"/>
                    <w:ind w:left="0" w:right="0"/>
                    <w:jc w:val="center"/>
                    <w:rPr>
                      <w:rFonts w:hint="default"/>
                      <w:b/>
                      <w:bCs/>
                      <w:iCs/>
                      <w:snapToGrid w:val="0"/>
                      <w:color w:val="auto"/>
                      <w:szCs w:val="21"/>
                      <w:highlight w:val="none"/>
                    </w:rPr>
                  </w:pPr>
                  <w:r>
                    <w:rPr>
                      <w:rFonts w:hint="default"/>
                      <w:b/>
                      <w:bCs/>
                      <w:iCs/>
                      <w:snapToGrid w:val="0"/>
                      <w:color w:val="auto"/>
                      <w:szCs w:val="21"/>
                      <w:highlight w:val="none"/>
                    </w:rPr>
                    <w:t>一级类型</w:t>
                  </w:r>
                </w:p>
              </w:tc>
              <w:tc>
                <w:tcPr>
                  <w:tcW w:w="1250" w:type="pct"/>
                  <w:vAlign w:val="center"/>
                </w:tcPr>
                <w:p w14:paraId="4357F2BD">
                  <w:pPr>
                    <w:keepNext w:val="0"/>
                    <w:keepLines w:val="0"/>
                    <w:suppressLineNumbers w:val="0"/>
                    <w:snapToGrid w:val="0"/>
                    <w:spacing w:before="0" w:beforeAutospacing="0" w:after="0" w:afterAutospacing="0" w:line="240" w:lineRule="auto"/>
                    <w:ind w:left="0" w:right="0"/>
                    <w:jc w:val="center"/>
                    <w:rPr>
                      <w:rFonts w:hint="default"/>
                      <w:b/>
                      <w:bCs/>
                      <w:iCs/>
                      <w:snapToGrid w:val="0"/>
                      <w:color w:val="auto"/>
                      <w:szCs w:val="21"/>
                      <w:highlight w:val="none"/>
                    </w:rPr>
                  </w:pPr>
                  <w:r>
                    <w:rPr>
                      <w:rFonts w:hint="default"/>
                      <w:b/>
                      <w:bCs/>
                      <w:iCs/>
                      <w:snapToGrid w:val="0"/>
                      <w:color w:val="auto"/>
                      <w:szCs w:val="21"/>
                      <w:highlight w:val="none"/>
                    </w:rPr>
                    <w:t>二级类型</w:t>
                  </w:r>
                </w:p>
              </w:tc>
              <w:tc>
                <w:tcPr>
                  <w:tcW w:w="1250" w:type="pct"/>
                  <w:vAlign w:val="center"/>
                </w:tcPr>
                <w:p w14:paraId="1F33ABBF">
                  <w:pPr>
                    <w:keepNext w:val="0"/>
                    <w:keepLines w:val="0"/>
                    <w:suppressLineNumbers w:val="0"/>
                    <w:snapToGrid w:val="0"/>
                    <w:spacing w:before="0" w:beforeAutospacing="0" w:after="0" w:afterAutospacing="0" w:line="240" w:lineRule="auto"/>
                    <w:ind w:left="0" w:right="0"/>
                    <w:jc w:val="center"/>
                    <w:rPr>
                      <w:rFonts w:hint="default"/>
                      <w:b/>
                      <w:bCs/>
                      <w:iCs/>
                      <w:snapToGrid w:val="0"/>
                      <w:color w:val="auto"/>
                      <w:szCs w:val="21"/>
                      <w:highlight w:val="none"/>
                    </w:rPr>
                  </w:pPr>
                  <w:r>
                    <w:rPr>
                      <w:rFonts w:hint="default"/>
                      <w:b/>
                      <w:bCs/>
                      <w:iCs/>
                      <w:snapToGrid w:val="0"/>
                      <w:color w:val="auto"/>
                      <w:szCs w:val="21"/>
                      <w:highlight w:val="none"/>
                    </w:rPr>
                    <w:t>面积（hm</w:t>
                  </w:r>
                  <w:r>
                    <w:rPr>
                      <w:rFonts w:hint="default"/>
                      <w:b/>
                      <w:bCs/>
                      <w:iCs/>
                      <w:snapToGrid w:val="0"/>
                      <w:color w:val="auto"/>
                      <w:szCs w:val="21"/>
                      <w:highlight w:val="none"/>
                      <w:vertAlign w:val="superscript"/>
                    </w:rPr>
                    <w:t>2</w:t>
                  </w:r>
                  <w:r>
                    <w:rPr>
                      <w:rFonts w:hint="default"/>
                      <w:b/>
                      <w:bCs/>
                      <w:iCs/>
                      <w:snapToGrid w:val="0"/>
                      <w:color w:val="auto"/>
                      <w:szCs w:val="21"/>
                      <w:highlight w:val="none"/>
                    </w:rPr>
                    <w:t>）</w:t>
                  </w:r>
                </w:p>
              </w:tc>
              <w:tc>
                <w:tcPr>
                  <w:tcW w:w="1250" w:type="pct"/>
                  <w:vAlign w:val="center"/>
                </w:tcPr>
                <w:p w14:paraId="1D0EEC84">
                  <w:pPr>
                    <w:keepNext w:val="0"/>
                    <w:keepLines w:val="0"/>
                    <w:suppressLineNumbers w:val="0"/>
                    <w:snapToGrid w:val="0"/>
                    <w:spacing w:before="0" w:beforeAutospacing="0" w:after="0" w:afterAutospacing="0" w:line="240" w:lineRule="auto"/>
                    <w:ind w:left="0" w:right="0"/>
                    <w:jc w:val="center"/>
                    <w:rPr>
                      <w:rFonts w:hint="default"/>
                      <w:b/>
                      <w:bCs/>
                      <w:iCs/>
                      <w:snapToGrid w:val="0"/>
                      <w:color w:val="auto"/>
                      <w:szCs w:val="21"/>
                      <w:highlight w:val="yellow"/>
                    </w:rPr>
                  </w:pPr>
                  <w:r>
                    <w:rPr>
                      <w:rFonts w:hint="default"/>
                      <w:b/>
                      <w:bCs/>
                      <w:iCs/>
                      <w:snapToGrid w:val="0"/>
                      <w:color w:val="auto"/>
                      <w:szCs w:val="21"/>
                      <w:highlight w:val="none"/>
                    </w:rPr>
                    <w:t>比例（%）</w:t>
                  </w:r>
                </w:p>
              </w:tc>
            </w:tr>
            <w:tr w14:paraId="123ED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pct"/>
                  <w:vMerge w:val="restart"/>
                  <w:vAlign w:val="center"/>
                </w:tcPr>
                <w:p w14:paraId="0F7661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iCs/>
                      <w:snapToGrid w:val="0"/>
                      <w:color w:val="auto"/>
                      <w:szCs w:val="21"/>
                      <w:highlight w:val="none"/>
                    </w:rPr>
                  </w:pPr>
                  <w:r>
                    <w:rPr>
                      <w:rFonts w:hint="default" w:ascii="Times New Roman" w:hAnsi="Times New Roman" w:cs="Times New Roman"/>
                      <w:iCs/>
                      <w:snapToGrid w:val="0"/>
                      <w:color w:val="auto"/>
                      <w:szCs w:val="21"/>
                      <w:highlight w:val="none"/>
                    </w:rPr>
                    <w:t>03林地</w:t>
                  </w:r>
                </w:p>
              </w:tc>
              <w:tc>
                <w:tcPr>
                  <w:tcW w:w="1250" w:type="pct"/>
                  <w:vAlign w:val="center"/>
                </w:tcPr>
                <w:p w14:paraId="107D3B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iCs/>
                      <w:snapToGrid w:val="0"/>
                      <w:color w:val="auto"/>
                      <w:szCs w:val="21"/>
                      <w:highlight w:val="none"/>
                    </w:rPr>
                  </w:pPr>
                  <w:r>
                    <w:rPr>
                      <w:rFonts w:hint="default" w:ascii="Times New Roman" w:hAnsi="Times New Roman" w:cs="Times New Roman"/>
                      <w:iCs/>
                      <w:snapToGrid w:val="0"/>
                      <w:color w:val="auto"/>
                      <w:szCs w:val="21"/>
                      <w:highlight w:val="none"/>
                    </w:rPr>
                    <w:t>0301乔木林地</w:t>
                  </w:r>
                </w:p>
              </w:tc>
              <w:tc>
                <w:tcPr>
                  <w:tcW w:w="1250" w:type="pct"/>
                  <w:vAlign w:val="center"/>
                </w:tcPr>
                <w:p w14:paraId="6C8DA4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iCs/>
                      <w:snapToGrid w:val="0"/>
                      <w:color w:val="auto"/>
                      <w:szCs w:val="21"/>
                      <w:highlight w:val="none"/>
                      <w:lang w:val="en-US" w:eastAsia="zh-CN"/>
                    </w:rPr>
                  </w:pPr>
                  <w:r>
                    <w:rPr>
                      <w:rFonts w:hint="default" w:ascii="Times New Roman" w:hAnsi="Times New Roman" w:cs="Times New Roman"/>
                      <w:iCs/>
                      <w:snapToGrid w:val="0"/>
                      <w:color w:val="auto"/>
                      <w:szCs w:val="21"/>
                      <w:highlight w:val="none"/>
                      <w:lang w:val="en-US" w:eastAsia="zh-CN"/>
                    </w:rPr>
                    <w:t>1.6657</w:t>
                  </w:r>
                </w:p>
              </w:tc>
              <w:tc>
                <w:tcPr>
                  <w:tcW w:w="1250" w:type="pct"/>
                  <w:vAlign w:val="center"/>
                </w:tcPr>
                <w:p w14:paraId="4509C7E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Cs/>
                      <w:snapToGrid w:val="0"/>
                      <w:color w:val="auto"/>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68.08%</w:t>
                  </w:r>
                </w:p>
              </w:tc>
            </w:tr>
            <w:tr w14:paraId="570E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pct"/>
                  <w:vMerge w:val="continue"/>
                  <w:vAlign w:val="center"/>
                </w:tcPr>
                <w:p w14:paraId="2C96D2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iCs/>
                      <w:snapToGrid w:val="0"/>
                      <w:color w:val="auto"/>
                      <w:szCs w:val="21"/>
                      <w:highlight w:val="none"/>
                    </w:rPr>
                  </w:pPr>
                </w:p>
              </w:tc>
              <w:tc>
                <w:tcPr>
                  <w:tcW w:w="1250" w:type="pct"/>
                  <w:vAlign w:val="center"/>
                </w:tcPr>
                <w:p w14:paraId="4DC390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iCs/>
                      <w:snapToGrid w:val="0"/>
                      <w:color w:val="auto"/>
                      <w:szCs w:val="21"/>
                      <w:highlight w:val="none"/>
                    </w:rPr>
                  </w:pPr>
                  <w:r>
                    <w:rPr>
                      <w:rFonts w:hint="default" w:ascii="Times New Roman" w:hAnsi="Times New Roman" w:cs="Times New Roman"/>
                      <w:iCs/>
                      <w:snapToGrid w:val="0"/>
                      <w:color w:val="auto"/>
                      <w:szCs w:val="21"/>
                      <w:highlight w:val="none"/>
                    </w:rPr>
                    <w:t>030</w:t>
                  </w:r>
                  <w:r>
                    <w:rPr>
                      <w:rFonts w:hint="default" w:ascii="Times New Roman" w:hAnsi="Times New Roman" w:cs="Times New Roman"/>
                      <w:iCs/>
                      <w:snapToGrid w:val="0"/>
                      <w:color w:val="auto"/>
                      <w:szCs w:val="21"/>
                      <w:highlight w:val="none"/>
                      <w:lang w:val="en-US" w:eastAsia="zh-CN"/>
                    </w:rPr>
                    <w:t>3灌木</w:t>
                  </w:r>
                  <w:r>
                    <w:rPr>
                      <w:rFonts w:hint="default" w:ascii="Times New Roman" w:hAnsi="Times New Roman" w:cs="Times New Roman"/>
                      <w:iCs/>
                      <w:snapToGrid w:val="0"/>
                      <w:color w:val="auto"/>
                      <w:szCs w:val="21"/>
                      <w:highlight w:val="none"/>
                    </w:rPr>
                    <w:t>林地</w:t>
                  </w:r>
                </w:p>
              </w:tc>
              <w:tc>
                <w:tcPr>
                  <w:tcW w:w="1250" w:type="pct"/>
                  <w:vAlign w:val="center"/>
                </w:tcPr>
                <w:p w14:paraId="363970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iCs/>
                      <w:snapToGrid w:val="0"/>
                      <w:color w:val="auto"/>
                      <w:szCs w:val="21"/>
                      <w:highlight w:val="none"/>
                      <w:lang w:val="en-US" w:eastAsia="zh-CN"/>
                    </w:rPr>
                  </w:pPr>
                  <w:r>
                    <w:rPr>
                      <w:rFonts w:hint="default" w:ascii="Times New Roman" w:hAnsi="Times New Roman" w:cs="Times New Roman"/>
                      <w:iCs/>
                      <w:snapToGrid w:val="0"/>
                      <w:color w:val="auto"/>
                      <w:szCs w:val="21"/>
                      <w:highlight w:val="none"/>
                      <w:lang w:val="en-US" w:eastAsia="zh-CN"/>
                    </w:rPr>
                    <w:t>0.5018</w:t>
                  </w:r>
                </w:p>
              </w:tc>
              <w:tc>
                <w:tcPr>
                  <w:tcW w:w="1250" w:type="pct"/>
                  <w:vAlign w:val="center"/>
                </w:tcPr>
                <w:p w14:paraId="018C685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Cs/>
                      <w:snapToGrid w:val="0"/>
                      <w:color w:val="auto"/>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20.6%</w:t>
                  </w:r>
                </w:p>
              </w:tc>
            </w:tr>
            <w:tr w14:paraId="048A2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pct"/>
                  <w:vAlign w:val="center"/>
                </w:tcPr>
                <w:p w14:paraId="0D3CF9E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iCs/>
                      <w:snapToGrid w:val="0"/>
                      <w:color w:val="auto"/>
                      <w:szCs w:val="21"/>
                      <w:highlight w:val="none"/>
                      <w:lang w:eastAsia="zh-CN"/>
                    </w:rPr>
                  </w:pPr>
                  <w:r>
                    <w:rPr>
                      <w:rFonts w:hint="default" w:ascii="Times New Roman" w:hAnsi="Times New Roman" w:cs="Times New Roman"/>
                      <w:iCs/>
                      <w:snapToGrid w:val="0"/>
                      <w:color w:val="auto"/>
                      <w:szCs w:val="21"/>
                      <w:highlight w:val="none"/>
                    </w:rPr>
                    <w:t>0</w:t>
                  </w:r>
                  <w:r>
                    <w:rPr>
                      <w:rFonts w:hint="default" w:ascii="Times New Roman" w:hAnsi="Times New Roman" w:cs="Times New Roman"/>
                      <w:iCs/>
                      <w:snapToGrid w:val="0"/>
                      <w:color w:val="auto"/>
                      <w:szCs w:val="21"/>
                      <w:highlight w:val="none"/>
                      <w:lang w:val="en-US" w:eastAsia="zh-CN"/>
                    </w:rPr>
                    <w:t>4草地</w:t>
                  </w:r>
                </w:p>
              </w:tc>
              <w:tc>
                <w:tcPr>
                  <w:tcW w:w="1250" w:type="pct"/>
                  <w:vAlign w:val="center"/>
                </w:tcPr>
                <w:p w14:paraId="2FA2A56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iCs/>
                      <w:snapToGrid w:val="0"/>
                      <w:color w:val="auto"/>
                      <w:szCs w:val="21"/>
                      <w:highlight w:val="none"/>
                      <w:lang w:val="en-US" w:eastAsia="zh-CN"/>
                    </w:rPr>
                  </w:pPr>
                  <w:r>
                    <w:rPr>
                      <w:rFonts w:hint="default" w:ascii="Times New Roman" w:hAnsi="Times New Roman" w:cs="Times New Roman"/>
                      <w:iCs/>
                      <w:snapToGrid w:val="0"/>
                      <w:color w:val="auto"/>
                      <w:szCs w:val="21"/>
                      <w:highlight w:val="none"/>
                    </w:rPr>
                    <w:t>0</w:t>
                  </w:r>
                  <w:r>
                    <w:rPr>
                      <w:rFonts w:hint="default" w:ascii="Times New Roman" w:hAnsi="Times New Roman" w:cs="Times New Roman"/>
                      <w:iCs/>
                      <w:snapToGrid w:val="0"/>
                      <w:color w:val="auto"/>
                      <w:szCs w:val="21"/>
                      <w:highlight w:val="none"/>
                      <w:lang w:val="en-US" w:eastAsia="zh-CN"/>
                    </w:rPr>
                    <w:t>404其他草地</w:t>
                  </w:r>
                </w:p>
              </w:tc>
              <w:tc>
                <w:tcPr>
                  <w:tcW w:w="1250" w:type="pct"/>
                  <w:vAlign w:val="center"/>
                </w:tcPr>
                <w:p w14:paraId="066733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iCs/>
                      <w:snapToGrid w:val="0"/>
                      <w:color w:val="auto"/>
                      <w:szCs w:val="21"/>
                      <w:highlight w:val="none"/>
                      <w:lang w:val="en-US" w:eastAsia="zh-CN"/>
                    </w:rPr>
                  </w:pPr>
                  <w:r>
                    <w:rPr>
                      <w:rFonts w:hint="default" w:ascii="Times New Roman" w:hAnsi="Times New Roman" w:cs="Times New Roman"/>
                      <w:iCs/>
                      <w:snapToGrid w:val="0"/>
                      <w:color w:val="auto"/>
                      <w:szCs w:val="21"/>
                      <w:highlight w:val="none"/>
                      <w:lang w:val="en-US" w:eastAsia="zh-CN"/>
                    </w:rPr>
                    <w:t>0.279</w:t>
                  </w:r>
                </w:p>
              </w:tc>
              <w:tc>
                <w:tcPr>
                  <w:tcW w:w="1250" w:type="pct"/>
                  <w:vAlign w:val="center"/>
                </w:tcPr>
                <w:p w14:paraId="30AA9DC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Cs/>
                      <w:snapToGrid w:val="0"/>
                      <w:color w:val="auto"/>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11.32%</w:t>
                  </w:r>
                </w:p>
              </w:tc>
            </w:tr>
            <w:tr w14:paraId="4A952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2499" w:type="pct"/>
                  <w:gridSpan w:val="2"/>
                  <w:vAlign w:val="center"/>
                </w:tcPr>
                <w:p w14:paraId="4E19474E">
                  <w:pPr>
                    <w:keepNext w:val="0"/>
                    <w:keepLines w:val="0"/>
                    <w:suppressLineNumbers w:val="0"/>
                    <w:snapToGrid w:val="0"/>
                    <w:spacing w:before="0" w:beforeAutospacing="0" w:after="0" w:afterAutospacing="0" w:line="240" w:lineRule="auto"/>
                    <w:ind w:left="0" w:right="0"/>
                    <w:jc w:val="center"/>
                    <w:rPr>
                      <w:rFonts w:hint="default"/>
                      <w:iCs/>
                      <w:snapToGrid w:val="0"/>
                      <w:color w:val="auto"/>
                      <w:szCs w:val="21"/>
                      <w:highlight w:val="none"/>
                    </w:rPr>
                  </w:pPr>
                  <w:r>
                    <w:rPr>
                      <w:rFonts w:hint="default"/>
                      <w:iCs/>
                      <w:snapToGrid w:val="0"/>
                      <w:color w:val="auto"/>
                      <w:szCs w:val="21"/>
                      <w:highlight w:val="none"/>
                    </w:rPr>
                    <w:t>合计</w:t>
                  </w:r>
                </w:p>
              </w:tc>
              <w:tc>
                <w:tcPr>
                  <w:tcW w:w="1250" w:type="pct"/>
                  <w:vAlign w:val="center"/>
                </w:tcPr>
                <w:p w14:paraId="5472324E">
                  <w:pPr>
                    <w:keepNext w:val="0"/>
                    <w:keepLines w:val="0"/>
                    <w:suppressLineNumbers w:val="0"/>
                    <w:snapToGrid w:val="0"/>
                    <w:spacing w:before="0" w:beforeAutospacing="0" w:after="0" w:afterAutospacing="0" w:line="240" w:lineRule="auto"/>
                    <w:ind w:left="0" w:right="0"/>
                    <w:jc w:val="center"/>
                    <w:rPr>
                      <w:rFonts w:hint="default" w:eastAsia="宋体"/>
                      <w:iCs/>
                      <w:snapToGrid w:val="0"/>
                      <w:color w:val="auto"/>
                      <w:szCs w:val="21"/>
                      <w:highlight w:val="none"/>
                      <w:lang w:val="en-US" w:eastAsia="zh-CN"/>
                    </w:rPr>
                  </w:pPr>
                  <w:r>
                    <w:rPr>
                      <w:rFonts w:hint="eastAsia"/>
                      <w:iCs/>
                      <w:snapToGrid w:val="0"/>
                      <w:color w:val="auto"/>
                      <w:szCs w:val="21"/>
                      <w:highlight w:val="none"/>
                      <w:lang w:val="en-US" w:eastAsia="zh-CN"/>
                    </w:rPr>
                    <w:t>2.4465</w:t>
                  </w:r>
                </w:p>
              </w:tc>
              <w:tc>
                <w:tcPr>
                  <w:tcW w:w="1250" w:type="pct"/>
                  <w:vAlign w:val="center"/>
                </w:tcPr>
                <w:p w14:paraId="70870C95">
                  <w:pPr>
                    <w:keepNext w:val="0"/>
                    <w:keepLines w:val="0"/>
                    <w:suppressLineNumbers w:val="0"/>
                    <w:snapToGrid w:val="0"/>
                    <w:spacing w:before="0" w:beforeAutospacing="0" w:after="0" w:afterAutospacing="0" w:line="240" w:lineRule="auto"/>
                    <w:ind w:left="0" w:right="0"/>
                    <w:jc w:val="center"/>
                    <w:rPr>
                      <w:rFonts w:hint="default"/>
                      <w:iCs/>
                      <w:snapToGrid w:val="0"/>
                      <w:color w:val="auto"/>
                      <w:szCs w:val="21"/>
                      <w:highlight w:val="yellow"/>
                    </w:rPr>
                  </w:pPr>
                </w:p>
              </w:tc>
            </w:tr>
          </w:tbl>
          <w:p w14:paraId="0E73333B">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10</w:t>
            </w:r>
            <w:r>
              <w:rPr>
                <w:b/>
                <w:bCs/>
                <w:color w:val="auto"/>
                <w:sz w:val="24"/>
                <w:szCs w:val="24"/>
                <w:highlight w:val="none"/>
              </w:rPr>
              <w:t>、工作制度及劳动定员</w:t>
            </w:r>
          </w:p>
          <w:p w14:paraId="49D8D485">
            <w:pPr>
              <w:spacing w:line="360" w:lineRule="auto"/>
              <w:ind w:firstLine="480" w:firstLineChars="200"/>
              <w:rPr>
                <w:color w:val="auto"/>
                <w:sz w:val="24"/>
                <w:szCs w:val="24"/>
                <w:highlight w:val="none"/>
              </w:rPr>
            </w:pPr>
            <w:r>
              <w:rPr>
                <w:rFonts w:hint="eastAsia"/>
                <w:color w:val="auto"/>
                <w:sz w:val="24"/>
                <w:szCs w:val="24"/>
                <w:highlight w:val="none"/>
                <w:lang w:val="en-US" w:eastAsia="zh-CN"/>
              </w:rPr>
              <w:t>本次扩建</w:t>
            </w:r>
            <w:r>
              <w:rPr>
                <w:color w:val="auto"/>
                <w:sz w:val="24"/>
                <w:szCs w:val="24"/>
                <w:highlight w:val="none"/>
              </w:rPr>
              <w:t>项目</w:t>
            </w:r>
            <w:r>
              <w:rPr>
                <w:rFonts w:hint="eastAsia"/>
                <w:color w:val="auto"/>
                <w:sz w:val="24"/>
                <w:szCs w:val="24"/>
                <w:highlight w:val="none"/>
                <w:lang w:val="en-US" w:eastAsia="zh-CN"/>
              </w:rPr>
              <w:t>新增</w:t>
            </w:r>
            <w:r>
              <w:rPr>
                <w:color w:val="auto"/>
                <w:sz w:val="24"/>
                <w:szCs w:val="24"/>
                <w:highlight w:val="none"/>
              </w:rPr>
              <w:t>10位劳动人员，其中：主要负责人、分管负责人、专职安全员各1人；仓库保管员、装卸搬运员共4人，技术人员</w:t>
            </w:r>
            <w:r>
              <w:rPr>
                <w:rFonts w:hint="eastAsia"/>
                <w:color w:val="auto"/>
                <w:sz w:val="24"/>
                <w:szCs w:val="24"/>
                <w:highlight w:val="none"/>
                <w:lang w:val="en-US" w:eastAsia="zh-CN"/>
              </w:rPr>
              <w:t>2</w:t>
            </w:r>
            <w:r>
              <w:rPr>
                <w:color w:val="auto"/>
                <w:sz w:val="24"/>
                <w:szCs w:val="24"/>
                <w:highlight w:val="none"/>
              </w:rPr>
              <w:t>人，</w:t>
            </w:r>
            <w:r>
              <w:rPr>
                <w:rFonts w:hint="eastAsia"/>
                <w:color w:val="auto"/>
                <w:sz w:val="24"/>
                <w:szCs w:val="24"/>
                <w:highlight w:val="none"/>
              </w:rPr>
              <w:t>值班人员</w:t>
            </w:r>
            <w:r>
              <w:rPr>
                <w:rFonts w:hint="eastAsia"/>
                <w:color w:val="auto"/>
                <w:sz w:val="24"/>
                <w:szCs w:val="24"/>
                <w:highlight w:val="none"/>
                <w:lang w:val="en-US" w:eastAsia="zh-CN"/>
              </w:rPr>
              <w:t>1</w:t>
            </w:r>
            <w:r>
              <w:rPr>
                <w:color w:val="auto"/>
                <w:sz w:val="24"/>
                <w:szCs w:val="24"/>
                <w:highlight w:val="none"/>
              </w:rPr>
              <w:t>人</w:t>
            </w:r>
            <w:r>
              <w:rPr>
                <w:rFonts w:hint="eastAsia"/>
                <w:color w:val="auto"/>
                <w:sz w:val="24"/>
                <w:szCs w:val="24"/>
                <w:highlight w:val="none"/>
              </w:rPr>
              <w:t>，项目工作人员离家较近，库区不设食堂，仅值班人员在库区内住宿，其他人员食宿自理</w:t>
            </w:r>
            <w:r>
              <w:rPr>
                <w:color w:val="auto"/>
                <w:sz w:val="24"/>
                <w:szCs w:val="24"/>
                <w:highlight w:val="none"/>
              </w:rPr>
              <w:t>。</w:t>
            </w:r>
          </w:p>
          <w:p w14:paraId="4FCCF1A5">
            <w:pPr>
              <w:spacing w:line="360" w:lineRule="auto"/>
              <w:ind w:firstLine="480" w:firstLineChars="200"/>
              <w:rPr>
                <w:color w:val="auto"/>
                <w:sz w:val="24"/>
                <w:szCs w:val="24"/>
                <w:highlight w:val="none"/>
              </w:rPr>
            </w:pPr>
            <w:r>
              <w:rPr>
                <w:color w:val="auto"/>
                <w:sz w:val="24"/>
                <w:szCs w:val="24"/>
                <w:highlight w:val="none"/>
              </w:rPr>
              <w:t>工作制度：</w:t>
            </w:r>
            <w:r>
              <w:rPr>
                <w:rFonts w:hint="eastAsia"/>
                <w:color w:val="auto"/>
                <w:sz w:val="24"/>
                <w:szCs w:val="24"/>
                <w:highlight w:val="none"/>
              </w:rPr>
              <w:t>本项目每天工作8小时，实行1班制工作制度，年工作</w:t>
            </w:r>
            <w:r>
              <w:rPr>
                <w:rFonts w:hint="eastAsia"/>
                <w:color w:val="auto"/>
                <w:sz w:val="24"/>
                <w:szCs w:val="24"/>
                <w:highlight w:val="none"/>
                <w:lang w:val="en-US" w:eastAsia="zh-CN"/>
              </w:rPr>
              <w:t>250</w:t>
            </w:r>
            <w:r>
              <w:rPr>
                <w:color w:val="auto"/>
                <w:sz w:val="24"/>
                <w:szCs w:val="24"/>
                <w:highlight w:val="none"/>
              </w:rPr>
              <w:t>天</w:t>
            </w:r>
            <w:r>
              <w:rPr>
                <w:rFonts w:hint="eastAsia"/>
                <w:color w:val="auto"/>
                <w:sz w:val="24"/>
                <w:szCs w:val="24"/>
                <w:highlight w:val="none"/>
              </w:rPr>
              <w:t>，安排</w:t>
            </w:r>
            <w:r>
              <w:rPr>
                <w:rFonts w:hint="eastAsia"/>
                <w:color w:val="auto"/>
                <w:sz w:val="24"/>
                <w:szCs w:val="24"/>
                <w:highlight w:val="none"/>
                <w:lang w:val="en-US" w:eastAsia="zh-CN"/>
              </w:rPr>
              <w:t>1个</w:t>
            </w:r>
            <w:r>
              <w:rPr>
                <w:rFonts w:hint="eastAsia"/>
                <w:color w:val="auto"/>
                <w:sz w:val="24"/>
                <w:szCs w:val="24"/>
                <w:highlight w:val="none"/>
              </w:rPr>
              <w:t>值班人员</w:t>
            </w:r>
            <w:r>
              <w:rPr>
                <w:rFonts w:hint="eastAsia"/>
                <w:color w:val="auto"/>
                <w:sz w:val="24"/>
                <w:szCs w:val="24"/>
                <w:highlight w:val="none"/>
                <w:lang w:val="en-US" w:eastAsia="zh-CN"/>
              </w:rPr>
              <w:t>值守</w:t>
            </w:r>
            <w:r>
              <w:rPr>
                <w:rFonts w:hint="eastAsia"/>
                <w:color w:val="auto"/>
                <w:sz w:val="24"/>
                <w:szCs w:val="24"/>
                <w:highlight w:val="none"/>
              </w:rPr>
              <w:t>。</w:t>
            </w:r>
          </w:p>
          <w:p w14:paraId="7E3F0981">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11</w:t>
            </w:r>
            <w:r>
              <w:rPr>
                <w:b/>
                <w:bCs/>
                <w:color w:val="auto"/>
                <w:sz w:val="24"/>
                <w:szCs w:val="24"/>
                <w:highlight w:val="none"/>
              </w:rPr>
              <w:t>、项目施工计划</w:t>
            </w:r>
          </w:p>
          <w:p w14:paraId="3716832B">
            <w:pPr>
              <w:spacing w:line="360" w:lineRule="auto"/>
              <w:ind w:firstLine="480" w:firstLineChars="200"/>
              <w:rPr>
                <w:color w:val="auto"/>
                <w:sz w:val="24"/>
                <w:szCs w:val="24"/>
                <w:highlight w:val="none"/>
              </w:rPr>
            </w:pPr>
            <w:r>
              <w:rPr>
                <w:rFonts w:hint="eastAsia"/>
                <w:color w:val="auto"/>
                <w:sz w:val="24"/>
                <w:szCs w:val="24"/>
                <w:highlight w:val="none"/>
                <w:lang w:val="en-US" w:eastAsia="zh-CN"/>
              </w:rPr>
              <w:t>本扩建</w:t>
            </w:r>
            <w:r>
              <w:rPr>
                <w:color w:val="auto"/>
                <w:sz w:val="24"/>
                <w:szCs w:val="24"/>
                <w:highlight w:val="none"/>
              </w:rPr>
              <w:t>项目计划于202</w:t>
            </w:r>
            <w:r>
              <w:rPr>
                <w:rFonts w:hint="eastAsia"/>
                <w:color w:val="auto"/>
                <w:sz w:val="24"/>
                <w:szCs w:val="24"/>
                <w:highlight w:val="none"/>
                <w:lang w:val="en-US" w:eastAsia="zh-CN"/>
              </w:rPr>
              <w:t>6</w:t>
            </w:r>
            <w:r>
              <w:rPr>
                <w:color w:val="auto"/>
                <w:sz w:val="24"/>
                <w:szCs w:val="24"/>
                <w:highlight w:val="none"/>
              </w:rPr>
              <w:t>年</w:t>
            </w:r>
            <w:r>
              <w:rPr>
                <w:rFonts w:hint="eastAsia"/>
                <w:color w:val="auto"/>
                <w:sz w:val="24"/>
                <w:szCs w:val="24"/>
                <w:highlight w:val="none"/>
                <w:lang w:val="en-US" w:eastAsia="zh-CN"/>
              </w:rPr>
              <w:t>10</w:t>
            </w:r>
            <w:r>
              <w:rPr>
                <w:color w:val="auto"/>
                <w:sz w:val="24"/>
                <w:szCs w:val="24"/>
                <w:highlight w:val="none"/>
              </w:rPr>
              <w:t>月开工建设，于202</w:t>
            </w:r>
            <w:r>
              <w:rPr>
                <w:rFonts w:hint="eastAsia"/>
                <w:color w:val="auto"/>
                <w:sz w:val="24"/>
                <w:szCs w:val="24"/>
                <w:highlight w:val="none"/>
                <w:lang w:val="en-US" w:eastAsia="zh-CN"/>
              </w:rPr>
              <w:t>7</w:t>
            </w:r>
            <w:r>
              <w:rPr>
                <w:color w:val="auto"/>
                <w:sz w:val="24"/>
                <w:szCs w:val="24"/>
                <w:highlight w:val="none"/>
              </w:rPr>
              <w:t>年</w:t>
            </w:r>
            <w:r>
              <w:rPr>
                <w:rFonts w:hint="eastAsia"/>
                <w:color w:val="auto"/>
                <w:sz w:val="24"/>
                <w:szCs w:val="24"/>
                <w:highlight w:val="none"/>
              </w:rPr>
              <w:t>1</w:t>
            </w:r>
            <w:r>
              <w:rPr>
                <w:rFonts w:hint="eastAsia"/>
                <w:color w:val="auto"/>
                <w:sz w:val="24"/>
                <w:szCs w:val="24"/>
                <w:highlight w:val="none"/>
                <w:lang w:val="en-US" w:eastAsia="zh-CN"/>
              </w:rPr>
              <w:t>0</w:t>
            </w:r>
            <w:r>
              <w:rPr>
                <w:color w:val="auto"/>
                <w:sz w:val="24"/>
                <w:szCs w:val="24"/>
                <w:highlight w:val="none"/>
              </w:rPr>
              <w:t>月建成投入使用，施工期约</w:t>
            </w:r>
            <w:r>
              <w:rPr>
                <w:rFonts w:hint="eastAsia"/>
                <w:color w:val="auto"/>
                <w:sz w:val="24"/>
                <w:szCs w:val="24"/>
                <w:highlight w:val="none"/>
                <w:lang w:val="en-US" w:eastAsia="zh-CN"/>
              </w:rPr>
              <w:t>1</w:t>
            </w:r>
            <w:r>
              <w:rPr>
                <w:rFonts w:hint="eastAsia"/>
                <w:color w:val="auto"/>
                <w:sz w:val="24"/>
                <w:szCs w:val="24"/>
                <w:highlight w:val="none"/>
              </w:rPr>
              <w:t>2</w:t>
            </w:r>
            <w:r>
              <w:rPr>
                <w:color w:val="auto"/>
                <w:sz w:val="24"/>
                <w:szCs w:val="24"/>
                <w:highlight w:val="none"/>
              </w:rPr>
              <w:t>个月。</w:t>
            </w:r>
          </w:p>
          <w:p w14:paraId="2148B71A">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12</w:t>
            </w:r>
            <w:r>
              <w:rPr>
                <w:b/>
                <w:bCs/>
                <w:color w:val="auto"/>
                <w:sz w:val="24"/>
                <w:szCs w:val="24"/>
                <w:highlight w:val="none"/>
              </w:rPr>
              <w:t>、施工“三场”设置情况</w:t>
            </w:r>
          </w:p>
          <w:p w14:paraId="5F00DBEB">
            <w:pPr>
              <w:spacing w:line="360" w:lineRule="auto"/>
              <w:ind w:firstLine="482" w:firstLineChars="200"/>
              <w:rPr>
                <w:b/>
                <w:bCs/>
                <w:color w:val="auto"/>
                <w:sz w:val="24"/>
                <w:szCs w:val="24"/>
                <w:highlight w:val="none"/>
              </w:rPr>
            </w:pPr>
            <w:r>
              <w:rPr>
                <w:b/>
                <w:bCs/>
                <w:color w:val="auto"/>
                <w:sz w:val="24"/>
                <w:szCs w:val="24"/>
                <w:highlight w:val="none"/>
              </w:rPr>
              <w:t>（1）施工场地</w:t>
            </w:r>
          </w:p>
          <w:p w14:paraId="59D72463">
            <w:pPr>
              <w:spacing w:line="360" w:lineRule="auto"/>
              <w:ind w:firstLine="480" w:firstLineChars="200"/>
              <w:rPr>
                <w:color w:val="auto"/>
                <w:sz w:val="24"/>
                <w:szCs w:val="24"/>
                <w:highlight w:val="none"/>
              </w:rPr>
            </w:pPr>
            <w:r>
              <w:rPr>
                <w:color w:val="auto"/>
                <w:sz w:val="24"/>
                <w:szCs w:val="24"/>
                <w:highlight w:val="none"/>
              </w:rPr>
              <w:t>根据施工需要，项目在占地内设置1个临时施工场地作为材料堆置场所</w:t>
            </w:r>
            <w:r>
              <w:rPr>
                <w:rFonts w:hint="eastAsia"/>
                <w:color w:val="auto"/>
                <w:sz w:val="24"/>
                <w:szCs w:val="24"/>
                <w:highlight w:val="none"/>
                <w:lang w:eastAsia="zh-CN"/>
              </w:rPr>
              <w:t>，</w:t>
            </w:r>
            <w:r>
              <w:rPr>
                <w:rFonts w:hint="eastAsia"/>
                <w:color w:val="auto"/>
                <w:sz w:val="24"/>
                <w:szCs w:val="24"/>
                <w:highlight w:val="none"/>
                <w:lang w:val="en-US" w:eastAsia="zh-CN"/>
              </w:rPr>
              <w:t>位于地块三空地</w:t>
            </w:r>
            <w:r>
              <w:rPr>
                <w:color w:val="auto"/>
                <w:sz w:val="24"/>
                <w:szCs w:val="24"/>
                <w:highlight w:val="none"/>
              </w:rPr>
              <w:t>，不设置施工营地。</w:t>
            </w:r>
          </w:p>
          <w:p w14:paraId="0DC4565E">
            <w:pPr>
              <w:spacing w:line="360" w:lineRule="auto"/>
              <w:ind w:firstLine="480" w:firstLineChars="200"/>
              <w:rPr>
                <w:color w:val="auto"/>
                <w:sz w:val="24"/>
                <w:szCs w:val="24"/>
                <w:highlight w:val="none"/>
              </w:rPr>
            </w:pPr>
            <w:r>
              <w:rPr>
                <w:color w:val="auto"/>
                <w:sz w:val="24"/>
                <w:szCs w:val="24"/>
                <w:highlight w:val="none"/>
              </w:rPr>
              <w:t>施工场地配备管理人员和施工人员共计15人，管理人员和施工人员均不在施工场地内食宿。</w:t>
            </w:r>
          </w:p>
          <w:p w14:paraId="0A32DDEF">
            <w:pPr>
              <w:spacing w:line="360" w:lineRule="auto"/>
              <w:ind w:firstLine="482" w:firstLineChars="200"/>
              <w:rPr>
                <w:b/>
                <w:bCs/>
                <w:color w:val="auto"/>
                <w:sz w:val="24"/>
                <w:szCs w:val="24"/>
                <w:highlight w:val="none"/>
              </w:rPr>
            </w:pPr>
            <w:r>
              <w:rPr>
                <w:b/>
                <w:bCs/>
                <w:color w:val="auto"/>
                <w:sz w:val="24"/>
                <w:szCs w:val="24"/>
                <w:highlight w:val="none"/>
              </w:rPr>
              <w:t>（2）砂、石料场</w:t>
            </w:r>
          </w:p>
          <w:p w14:paraId="58880EC9">
            <w:pPr>
              <w:spacing w:line="360" w:lineRule="auto"/>
              <w:ind w:firstLine="480" w:firstLineChars="200"/>
              <w:rPr>
                <w:color w:val="auto"/>
                <w:sz w:val="24"/>
                <w:szCs w:val="24"/>
                <w:highlight w:val="none"/>
              </w:rPr>
            </w:pPr>
            <w:r>
              <w:rPr>
                <w:color w:val="auto"/>
                <w:sz w:val="24"/>
                <w:szCs w:val="24"/>
                <w:highlight w:val="none"/>
              </w:rPr>
              <w:t>本项目所需砂石料均从寻甸县合法砂石料厂外购解决，不设专门的砂石料场。</w:t>
            </w:r>
          </w:p>
          <w:p w14:paraId="716E8AD3">
            <w:pPr>
              <w:spacing w:line="360" w:lineRule="auto"/>
              <w:ind w:firstLine="480" w:firstLineChars="200"/>
              <w:rPr>
                <w:color w:val="auto"/>
                <w:sz w:val="24"/>
                <w:szCs w:val="24"/>
                <w:highlight w:val="none"/>
              </w:rPr>
            </w:pPr>
            <w:r>
              <w:rPr>
                <w:color w:val="auto"/>
                <w:sz w:val="24"/>
                <w:szCs w:val="24"/>
                <w:highlight w:val="none"/>
              </w:rPr>
              <w:t>本工程建设不需要特殊的土料，在建设过程中总体上挖填方</w:t>
            </w:r>
            <w:r>
              <w:rPr>
                <w:rFonts w:hint="eastAsia"/>
                <w:color w:val="auto"/>
                <w:sz w:val="24"/>
                <w:szCs w:val="24"/>
                <w:highlight w:val="none"/>
                <w:lang w:val="en-US" w:eastAsia="zh-CN"/>
              </w:rPr>
              <w:t>平衡</w:t>
            </w:r>
            <w:r>
              <w:rPr>
                <w:color w:val="auto"/>
                <w:sz w:val="24"/>
                <w:szCs w:val="24"/>
                <w:highlight w:val="none"/>
              </w:rPr>
              <w:t>，本项目建设不设置取土场。</w:t>
            </w:r>
          </w:p>
          <w:p w14:paraId="462A034C">
            <w:pPr>
              <w:spacing w:line="360" w:lineRule="auto"/>
              <w:ind w:firstLine="480" w:firstLineChars="200"/>
              <w:rPr>
                <w:color w:val="auto"/>
                <w:sz w:val="24"/>
                <w:szCs w:val="24"/>
                <w:highlight w:val="none"/>
              </w:rPr>
            </w:pPr>
            <w:r>
              <w:rPr>
                <w:color w:val="auto"/>
                <w:sz w:val="24"/>
                <w:szCs w:val="24"/>
                <w:highlight w:val="none"/>
              </w:rPr>
              <w:t>项目建设过程中需要的混凝土来自外购商品混凝土，项目区不设置</w:t>
            </w:r>
            <w:r>
              <w:rPr>
                <w:rFonts w:hint="eastAsia"/>
                <w:color w:val="auto"/>
                <w:sz w:val="24"/>
                <w:szCs w:val="24"/>
                <w:highlight w:val="none"/>
                <w:lang w:eastAsia="zh-CN"/>
              </w:rPr>
              <w:t>拌和站</w:t>
            </w:r>
            <w:r>
              <w:rPr>
                <w:color w:val="auto"/>
                <w:sz w:val="24"/>
                <w:szCs w:val="24"/>
                <w:highlight w:val="none"/>
              </w:rPr>
              <w:t>。</w:t>
            </w:r>
          </w:p>
          <w:p w14:paraId="0F7A149D">
            <w:pPr>
              <w:spacing w:line="360" w:lineRule="auto"/>
              <w:ind w:firstLine="482" w:firstLineChars="200"/>
              <w:rPr>
                <w:b/>
                <w:bCs/>
                <w:color w:val="auto"/>
                <w:sz w:val="24"/>
                <w:szCs w:val="24"/>
                <w:highlight w:val="none"/>
              </w:rPr>
            </w:pPr>
            <w:r>
              <w:rPr>
                <w:b/>
                <w:bCs/>
                <w:color w:val="auto"/>
                <w:sz w:val="24"/>
                <w:szCs w:val="24"/>
                <w:highlight w:val="none"/>
              </w:rPr>
              <w:t>（3）弃渣场</w:t>
            </w:r>
          </w:p>
          <w:p w14:paraId="4B8BA35F">
            <w:pPr>
              <w:spacing w:line="360" w:lineRule="auto"/>
              <w:ind w:firstLine="480" w:firstLineChars="200"/>
              <w:rPr>
                <w:color w:val="auto"/>
                <w:sz w:val="24"/>
                <w:szCs w:val="24"/>
                <w:highlight w:val="none"/>
              </w:rPr>
            </w:pPr>
            <w:r>
              <w:rPr>
                <w:color w:val="auto"/>
                <w:sz w:val="24"/>
                <w:szCs w:val="24"/>
                <w:highlight w:val="none"/>
              </w:rPr>
              <w:t>项目建设时产生的废弃土石方主要来源于场地平整、基础开挖等。项目挖方量较小，产生的挖方用于低地势处回填处理。项目土石方挖填方</w:t>
            </w:r>
            <w:r>
              <w:rPr>
                <w:rFonts w:hint="eastAsia"/>
                <w:color w:val="auto"/>
                <w:sz w:val="24"/>
                <w:szCs w:val="24"/>
                <w:highlight w:val="none"/>
                <w:lang w:val="en-US" w:eastAsia="zh-CN"/>
              </w:rPr>
              <w:t>平衡</w:t>
            </w:r>
            <w:r>
              <w:rPr>
                <w:color w:val="auto"/>
                <w:sz w:val="24"/>
                <w:szCs w:val="24"/>
                <w:highlight w:val="none"/>
              </w:rPr>
              <w:t>，项目不设置弃渣场。</w:t>
            </w:r>
          </w:p>
          <w:p w14:paraId="53CB9C7F">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13</w:t>
            </w:r>
            <w:r>
              <w:rPr>
                <w:b/>
                <w:bCs/>
                <w:color w:val="auto"/>
                <w:sz w:val="24"/>
                <w:szCs w:val="24"/>
                <w:highlight w:val="none"/>
              </w:rPr>
              <w:t>、项目环保投资</w:t>
            </w:r>
          </w:p>
          <w:p w14:paraId="48687CB3">
            <w:pPr>
              <w:spacing w:line="360" w:lineRule="auto"/>
              <w:ind w:firstLine="480" w:firstLineChars="200"/>
              <w:rPr>
                <w:color w:val="auto"/>
                <w:sz w:val="24"/>
                <w:szCs w:val="24"/>
                <w:highlight w:val="none"/>
              </w:rPr>
            </w:pPr>
            <w:r>
              <w:rPr>
                <w:color w:val="auto"/>
                <w:sz w:val="24"/>
                <w:szCs w:val="24"/>
                <w:highlight w:val="none"/>
              </w:rPr>
              <w:t>本项目总投资</w:t>
            </w:r>
            <w:r>
              <w:rPr>
                <w:rFonts w:hint="eastAsia"/>
                <w:color w:val="auto"/>
                <w:sz w:val="24"/>
                <w:szCs w:val="24"/>
                <w:highlight w:val="none"/>
                <w:lang w:val="en-US" w:eastAsia="zh-CN"/>
              </w:rPr>
              <w:t>26</w:t>
            </w:r>
            <w:r>
              <w:rPr>
                <w:color w:val="auto"/>
                <w:sz w:val="24"/>
                <w:szCs w:val="24"/>
                <w:highlight w:val="none"/>
              </w:rPr>
              <w:t>00万元，其中环保投资</w:t>
            </w:r>
            <w:r>
              <w:rPr>
                <w:rFonts w:hint="eastAsia"/>
                <w:color w:val="auto"/>
                <w:sz w:val="24"/>
                <w:szCs w:val="24"/>
                <w:highlight w:val="none"/>
                <w:lang w:val="en-US" w:eastAsia="zh-CN"/>
              </w:rPr>
              <w:t>64.31</w:t>
            </w:r>
            <w:r>
              <w:rPr>
                <w:color w:val="auto"/>
                <w:sz w:val="24"/>
                <w:szCs w:val="24"/>
                <w:highlight w:val="none"/>
              </w:rPr>
              <w:t>万元，占总投资的</w:t>
            </w:r>
            <w:r>
              <w:rPr>
                <w:rFonts w:hint="eastAsia"/>
                <w:color w:val="auto"/>
                <w:sz w:val="24"/>
                <w:szCs w:val="24"/>
                <w:highlight w:val="none"/>
                <w:lang w:val="en-US" w:eastAsia="zh-CN"/>
              </w:rPr>
              <w:t>2.47</w:t>
            </w:r>
            <w:r>
              <w:rPr>
                <w:color w:val="auto"/>
                <w:sz w:val="24"/>
                <w:szCs w:val="24"/>
                <w:highlight w:val="none"/>
              </w:rPr>
              <w:t>％。项目环保投资明细表见表2-</w:t>
            </w:r>
            <w:r>
              <w:rPr>
                <w:rFonts w:hint="eastAsia"/>
                <w:color w:val="auto"/>
                <w:sz w:val="24"/>
                <w:szCs w:val="24"/>
                <w:highlight w:val="none"/>
                <w:lang w:val="en-US" w:eastAsia="zh-CN"/>
              </w:rPr>
              <w:t>8</w:t>
            </w:r>
            <w:r>
              <w:rPr>
                <w:color w:val="auto"/>
                <w:sz w:val="24"/>
                <w:szCs w:val="24"/>
                <w:highlight w:val="none"/>
              </w:rPr>
              <w:t>。</w:t>
            </w:r>
          </w:p>
          <w:p w14:paraId="73418C5C">
            <w:pPr>
              <w:spacing w:line="240" w:lineRule="auto"/>
              <w:jc w:val="center"/>
              <w:rPr>
                <w:b/>
                <w:bCs/>
                <w:color w:val="auto"/>
                <w:szCs w:val="21"/>
                <w:highlight w:val="none"/>
              </w:rPr>
            </w:pPr>
            <w:r>
              <w:rPr>
                <w:b/>
                <w:bCs/>
                <w:color w:val="auto"/>
                <w:szCs w:val="21"/>
                <w:highlight w:val="none"/>
              </w:rPr>
              <w:t>表2-</w:t>
            </w:r>
            <w:r>
              <w:rPr>
                <w:rFonts w:hint="eastAsia"/>
                <w:b/>
                <w:bCs/>
                <w:color w:val="auto"/>
                <w:szCs w:val="21"/>
                <w:highlight w:val="none"/>
                <w:lang w:val="en-US" w:eastAsia="zh-CN"/>
              </w:rPr>
              <w:t>8</w:t>
            </w:r>
            <w:r>
              <w:rPr>
                <w:b/>
                <w:bCs/>
                <w:color w:val="auto"/>
                <w:szCs w:val="21"/>
                <w:highlight w:val="none"/>
              </w:rPr>
              <w:t xml:space="preserve">  环保投资一览表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70"/>
              <w:gridCol w:w="771"/>
              <w:gridCol w:w="1415"/>
              <w:gridCol w:w="2948"/>
              <w:gridCol w:w="1280"/>
            </w:tblGrid>
            <w:tr w14:paraId="0815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Align w:val="center"/>
                </w:tcPr>
                <w:p w14:paraId="5A3588D4">
                  <w:pPr>
                    <w:jc w:val="center"/>
                    <w:rPr>
                      <w:b/>
                      <w:bCs/>
                      <w:color w:val="auto"/>
                      <w:szCs w:val="21"/>
                      <w:highlight w:val="none"/>
                    </w:rPr>
                  </w:pPr>
                  <w:r>
                    <w:rPr>
                      <w:b/>
                      <w:bCs/>
                      <w:color w:val="auto"/>
                      <w:szCs w:val="21"/>
                      <w:highlight w:val="none"/>
                    </w:rPr>
                    <w:t>时段</w:t>
                  </w:r>
                </w:p>
              </w:tc>
              <w:tc>
                <w:tcPr>
                  <w:tcW w:w="492" w:type="pct"/>
                  <w:vAlign w:val="center"/>
                </w:tcPr>
                <w:p w14:paraId="04552D2B">
                  <w:pPr>
                    <w:jc w:val="center"/>
                    <w:rPr>
                      <w:b/>
                      <w:bCs/>
                      <w:color w:val="auto"/>
                      <w:szCs w:val="21"/>
                      <w:highlight w:val="none"/>
                    </w:rPr>
                  </w:pPr>
                  <w:r>
                    <w:rPr>
                      <w:b/>
                      <w:bCs/>
                      <w:color w:val="auto"/>
                      <w:szCs w:val="21"/>
                      <w:highlight w:val="none"/>
                    </w:rPr>
                    <w:t>序号</w:t>
                  </w:r>
                </w:p>
              </w:tc>
              <w:tc>
                <w:tcPr>
                  <w:tcW w:w="904" w:type="pct"/>
                  <w:vAlign w:val="center"/>
                </w:tcPr>
                <w:p w14:paraId="722F12FB">
                  <w:pPr>
                    <w:jc w:val="center"/>
                    <w:rPr>
                      <w:b/>
                      <w:bCs/>
                      <w:color w:val="auto"/>
                      <w:szCs w:val="21"/>
                      <w:highlight w:val="none"/>
                    </w:rPr>
                  </w:pPr>
                  <w:r>
                    <w:rPr>
                      <w:b/>
                      <w:bCs/>
                      <w:color w:val="auto"/>
                      <w:szCs w:val="21"/>
                      <w:highlight w:val="none"/>
                    </w:rPr>
                    <w:t>项目名称</w:t>
                  </w:r>
                </w:p>
              </w:tc>
              <w:tc>
                <w:tcPr>
                  <w:tcW w:w="1884" w:type="pct"/>
                  <w:vAlign w:val="center"/>
                </w:tcPr>
                <w:p w14:paraId="56990793">
                  <w:pPr>
                    <w:jc w:val="center"/>
                    <w:rPr>
                      <w:b/>
                      <w:bCs/>
                      <w:color w:val="auto"/>
                      <w:szCs w:val="21"/>
                      <w:highlight w:val="none"/>
                    </w:rPr>
                  </w:pPr>
                  <w:r>
                    <w:rPr>
                      <w:b/>
                      <w:bCs/>
                      <w:color w:val="auto"/>
                      <w:szCs w:val="21"/>
                      <w:highlight w:val="none"/>
                    </w:rPr>
                    <w:t>内容</w:t>
                  </w:r>
                </w:p>
              </w:tc>
              <w:tc>
                <w:tcPr>
                  <w:tcW w:w="818" w:type="pct"/>
                  <w:vAlign w:val="center"/>
                </w:tcPr>
                <w:p w14:paraId="17607343">
                  <w:pPr>
                    <w:jc w:val="center"/>
                    <w:rPr>
                      <w:b/>
                      <w:bCs/>
                      <w:color w:val="auto"/>
                      <w:szCs w:val="21"/>
                      <w:highlight w:val="none"/>
                    </w:rPr>
                  </w:pPr>
                  <w:r>
                    <w:rPr>
                      <w:b/>
                      <w:bCs/>
                      <w:color w:val="auto"/>
                      <w:szCs w:val="21"/>
                      <w:highlight w:val="none"/>
                    </w:rPr>
                    <w:t>环保投资</w:t>
                  </w:r>
                </w:p>
                <w:p w14:paraId="7E790FC7">
                  <w:pPr>
                    <w:jc w:val="center"/>
                    <w:rPr>
                      <w:b/>
                      <w:bCs/>
                      <w:color w:val="auto"/>
                      <w:szCs w:val="21"/>
                      <w:highlight w:val="none"/>
                    </w:rPr>
                  </w:pPr>
                  <w:r>
                    <w:rPr>
                      <w:b/>
                      <w:bCs/>
                      <w:color w:val="auto"/>
                      <w:szCs w:val="21"/>
                      <w:highlight w:val="none"/>
                    </w:rPr>
                    <w:t>金额（万元）</w:t>
                  </w:r>
                </w:p>
              </w:tc>
            </w:tr>
            <w:tr w14:paraId="05A3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restart"/>
                  <w:vAlign w:val="center"/>
                </w:tcPr>
                <w:p w14:paraId="428C89B0">
                  <w:pPr>
                    <w:jc w:val="center"/>
                    <w:rPr>
                      <w:color w:val="auto"/>
                      <w:szCs w:val="21"/>
                      <w:highlight w:val="none"/>
                    </w:rPr>
                  </w:pPr>
                  <w:r>
                    <w:rPr>
                      <w:color w:val="auto"/>
                      <w:szCs w:val="21"/>
                      <w:highlight w:val="none"/>
                    </w:rPr>
                    <w:t>施</w:t>
                  </w:r>
                </w:p>
                <w:p w14:paraId="24F906B2">
                  <w:pPr>
                    <w:jc w:val="center"/>
                    <w:rPr>
                      <w:color w:val="auto"/>
                      <w:szCs w:val="21"/>
                      <w:highlight w:val="none"/>
                    </w:rPr>
                  </w:pPr>
                  <w:r>
                    <w:rPr>
                      <w:color w:val="auto"/>
                      <w:szCs w:val="21"/>
                      <w:highlight w:val="none"/>
                    </w:rPr>
                    <w:t>工</w:t>
                  </w:r>
                </w:p>
                <w:p w14:paraId="78097E7D">
                  <w:pPr>
                    <w:jc w:val="center"/>
                    <w:rPr>
                      <w:color w:val="auto"/>
                      <w:szCs w:val="21"/>
                      <w:highlight w:val="none"/>
                    </w:rPr>
                  </w:pPr>
                  <w:r>
                    <w:rPr>
                      <w:color w:val="auto"/>
                      <w:szCs w:val="21"/>
                      <w:highlight w:val="none"/>
                    </w:rPr>
                    <w:t>期</w:t>
                  </w:r>
                </w:p>
              </w:tc>
              <w:tc>
                <w:tcPr>
                  <w:tcW w:w="492" w:type="pct"/>
                  <w:vAlign w:val="center"/>
                </w:tcPr>
                <w:p w14:paraId="59056CB6">
                  <w:pPr>
                    <w:jc w:val="center"/>
                    <w:rPr>
                      <w:color w:val="auto"/>
                      <w:szCs w:val="21"/>
                      <w:highlight w:val="none"/>
                    </w:rPr>
                  </w:pPr>
                  <w:r>
                    <w:rPr>
                      <w:color w:val="auto"/>
                      <w:szCs w:val="21"/>
                      <w:highlight w:val="none"/>
                    </w:rPr>
                    <w:t>1</w:t>
                  </w:r>
                </w:p>
              </w:tc>
              <w:tc>
                <w:tcPr>
                  <w:tcW w:w="904" w:type="pct"/>
                  <w:vAlign w:val="center"/>
                </w:tcPr>
                <w:p w14:paraId="25A45CE4">
                  <w:pPr>
                    <w:jc w:val="center"/>
                    <w:rPr>
                      <w:color w:val="auto"/>
                      <w:szCs w:val="21"/>
                      <w:highlight w:val="none"/>
                    </w:rPr>
                  </w:pPr>
                  <w:r>
                    <w:rPr>
                      <w:color w:val="auto"/>
                      <w:szCs w:val="21"/>
                      <w:highlight w:val="none"/>
                    </w:rPr>
                    <w:t>临时沉淀池</w:t>
                  </w:r>
                </w:p>
              </w:tc>
              <w:tc>
                <w:tcPr>
                  <w:tcW w:w="1884" w:type="pct"/>
                  <w:vAlign w:val="center"/>
                </w:tcPr>
                <w:p w14:paraId="39E0828E">
                  <w:pPr>
                    <w:jc w:val="center"/>
                    <w:rPr>
                      <w:color w:val="auto"/>
                      <w:szCs w:val="21"/>
                      <w:highlight w:val="none"/>
                    </w:rPr>
                  </w:pPr>
                  <w:r>
                    <w:rPr>
                      <w:color w:val="auto"/>
                      <w:szCs w:val="21"/>
                      <w:highlight w:val="none"/>
                    </w:rPr>
                    <w:t>一个容积为3m</w:t>
                  </w:r>
                  <w:r>
                    <w:rPr>
                      <w:rFonts w:hint="eastAsia"/>
                      <w:color w:val="auto"/>
                      <w:szCs w:val="21"/>
                      <w:highlight w:val="none"/>
                      <w:vertAlign w:val="superscript"/>
                    </w:rPr>
                    <w:t>3</w:t>
                  </w:r>
                </w:p>
              </w:tc>
              <w:tc>
                <w:tcPr>
                  <w:tcW w:w="818" w:type="pct"/>
                  <w:vAlign w:val="center"/>
                </w:tcPr>
                <w:p w14:paraId="75E0315C">
                  <w:pPr>
                    <w:jc w:val="center"/>
                    <w:rPr>
                      <w:color w:val="auto"/>
                      <w:szCs w:val="21"/>
                      <w:highlight w:val="none"/>
                    </w:rPr>
                  </w:pPr>
                  <w:r>
                    <w:rPr>
                      <w:color w:val="auto"/>
                      <w:szCs w:val="21"/>
                      <w:highlight w:val="none"/>
                    </w:rPr>
                    <w:t>0.2</w:t>
                  </w:r>
                </w:p>
              </w:tc>
            </w:tr>
            <w:tr w14:paraId="180B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25781C6A">
                  <w:pPr>
                    <w:jc w:val="center"/>
                    <w:rPr>
                      <w:color w:val="auto"/>
                      <w:szCs w:val="21"/>
                      <w:highlight w:val="none"/>
                    </w:rPr>
                  </w:pPr>
                </w:p>
              </w:tc>
              <w:tc>
                <w:tcPr>
                  <w:tcW w:w="492" w:type="pct"/>
                  <w:vAlign w:val="center"/>
                </w:tcPr>
                <w:p w14:paraId="3D2B8775">
                  <w:pPr>
                    <w:jc w:val="center"/>
                    <w:rPr>
                      <w:color w:val="auto"/>
                      <w:szCs w:val="21"/>
                      <w:highlight w:val="none"/>
                    </w:rPr>
                  </w:pPr>
                  <w:r>
                    <w:rPr>
                      <w:color w:val="auto"/>
                      <w:szCs w:val="21"/>
                      <w:highlight w:val="none"/>
                    </w:rPr>
                    <w:t>2</w:t>
                  </w:r>
                </w:p>
              </w:tc>
              <w:tc>
                <w:tcPr>
                  <w:tcW w:w="904" w:type="pct"/>
                  <w:vAlign w:val="center"/>
                </w:tcPr>
                <w:p w14:paraId="66B620A1">
                  <w:pPr>
                    <w:jc w:val="center"/>
                    <w:rPr>
                      <w:color w:val="auto"/>
                      <w:szCs w:val="21"/>
                      <w:highlight w:val="none"/>
                    </w:rPr>
                  </w:pPr>
                  <w:r>
                    <w:rPr>
                      <w:rFonts w:hint="eastAsia"/>
                      <w:color w:val="auto"/>
                      <w:szCs w:val="21"/>
                      <w:highlight w:val="none"/>
                    </w:rPr>
                    <w:t>地块一初期雨水池</w:t>
                  </w:r>
                </w:p>
              </w:tc>
              <w:tc>
                <w:tcPr>
                  <w:tcW w:w="1884" w:type="pct"/>
                  <w:vAlign w:val="center"/>
                </w:tcPr>
                <w:p w14:paraId="088D69EE">
                  <w:pPr>
                    <w:jc w:val="center"/>
                    <w:rPr>
                      <w:color w:val="auto"/>
                      <w:szCs w:val="21"/>
                      <w:highlight w:val="none"/>
                    </w:rPr>
                  </w:pPr>
                  <w:r>
                    <w:rPr>
                      <w:color w:val="auto"/>
                      <w:szCs w:val="21"/>
                      <w:highlight w:val="none"/>
                    </w:rPr>
                    <w:t>一个容积为</w:t>
                  </w:r>
                  <w:r>
                    <w:rPr>
                      <w:rFonts w:hint="eastAsia"/>
                      <w:color w:val="auto"/>
                      <w:szCs w:val="21"/>
                      <w:highlight w:val="none"/>
                    </w:rPr>
                    <w:t>60</w:t>
                  </w:r>
                  <w:r>
                    <w:rPr>
                      <w:color w:val="auto"/>
                      <w:szCs w:val="21"/>
                      <w:highlight w:val="none"/>
                    </w:rPr>
                    <w:t>m</w:t>
                  </w:r>
                  <w:r>
                    <w:rPr>
                      <w:color w:val="auto"/>
                      <w:szCs w:val="21"/>
                      <w:highlight w:val="none"/>
                      <w:vertAlign w:val="superscript"/>
                    </w:rPr>
                    <w:t>3</w:t>
                  </w:r>
                </w:p>
              </w:tc>
              <w:tc>
                <w:tcPr>
                  <w:tcW w:w="818" w:type="pct"/>
                  <w:vAlign w:val="center"/>
                </w:tcPr>
                <w:p w14:paraId="51FC6B17">
                  <w:pPr>
                    <w:jc w:val="center"/>
                    <w:rPr>
                      <w:color w:val="auto"/>
                      <w:szCs w:val="21"/>
                      <w:highlight w:val="none"/>
                    </w:rPr>
                  </w:pPr>
                  <w:r>
                    <w:rPr>
                      <w:color w:val="auto"/>
                      <w:szCs w:val="21"/>
                      <w:highlight w:val="none"/>
                    </w:rPr>
                    <w:t>3</w:t>
                  </w:r>
                </w:p>
              </w:tc>
            </w:tr>
            <w:tr w14:paraId="7378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317892C0">
                  <w:pPr>
                    <w:jc w:val="center"/>
                    <w:rPr>
                      <w:color w:val="auto"/>
                      <w:szCs w:val="21"/>
                      <w:highlight w:val="none"/>
                    </w:rPr>
                  </w:pPr>
                </w:p>
              </w:tc>
              <w:tc>
                <w:tcPr>
                  <w:tcW w:w="492" w:type="pct"/>
                  <w:vAlign w:val="center"/>
                </w:tcPr>
                <w:p w14:paraId="1A68ECC1">
                  <w:pPr>
                    <w:jc w:val="center"/>
                    <w:rPr>
                      <w:color w:val="auto"/>
                      <w:szCs w:val="21"/>
                      <w:highlight w:val="none"/>
                    </w:rPr>
                  </w:pPr>
                  <w:r>
                    <w:rPr>
                      <w:rFonts w:hint="eastAsia"/>
                      <w:color w:val="auto"/>
                      <w:szCs w:val="21"/>
                      <w:highlight w:val="none"/>
                    </w:rPr>
                    <w:t>3</w:t>
                  </w:r>
                </w:p>
              </w:tc>
              <w:tc>
                <w:tcPr>
                  <w:tcW w:w="904" w:type="pct"/>
                  <w:vAlign w:val="center"/>
                </w:tcPr>
                <w:p w14:paraId="0853A851">
                  <w:pPr>
                    <w:jc w:val="center"/>
                    <w:rPr>
                      <w:color w:val="auto"/>
                      <w:szCs w:val="21"/>
                      <w:highlight w:val="none"/>
                    </w:rPr>
                  </w:pPr>
                  <w:r>
                    <w:rPr>
                      <w:rFonts w:hint="eastAsia"/>
                      <w:color w:val="auto"/>
                      <w:szCs w:val="21"/>
                      <w:highlight w:val="none"/>
                    </w:rPr>
                    <w:t>地块二初期雨水池</w:t>
                  </w:r>
                </w:p>
              </w:tc>
              <w:tc>
                <w:tcPr>
                  <w:tcW w:w="1884" w:type="pct"/>
                  <w:vAlign w:val="center"/>
                </w:tcPr>
                <w:p w14:paraId="6CA76CAD">
                  <w:pPr>
                    <w:jc w:val="center"/>
                    <w:rPr>
                      <w:color w:val="auto"/>
                      <w:szCs w:val="21"/>
                      <w:highlight w:val="none"/>
                    </w:rPr>
                  </w:pPr>
                  <w:r>
                    <w:rPr>
                      <w:color w:val="auto"/>
                      <w:szCs w:val="21"/>
                      <w:highlight w:val="none"/>
                    </w:rPr>
                    <w:t>一个容积为</w:t>
                  </w:r>
                  <w:r>
                    <w:rPr>
                      <w:rFonts w:hint="eastAsia"/>
                      <w:color w:val="auto"/>
                      <w:szCs w:val="21"/>
                      <w:highlight w:val="none"/>
                      <w:lang w:val="en-US" w:eastAsia="zh-CN"/>
                    </w:rPr>
                    <w:t>5</w:t>
                  </w:r>
                  <w:r>
                    <w:rPr>
                      <w:rFonts w:hint="eastAsia"/>
                      <w:color w:val="auto"/>
                      <w:szCs w:val="21"/>
                      <w:highlight w:val="none"/>
                    </w:rPr>
                    <w:t>0</w:t>
                  </w:r>
                  <w:r>
                    <w:rPr>
                      <w:color w:val="auto"/>
                      <w:szCs w:val="21"/>
                      <w:highlight w:val="none"/>
                    </w:rPr>
                    <w:t>m</w:t>
                  </w:r>
                  <w:r>
                    <w:rPr>
                      <w:color w:val="auto"/>
                      <w:szCs w:val="21"/>
                      <w:highlight w:val="none"/>
                      <w:vertAlign w:val="superscript"/>
                    </w:rPr>
                    <w:t>3</w:t>
                  </w:r>
                </w:p>
              </w:tc>
              <w:tc>
                <w:tcPr>
                  <w:tcW w:w="818" w:type="pct"/>
                  <w:vAlign w:val="center"/>
                </w:tcPr>
                <w:p w14:paraId="30258962">
                  <w:pPr>
                    <w:jc w:val="center"/>
                    <w:rPr>
                      <w:rFonts w:hint="default" w:eastAsia="宋体"/>
                      <w:color w:val="auto"/>
                      <w:szCs w:val="21"/>
                      <w:highlight w:val="none"/>
                      <w:lang w:val="en-US" w:eastAsia="zh-CN"/>
                    </w:rPr>
                  </w:pPr>
                  <w:r>
                    <w:rPr>
                      <w:rFonts w:hint="eastAsia"/>
                      <w:color w:val="auto"/>
                      <w:szCs w:val="21"/>
                      <w:highlight w:val="none"/>
                      <w:lang w:val="en-US" w:eastAsia="zh-CN"/>
                    </w:rPr>
                    <w:t>2.5</w:t>
                  </w:r>
                </w:p>
              </w:tc>
            </w:tr>
            <w:tr w14:paraId="7B29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5D86412E">
                  <w:pPr>
                    <w:jc w:val="center"/>
                    <w:rPr>
                      <w:color w:val="auto"/>
                      <w:szCs w:val="21"/>
                      <w:highlight w:val="none"/>
                    </w:rPr>
                  </w:pPr>
                </w:p>
              </w:tc>
              <w:tc>
                <w:tcPr>
                  <w:tcW w:w="492" w:type="pct"/>
                  <w:vAlign w:val="center"/>
                </w:tcPr>
                <w:p w14:paraId="11928F64">
                  <w:pPr>
                    <w:jc w:val="center"/>
                    <w:rPr>
                      <w:rFonts w:hint="eastAsia" w:eastAsia="宋体"/>
                      <w:color w:val="auto"/>
                      <w:szCs w:val="21"/>
                      <w:highlight w:val="none"/>
                      <w:lang w:val="en-US" w:eastAsia="zh-CN"/>
                    </w:rPr>
                  </w:pPr>
                  <w:r>
                    <w:rPr>
                      <w:rFonts w:hint="eastAsia"/>
                      <w:color w:val="auto"/>
                      <w:szCs w:val="21"/>
                      <w:highlight w:val="none"/>
                      <w:lang w:val="en-US" w:eastAsia="zh-CN"/>
                    </w:rPr>
                    <w:t>4</w:t>
                  </w:r>
                </w:p>
              </w:tc>
              <w:tc>
                <w:tcPr>
                  <w:tcW w:w="904" w:type="pct"/>
                  <w:vAlign w:val="center"/>
                </w:tcPr>
                <w:p w14:paraId="580C8C2B">
                  <w:pPr>
                    <w:jc w:val="center"/>
                    <w:rPr>
                      <w:rFonts w:hint="eastAsia" w:eastAsia="宋体"/>
                      <w:color w:val="auto"/>
                      <w:szCs w:val="21"/>
                      <w:highlight w:val="none"/>
                      <w:lang w:val="en-US" w:eastAsia="zh-CN"/>
                    </w:rPr>
                  </w:pPr>
                  <w:r>
                    <w:rPr>
                      <w:rFonts w:hint="eastAsia"/>
                      <w:color w:val="auto"/>
                      <w:szCs w:val="21"/>
                      <w:highlight w:val="none"/>
                      <w:lang w:val="en-US" w:eastAsia="zh-CN"/>
                    </w:rPr>
                    <w:t>地块三</w:t>
                  </w:r>
                  <w:r>
                    <w:rPr>
                      <w:rFonts w:hint="eastAsia"/>
                      <w:color w:val="auto"/>
                      <w:szCs w:val="21"/>
                      <w:highlight w:val="none"/>
                    </w:rPr>
                    <w:t>初期雨水池</w:t>
                  </w:r>
                </w:p>
              </w:tc>
              <w:tc>
                <w:tcPr>
                  <w:tcW w:w="1884" w:type="pct"/>
                  <w:vAlign w:val="center"/>
                </w:tcPr>
                <w:p w14:paraId="0E955669">
                  <w:pPr>
                    <w:jc w:val="center"/>
                    <w:rPr>
                      <w:color w:val="auto"/>
                      <w:szCs w:val="21"/>
                      <w:highlight w:val="none"/>
                    </w:rPr>
                  </w:pPr>
                  <w:r>
                    <w:rPr>
                      <w:color w:val="auto"/>
                      <w:szCs w:val="21"/>
                      <w:highlight w:val="none"/>
                    </w:rPr>
                    <w:t>一个容积为</w:t>
                  </w:r>
                  <w:r>
                    <w:rPr>
                      <w:rFonts w:hint="eastAsia"/>
                      <w:color w:val="auto"/>
                      <w:szCs w:val="21"/>
                      <w:highlight w:val="none"/>
                      <w:lang w:val="en-US" w:eastAsia="zh-CN"/>
                    </w:rPr>
                    <w:t>5</w:t>
                  </w:r>
                  <w:r>
                    <w:rPr>
                      <w:rFonts w:hint="eastAsia"/>
                      <w:color w:val="auto"/>
                      <w:szCs w:val="21"/>
                      <w:highlight w:val="none"/>
                    </w:rPr>
                    <w:t>0</w:t>
                  </w:r>
                  <w:r>
                    <w:rPr>
                      <w:color w:val="auto"/>
                      <w:szCs w:val="21"/>
                      <w:highlight w:val="none"/>
                    </w:rPr>
                    <w:t>m</w:t>
                  </w:r>
                  <w:r>
                    <w:rPr>
                      <w:color w:val="auto"/>
                      <w:szCs w:val="21"/>
                      <w:highlight w:val="none"/>
                      <w:vertAlign w:val="superscript"/>
                    </w:rPr>
                    <w:t>3</w:t>
                  </w:r>
                </w:p>
              </w:tc>
              <w:tc>
                <w:tcPr>
                  <w:tcW w:w="818" w:type="pct"/>
                  <w:vAlign w:val="center"/>
                </w:tcPr>
                <w:p w14:paraId="17582087">
                  <w:pPr>
                    <w:jc w:val="center"/>
                    <w:rPr>
                      <w:rFonts w:hint="default" w:eastAsia="宋体"/>
                      <w:color w:val="auto"/>
                      <w:szCs w:val="21"/>
                      <w:highlight w:val="none"/>
                      <w:lang w:val="en-US" w:eastAsia="zh-CN"/>
                    </w:rPr>
                  </w:pPr>
                  <w:r>
                    <w:rPr>
                      <w:rFonts w:hint="eastAsia"/>
                      <w:color w:val="auto"/>
                      <w:szCs w:val="21"/>
                      <w:highlight w:val="none"/>
                      <w:lang w:val="en-US" w:eastAsia="zh-CN"/>
                    </w:rPr>
                    <w:t>2.5</w:t>
                  </w:r>
                </w:p>
              </w:tc>
            </w:tr>
            <w:tr w14:paraId="44DE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0668E118">
                  <w:pPr>
                    <w:jc w:val="center"/>
                    <w:rPr>
                      <w:color w:val="auto"/>
                      <w:szCs w:val="21"/>
                      <w:highlight w:val="none"/>
                    </w:rPr>
                  </w:pPr>
                </w:p>
              </w:tc>
              <w:tc>
                <w:tcPr>
                  <w:tcW w:w="492" w:type="pct"/>
                  <w:vAlign w:val="center"/>
                </w:tcPr>
                <w:p w14:paraId="0DF254CA">
                  <w:pPr>
                    <w:jc w:val="center"/>
                    <w:rPr>
                      <w:color w:val="auto"/>
                      <w:szCs w:val="21"/>
                      <w:highlight w:val="none"/>
                    </w:rPr>
                  </w:pPr>
                  <w:r>
                    <w:rPr>
                      <w:rFonts w:hint="eastAsia"/>
                      <w:color w:val="auto"/>
                      <w:szCs w:val="21"/>
                      <w:highlight w:val="none"/>
                    </w:rPr>
                    <w:t>4</w:t>
                  </w:r>
                </w:p>
              </w:tc>
              <w:tc>
                <w:tcPr>
                  <w:tcW w:w="904" w:type="pct"/>
                  <w:vAlign w:val="center"/>
                </w:tcPr>
                <w:p w14:paraId="236D669A">
                  <w:pPr>
                    <w:jc w:val="center"/>
                    <w:rPr>
                      <w:color w:val="auto"/>
                      <w:szCs w:val="21"/>
                      <w:highlight w:val="none"/>
                    </w:rPr>
                  </w:pPr>
                  <w:r>
                    <w:rPr>
                      <w:color w:val="auto"/>
                      <w:szCs w:val="21"/>
                      <w:highlight w:val="none"/>
                    </w:rPr>
                    <w:t>废气处理</w:t>
                  </w:r>
                </w:p>
              </w:tc>
              <w:tc>
                <w:tcPr>
                  <w:tcW w:w="1884" w:type="pct"/>
                  <w:vAlign w:val="center"/>
                </w:tcPr>
                <w:p w14:paraId="6575BF4B">
                  <w:pPr>
                    <w:jc w:val="center"/>
                    <w:rPr>
                      <w:color w:val="auto"/>
                      <w:szCs w:val="21"/>
                      <w:highlight w:val="none"/>
                    </w:rPr>
                  </w:pPr>
                  <w:r>
                    <w:rPr>
                      <w:color w:val="auto"/>
                      <w:szCs w:val="21"/>
                      <w:highlight w:val="none"/>
                    </w:rPr>
                    <w:t>设置围挡、洒水抑尘、运输车辆篷布遮盖运输</w:t>
                  </w:r>
                </w:p>
              </w:tc>
              <w:tc>
                <w:tcPr>
                  <w:tcW w:w="818" w:type="pct"/>
                  <w:vAlign w:val="center"/>
                </w:tcPr>
                <w:p w14:paraId="0457C395">
                  <w:pPr>
                    <w:jc w:val="center"/>
                    <w:rPr>
                      <w:color w:val="auto"/>
                      <w:szCs w:val="21"/>
                      <w:highlight w:val="none"/>
                    </w:rPr>
                  </w:pPr>
                  <w:r>
                    <w:rPr>
                      <w:color w:val="auto"/>
                      <w:szCs w:val="21"/>
                      <w:highlight w:val="none"/>
                    </w:rPr>
                    <w:t>0.5</w:t>
                  </w:r>
                </w:p>
              </w:tc>
            </w:tr>
            <w:tr w14:paraId="02E1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160F064F">
                  <w:pPr>
                    <w:jc w:val="center"/>
                    <w:rPr>
                      <w:color w:val="auto"/>
                      <w:szCs w:val="21"/>
                      <w:highlight w:val="none"/>
                    </w:rPr>
                  </w:pPr>
                </w:p>
              </w:tc>
              <w:tc>
                <w:tcPr>
                  <w:tcW w:w="492" w:type="pct"/>
                  <w:vAlign w:val="center"/>
                </w:tcPr>
                <w:p w14:paraId="45609146">
                  <w:pPr>
                    <w:jc w:val="center"/>
                    <w:rPr>
                      <w:color w:val="auto"/>
                      <w:szCs w:val="21"/>
                      <w:highlight w:val="none"/>
                    </w:rPr>
                  </w:pPr>
                  <w:r>
                    <w:rPr>
                      <w:rFonts w:hint="eastAsia"/>
                      <w:color w:val="auto"/>
                      <w:szCs w:val="21"/>
                      <w:highlight w:val="none"/>
                    </w:rPr>
                    <w:t>5</w:t>
                  </w:r>
                </w:p>
              </w:tc>
              <w:tc>
                <w:tcPr>
                  <w:tcW w:w="904" w:type="pct"/>
                  <w:vAlign w:val="center"/>
                </w:tcPr>
                <w:p w14:paraId="6DF0FEF7">
                  <w:pPr>
                    <w:jc w:val="center"/>
                    <w:rPr>
                      <w:color w:val="auto"/>
                      <w:szCs w:val="21"/>
                      <w:highlight w:val="none"/>
                    </w:rPr>
                  </w:pPr>
                  <w:r>
                    <w:rPr>
                      <w:color w:val="auto"/>
                      <w:szCs w:val="21"/>
                      <w:highlight w:val="none"/>
                    </w:rPr>
                    <w:t>噪声</w:t>
                  </w:r>
                </w:p>
              </w:tc>
              <w:tc>
                <w:tcPr>
                  <w:tcW w:w="1884" w:type="pct"/>
                  <w:vAlign w:val="center"/>
                </w:tcPr>
                <w:p w14:paraId="752EE22E">
                  <w:pPr>
                    <w:jc w:val="center"/>
                    <w:rPr>
                      <w:color w:val="auto"/>
                      <w:szCs w:val="21"/>
                      <w:highlight w:val="none"/>
                    </w:rPr>
                  </w:pPr>
                  <w:r>
                    <w:rPr>
                      <w:color w:val="auto"/>
                      <w:szCs w:val="21"/>
                      <w:highlight w:val="none"/>
                    </w:rPr>
                    <w:t>施工设备安装减震垫</w:t>
                  </w:r>
                </w:p>
              </w:tc>
              <w:tc>
                <w:tcPr>
                  <w:tcW w:w="818" w:type="pct"/>
                  <w:vAlign w:val="center"/>
                </w:tcPr>
                <w:p w14:paraId="72C634F3">
                  <w:pPr>
                    <w:jc w:val="center"/>
                    <w:rPr>
                      <w:color w:val="auto"/>
                      <w:szCs w:val="21"/>
                      <w:highlight w:val="none"/>
                    </w:rPr>
                  </w:pPr>
                  <w:r>
                    <w:rPr>
                      <w:color w:val="auto"/>
                      <w:szCs w:val="21"/>
                      <w:highlight w:val="none"/>
                    </w:rPr>
                    <w:t>0.1</w:t>
                  </w:r>
                </w:p>
              </w:tc>
            </w:tr>
            <w:tr w14:paraId="5420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gridSpan w:val="2"/>
                  <w:vMerge w:val="continue"/>
                  <w:vAlign w:val="center"/>
                </w:tcPr>
                <w:p w14:paraId="6DE17A05">
                  <w:pPr>
                    <w:jc w:val="center"/>
                    <w:rPr>
                      <w:color w:val="auto"/>
                      <w:szCs w:val="21"/>
                      <w:highlight w:val="none"/>
                    </w:rPr>
                  </w:pPr>
                </w:p>
              </w:tc>
              <w:tc>
                <w:tcPr>
                  <w:tcW w:w="492" w:type="pct"/>
                  <w:vAlign w:val="center"/>
                </w:tcPr>
                <w:p w14:paraId="5AE872DC">
                  <w:pPr>
                    <w:jc w:val="center"/>
                    <w:rPr>
                      <w:color w:val="auto"/>
                      <w:szCs w:val="21"/>
                      <w:highlight w:val="none"/>
                    </w:rPr>
                  </w:pPr>
                  <w:r>
                    <w:rPr>
                      <w:rFonts w:hint="eastAsia"/>
                      <w:color w:val="auto"/>
                      <w:szCs w:val="21"/>
                      <w:highlight w:val="none"/>
                    </w:rPr>
                    <w:t>6</w:t>
                  </w:r>
                </w:p>
              </w:tc>
              <w:tc>
                <w:tcPr>
                  <w:tcW w:w="904" w:type="pct"/>
                  <w:vAlign w:val="center"/>
                </w:tcPr>
                <w:p w14:paraId="50F0F7AE">
                  <w:pPr>
                    <w:jc w:val="center"/>
                    <w:rPr>
                      <w:color w:val="auto"/>
                      <w:szCs w:val="21"/>
                      <w:highlight w:val="none"/>
                    </w:rPr>
                  </w:pPr>
                  <w:r>
                    <w:rPr>
                      <w:color w:val="auto"/>
                      <w:szCs w:val="21"/>
                      <w:highlight w:val="none"/>
                    </w:rPr>
                    <w:t>固废</w:t>
                  </w:r>
                </w:p>
              </w:tc>
              <w:tc>
                <w:tcPr>
                  <w:tcW w:w="1884" w:type="pct"/>
                  <w:vAlign w:val="center"/>
                </w:tcPr>
                <w:p w14:paraId="4BF83903">
                  <w:pPr>
                    <w:jc w:val="center"/>
                    <w:rPr>
                      <w:color w:val="auto"/>
                      <w:szCs w:val="21"/>
                      <w:highlight w:val="none"/>
                    </w:rPr>
                  </w:pPr>
                  <w:r>
                    <w:rPr>
                      <w:color w:val="auto"/>
                      <w:szCs w:val="21"/>
                      <w:highlight w:val="none"/>
                    </w:rPr>
                    <w:t>建筑垃圾收集袋若干</w:t>
                  </w:r>
                </w:p>
              </w:tc>
              <w:tc>
                <w:tcPr>
                  <w:tcW w:w="818" w:type="pct"/>
                  <w:vAlign w:val="center"/>
                </w:tcPr>
                <w:p w14:paraId="098E96B6">
                  <w:pPr>
                    <w:jc w:val="center"/>
                    <w:rPr>
                      <w:rFonts w:hint="eastAsia" w:eastAsia="宋体"/>
                      <w:color w:val="auto"/>
                      <w:szCs w:val="21"/>
                      <w:highlight w:val="none"/>
                      <w:lang w:eastAsia="zh-CN"/>
                    </w:rPr>
                  </w:pPr>
                  <w:r>
                    <w:rPr>
                      <w:rFonts w:hint="eastAsia"/>
                      <w:color w:val="auto"/>
                      <w:szCs w:val="21"/>
                      <w:highlight w:val="none"/>
                      <w:lang w:val="en-US" w:eastAsia="zh-CN"/>
                    </w:rPr>
                    <w:t>1</w:t>
                  </w:r>
                </w:p>
              </w:tc>
            </w:tr>
            <w:tr w14:paraId="3BCA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restart"/>
                  <w:vAlign w:val="center"/>
                </w:tcPr>
                <w:p w14:paraId="61304209">
                  <w:pPr>
                    <w:jc w:val="center"/>
                    <w:rPr>
                      <w:color w:val="auto"/>
                      <w:szCs w:val="21"/>
                      <w:highlight w:val="none"/>
                    </w:rPr>
                  </w:pPr>
                  <w:r>
                    <w:rPr>
                      <w:rFonts w:hint="eastAsia"/>
                      <w:color w:val="auto"/>
                      <w:szCs w:val="21"/>
                      <w:highlight w:val="none"/>
                    </w:rPr>
                    <w:t>运营期</w:t>
                  </w:r>
                </w:p>
              </w:tc>
              <w:tc>
                <w:tcPr>
                  <w:tcW w:w="492" w:type="pct"/>
                  <w:vAlign w:val="center"/>
                </w:tcPr>
                <w:p w14:paraId="44A61298">
                  <w:pPr>
                    <w:jc w:val="center"/>
                    <w:rPr>
                      <w:color w:val="auto"/>
                      <w:szCs w:val="21"/>
                      <w:highlight w:val="none"/>
                    </w:rPr>
                  </w:pPr>
                  <w:r>
                    <w:rPr>
                      <w:rFonts w:hint="eastAsia"/>
                      <w:color w:val="auto"/>
                      <w:szCs w:val="21"/>
                      <w:highlight w:val="none"/>
                    </w:rPr>
                    <w:t>废水</w:t>
                  </w:r>
                </w:p>
              </w:tc>
              <w:tc>
                <w:tcPr>
                  <w:tcW w:w="492" w:type="pct"/>
                  <w:vAlign w:val="center"/>
                </w:tcPr>
                <w:p w14:paraId="7B632DE7">
                  <w:pPr>
                    <w:jc w:val="center"/>
                    <w:rPr>
                      <w:color w:val="auto"/>
                      <w:szCs w:val="21"/>
                      <w:highlight w:val="none"/>
                    </w:rPr>
                  </w:pPr>
                  <w:r>
                    <w:rPr>
                      <w:rFonts w:hint="eastAsia"/>
                      <w:color w:val="auto"/>
                      <w:szCs w:val="21"/>
                      <w:highlight w:val="none"/>
                    </w:rPr>
                    <w:t>1</w:t>
                  </w:r>
                </w:p>
              </w:tc>
              <w:tc>
                <w:tcPr>
                  <w:tcW w:w="904" w:type="pct"/>
                  <w:vAlign w:val="center"/>
                </w:tcPr>
                <w:p w14:paraId="30C6D447">
                  <w:pPr>
                    <w:jc w:val="center"/>
                    <w:rPr>
                      <w:color w:val="auto"/>
                      <w:szCs w:val="21"/>
                      <w:highlight w:val="none"/>
                    </w:rPr>
                  </w:pPr>
                  <w:r>
                    <w:rPr>
                      <w:color w:val="auto"/>
                      <w:szCs w:val="21"/>
                      <w:highlight w:val="none"/>
                    </w:rPr>
                    <w:t>化粪池</w:t>
                  </w:r>
                </w:p>
              </w:tc>
              <w:tc>
                <w:tcPr>
                  <w:tcW w:w="1884" w:type="pct"/>
                  <w:vAlign w:val="center"/>
                </w:tcPr>
                <w:p w14:paraId="622A2C66">
                  <w:pPr>
                    <w:jc w:val="center"/>
                    <w:rPr>
                      <w:color w:val="auto"/>
                      <w:szCs w:val="21"/>
                      <w:highlight w:val="none"/>
                    </w:rPr>
                  </w:pPr>
                  <w:r>
                    <w:rPr>
                      <w:rFonts w:hint="eastAsia"/>
                      <w:color w:val="auto"/>
                      <w:szCs w:val="21"/>
                      <w:highlight w:val="none"/>
                      <w:lang w:val="en-US" w:eastAsia="zh-CN"/>
                    </w:rPr>
                    <w:t>地块三</w:t>
                  </w:r>
                  <w:r>
                    <w:rPr>
                      <w:color w:val="auto"/>
                      <w:szCs w:val="21"/>
                      <w:highlight w:val="none"/>
                    </w:rPr>
                    <w:t>一个容积为</w:t>
                  </w:r>
                  <w:r>
                    <w:rPr>
                      <w:rFonts w:hint="eastAsia"/>
                      <w:color w:val="auto"/>
                      <w:szCs w:val="21"/>
                      <w:highlight w:val="none"/>
                      <w:lang w:val="en-US" w:eastAsia="zh-CN"/>
                    </w:rPr>
                    <w:t>25</w:t>
                  </w:r>
                  <w:r>
                    <w:rPr>
                      <w:color w:val="auto"/>
                      <w:szCs w:val="21"/>
                      <w:highlight w:val="none"/>
                    </w:rPr>
                    <w:t>m</w:t>
                  </w:r>
                  <w:r>
                    <w:rPr>
                      <w:color w:val="auto"/>
                      <w:szCs w:val="21"/>
                      <w:highlight w:val="none"/>
                      <w:vertAlign w:val="superscript"/>
                    </w:rPr>
                    <w:t>3</w:t>
                  </w:r>
                </w:p>
              </w:tc>
              <w:tc>
                <w:tcPr>
                  <w:tcW w:w="818" w:type="pct"/>
                  <w:vAlign w:val="center"/>
                </w:tcPr>
                <w:p w14:paraId="2BB9D226">
                  <w:pPr>
                    <w:jc w:val="center"/>
                    <w:rPr>
                      <w:rFonts w:hint="eastAsia" w:eastAsia="宋体"/>
                      <w:color w:val="auto"/>
                      <w:szCs w:val="21"/>
                      <w:highlight w:val="none"/>
                      <w:lang w:eastAsia="zh-CN"/>
                    </w:rPr>
                  </w:pPr>
                  <w:r>
                    <w:rPr>
                      <w:rFonts w:hint="eastAsia"/>
                      <w:color w:val="auto"/>
                      <w:szCs w:val="21"/>
                      <w:highlight w:val="none"/>
                      <w:lang w:val="en-US" w:eastAsia="zh-CN"/>
                    </w:rPr>
                    <w:t>3</w:t>
                  </w:r>
                </w:p>
              </w:tc>
            </w:tr>
            <w:tr w14:paraId="13BE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4B01444E">
                  <w:pPr>
                    <w:jc w:val="center"/>
                    <w:rPr>
                      <w:color w:val="auto"/>
                      <w:szCs w:val="21"/>
                      <w:highlight w:val="none"/>
                    </w:rPr>
                  </w:pPr>
                </w:p>
              </w:tc>
              <w:tc>
                <w:tcPr>
                  <w:tcW w:w="492" w:type="pct"/>
                  <w:vAlign w:val="center"/>
                </w:tcPr>
                <w:p w14:paraId="611BCBA4">
                  <w:pPr>
                    <w:jc w:val="center"/>
                    <w:rPr>
                      <w:color w:val="auto"/>
                      <w:szCs w:val="21"/>
                      <w:highlight w:val="none"/>
                    </w:rPr>
                  </w:pPr>
                  <w:r>
                    <w:rPr>
                      <w:rFonts w:hint="eastAsia"/>
                      <w:color w:val="auto"/>
                      <w:szCs w:val="21"/>
                      <w:highlight w:val="none"/>
                    </w:rPr>
                    <w:t>噪声</w:t>
                  </w:r>
                </w:p>
              </w:tc>
              <w:tc>
                <w:tcPr>
                  <w:tcW w:w="492" w:type="pct"/>
                  <w:vAlign w:val="center"/>
                </w:tcPr>
                <w:p w14:paraId="21C514AE">
                  <w:pPr>
                    <w:jc w:val="center"/>
                    <w:rPr>
                      <w:color w:val="auto"/>
                      <w:szCs w:val="21"/>
                      <w:highlight w:val="none"/>
                    </w:rPr>
                  </w:pPr>
                  <w:r>
                    <w:rPr>
                      <w:rFonts w:hint="eastAsia"/>
                      <w:color w:val="auto"/>
                      <w:szCs w:val="21"/>
                      <w:highlight w:val="none"/>
                    </w:rPr>
                    <w:t>2</w:t>
                  </w:r>
                </w:p>
              </w:tc>
              <w:tc>
                <w:tcPr>
                  <w:tcW w:w="904" w:type="pct"/>
                  <w:vAlign w:val="center"/>
                </w:tcPr>
                <w:p w14:paraId="6CEB22CE">
                  <w:pPr>
                    <w:jc w:val="center"/>
                    <w:rPr>
                      <w:color w:val="auto"/>
                      <w:szCs w:val="21"/>
                      <w:highlight w:val="none"/>
                    </w:rPr>
                  </w:pPr>
                  <w:r>
                    <w:rPr>
                      <w:rFonts w:hint="eastAsia"/>
                      <w:color w:val="auto"/>
                      <w:szCs w:val="21"/>
                      <w:highlight w:val="none"/>
                    </w:rPr>
                    <w:t>运输噪声</w:t>
                  </w:r>
                </w:p>
              </w:tc>
              <w:tc>
                <w:tcPr>
                  <w:tcW w:w="1884" w:type="pct"/>
                  <w:vAlign w:val="center"/>
                </w:tcPr>
                <w:p w14:paraId="31E3E5E5">
                  <w:pPr>
                    <w:jc w:val="center"/>
                    <w:rPr>
                      <w:color w:val="auto"/>
                      <w:szCs w:val="21"/>
                      <w:highlight w:val="none"/>
                    </w:rPr>
                  </w:pPr>
                  <w:r>
                    <w:rPr>
                      <w:rFonts w:hint="eastAsia"/>
                      <w:color w:val="auto"/>
                      <w:szCs w:val="21"/>
                      <w:highlight w:val="none"/>
                    </w:rPr>
                    <w:t>站内设“限速”、“禁鸣”标识。</w:t>
                  </w:r>
                </w:p>
              </w:tc>
              <w:tc>
                <w:tcPr>
                  <w:tcW w:w="818" w:type="pct"/>
                  <w:vAlign w:val="center"/>
                </w:tcPr>
                <w:p w14:paraId="473FFED6">
                  <w:pPr>
                    <w:jc w:val="center"/>
                    <w:rPr>
                      <w:color w:val="auto"/>
                      <w:szCs w:val="21"/>
                      <w:highlight w:val="none"/>
                    </w:rPr>
                  </w:pPr>
                  <w:r>
                    <w:rPr>
                      <w:rFonts w:hint="eastAsia"/>
                      <w:color w:val="auto"/>
                      <w:szCs w:val="21"/>
                      <w:highlight w:val="none"/>
                    </w:rPr>
                    <w:t>0.01</w:t>
                  </w:r>
                </w:p>
              </w:tc>
            </w:tr>
            <w:tr w14:paraId="0FAB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51483394">
                  <w:pPr>
                    <w:jc w:val="center"/>
                    <w:rPr>
                      <w:color w:val="auto"/>
                      <w:szCs w:val="21"/>
                      <w:highlight w:val="none"/>
                    </w:rPr>
                  </w:pPr>
                </w:p>
              </w:tc>
              <w:tc>
                <w:tcPr>
                  <w:tcW w:w="492" w:type="pct"/>
                  <w:vAlign w:val="center"/>
                </w:tcPr>
                <w:p w14:paraId="327BAE41">
                  <w:pPr>
                    <w:jc w:val="center"/>
                    <w:rPr>
                      <w:color w:val="auto"/>
                      <w:szCs w:val="21"/>
                      <w:highlight w:val="none"/>
                    </w:rPr>
                  </w:pPr>
                  <w:r>
                    <w:rPr>
                      <w:rFonts w:hint="eastAsia"/>
                      <w:color w:val="auto"/>
                      <w:szCs w:val="21"/>
                      <w:highlight w:val="none"/>
                    </w:rPr>
                    <w:t>固废</w:t>
                  </w:r>
                </w:p>
              </w:tc>
              <w:tc>
                <w:tcPr>
                  <w:tcW w:w="492" w:type="pct"/>
                  <w:vAlign w:val="center"/>
                </w:tcPr>
                <w:p w14:paraId="63409018">
                  <w:pPr>
                    <w:jc w:val="center"/>
                    <w:rPr>
                      <w:color w:val="auto"/>
                      <w:szCs w:val="21"/>
                      <w:highlight w:val="none"/>
                    </w:rPr>
                  </w:pPr>
                  <w:r>
                    <w:rPr>
                      <w:rFonts w:hint="eastAsia"/>
                      <w:color w:val="auto"/>
                      <w:szCs w:val="21"/>
                      <w:highlight w:val="none"/>
                    </w:rPr>
                    <w:t>3</w:t>
                  </w:r>
                </w:p>
              </w:tc>
              <w:tc>
                <w:tcPr>
                  <w:tcW w:w="904" w:type="pct"/>
                  <w:vAlign w:val="center"/>
                </w:tcPr>
                <w:p w14:paraId="2D287262">
                  <w:pPr>
                    <w:jc w:val="center"/>
                    <w:rPr>
                      <w:color w:val="auto"/>
                      <w:szCs w:val="21"/>
                      <w:highlight w:val="none"/>
                    </w:rPr>
                  </w:pPr>
                  <w:r>
                    <w:rPr>
                      <w:color w:val="auto"/>
                      <w:szCs w:val="21"/>
                      <w:highlight w:val="none"/>
                    </w:rPr>
                    <w:t>垃圾桶</w:t>
                  </w:r>
                </w:p>
              </w:tc>
              <w:tc>
                <w:tcPr>
                  <w:tcW w:w="1884" w:type="pct"/>
                  <w:vAlign w:val="center"/>
                </w:tcPr>
                <w:p w14:paraId="4286CBB4">
                  <w:pPr>
                    <w:jc w:val="center"/>
                    <w:rPr>
                      <w:color w:val="auto"/>
                      <w:szCs w:val="21"/>
                      <w:highlight w:val="none"/>
                    </w:rPr>
                  </w:pPr>
                  <w:r>
                    <w:rPr>
                      <w:color w:val="auto"/>
                      <w:szCs w:val="21"/>
                      <w:highlight w:val="none"/>
                    </w:rPr>
                    <w:t>/</w:t>
                  </w:r>
                </w:p>
              </w:tc>
              <w:tc>
                <w:tcPr>
                  <w:tcW w:w="818" w:type="pct"/>
                  <w:vAlign w:val="center"/>
                </w:tcPr>
                <w:p w14:paraId="3F036D46">
                  <w:pPr>
                    <w:jc w:val="center"/>
                    <w:rPr>
                      <w:color w:val="auto"/>
                      <w:szCs w:val="21"/>
                      <w:highlight w:val="none"/>
                    </w:rPr>
                  </w:pPr>
                  <w:r>
                    <w:rPr>
                      <w:color w:val="auto"/>
                      <w:szCs w:val="21"/>
                      <w:highlight w:val="none"/>
                    </w:rPr>
                    <w:t>0.5</w:t>
                  </w:r>
                </w:p>
              </w:tc>
            </w:tr>
            <w:tr w14:paraId="28A9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6643DCEF">
                  <w:pPr>
                    <w:jc w:val="center"/>
                    <w:rPr>
                      <w:color w:val="auto"/>
                      <w:szCs w:val="21"/>
                      <w:highlight w:val="none"/>
                    </w:rPr>
                  </w:pPr>
                </w:p>
              </w:tc>
              <w:tc>
                <w:tcPr>
                  <w:tcW w:w="492" w:type="pct"/>
                  <w:vAlign w:val="center"/>
                </w:tcPr>
                <w:p w14:paraId="1A62907B">
                  <w:pPr>
                    <w:jc w:val="center"/>
                    <w:rPr>
                      <w:color w:val="auto"/>
                      <w:szCs w:val="21"/>
                      <w:highlight w:val="none"/>
                    </w:rPr>
                  </w:pPr>
                  <w:r>
                    <w:rPr>
                      <w:rFonts w:hint="eastAsia"/>
                      <w:color w:val="auto"/>
                      <w:szCs w:val="21"/>
                      <w:highlight w:val="none"/>
                    </w:rPr>
                    <w:t>生态</w:t>
                  </w:r>
                </w:p>
              </w:tc>
              <w:tc>
                <w:tcPr>
                  <w:tcW w:w="492" w:type="pct"/>
                  <w:vAlign w:val="center"/>
                </w:tcPr>
                <w:p w14:paraId="6802EA53">
                  <w:pPr>
                    <w:jc w:val="center"/>
                    <w:rPr>
                      <w:rFonts w:hint="eastAsia" w:eastAsia="宋体"/>
                      <w:color w:val="auto"/>
                      <w:szCs w:val="21"/>
                      <w:highlight w:val="none"/>
                      <w:lang w:eastAsia="zh-CN"/>
                    </w:rPr>
                  </w:pPr>
                  <w:r>
                    <w:rPr>
                      <w:rFonts w:hint="eastAsia"/>
                      <w:color w:val="auto"/>
                      <w:szCs w:val="21"/>
                      <w:highlight w:val="none"/>
                      <w:lang w:val="en-US" w:eastAsia="zh-CN"/>
                    </w:rPr>
                    <w:t>4</w:t>
                  </w:r>
                </w:p>
              </w:tc>
              <w:tc>
                <w:tcPr>
                  <w:tcW w:w="904" w:type="pct"/>
                  <w:vAlign w:val="center"/>
                </w:tcPr>
                <w:p w14:paraId="21533F83">
                  <w:pPr>
                    <w:jc w:val="center"/>
                    <w:rPr>
                      <w:color w:val="auto"/>
                      <w:szCs w:val="21"/>
                      <w:highlight w:val="none"/>
                    </w:rPr>
                  </w:pPr>
                  <w:r>
                    <w:rPr>
                      <w:color w:val="auto"/>
                      <w:szCs w:val="21"/>
                      <w:highlight w:val="none"/>
                    </w:rPr>
                    <w:t>绿化</w:t>
                  </w:r>
                </w:p>
              </w:tc>
              <w:tc>
                <w:tcPr>
                  <w:tcW w:w="1884" w:type="pct"/>
                  <w:vAlign w:val="center"/>
                </w:tcPr>
                <w:p w14:paraId="02DA0A33">
                  <w:pPr>
                    <w:jc w:val="center"/>
                    <w:rPr>
                      <w:color w:val="auto"/>
                      <w:szCs w:val="21"/>
                      <w:highlight w:val="none"/>
                    </w:rPr>
                  </w:pPr>
                  <w:r>
                    <w:rPr>
                      <w:color w:val="auto"/>
                      <w:szCs w:val="21"/>
                      <w:highlight w:val="none"/>
                    </w:rPr>
                    <w:t>绿化面积</w:t>
                  </w:r>
                  <w:r>
                    <w:rPr>
                      <w:rFonts w:hint="eastAsia"/>
                      <w:color w:val="auto"/>
                      <w:szCs w:val="21"/>
                      <w:highlight w:val="none"/>
                      <w:lang w:val="en-US" w:eastAsia="zh-CN"/>
                    </w:rPr>
                    <w:t>1262</w:t>
                  </w:r>
                  <w:r>
                    <w:rPr>
                      <w:color w:val="auto"/>
                      <w:szCs w:val="21"/>
                      <w:highlight w:val="none"/>
                    </w:rPr>
                    <w:t>m</w:t>
                  </w:r>
                  <w:r>
                    <w:rPr>
                      <w:color w:val="auto"/>
                      <w:szCs w:val="21"/>
                      <w:highlight w:val="none"/>
                      <w:vertAlign w:val="superscript"/>
                    </w:rPr>
                    <w:t>2</w:t>
                  </w:r>
                </w:p>
              </w:tc>
              <w:tc>
                <w:tcPr>
                  <w:tcW w:w="818" w:type="pct"/>
                  <w:vAlign w:val="center"/>
                </w:tcPr>
                <w:p w14:paraId="4B304D11">
                  <w:pPr>
                    <w:jc w:val="center"/>
                    <w:rPr>
                      <w:rFonts w:hint="eastAsia" w:eastAsia="宋体"/>
                      <w:color w:val="auto"/>
                      <w:szCs w:val="21"/>
                      <w:highlight w:val="none"/>
                      <w:lang w:eastAsia="zh-CN"/>
                    </w:rPr>
                  </w:pPr>
                  <w:r>
                    <w:rPr>
                      <w:rFonts w:hint="eastAsia"/>
                      <w:color w:val="auto"/>
                      <w:szCs w:val="21"/>
                      <w:highlight w:val="none"/>
                      <w:lang w:val="en-US" w:eastAsia="zh-CN"/>
                    </w:rPr>
                    <w:t>8</w:t>
                  </w:r>
                </w:p>
              </w:tc>
            </w:tr>
            <w:tr w14:paraId="03F4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6A37A109">
                  <w:pPr>
                    <w:jc w:val="center"/>
                    <w:rPr>
                      <w:color w:val="auto"/>
                      <w:szCs w:val="21"/>
                      <w:highlight w:val="none"/>
                    </w:rPr>
                  </w:pPr>
                </w:p>
              </w:tc>
              <w:tc>
                <w:tcPr>
                  <w:tcW w:w="492" w:type="pct"/>
                  <w:vMerge w:val="restart"/>
                  <w:vAlign w:val="center"/>
                </w:tcPr>
                <w:p w14:paraId="261592F0">
                  <w:pPr>
                    <w:jc w:val="center"/>
                    <w:rPr>
                      <w:color w:val="auto"/>
                      <w:szCs w:val="21"/>
                      <w:highlight w:val="none"/>
                    </w:rPr>
                  </w:pPr>
                  <w:r>
                    <w:rPr>
                      <w:rFonts w:hint="eastAsia"/>
                      <w:color w:val="auto"/>
                      <w:highlight w:val="none"/>
                    </w:rPr>
                    <w:t>风险防范设施</w:t>
                  </w:r>
                </w:p>
              </w:tc>
              <w:tc>
                <w:tcPr>
                  <w:tcW w:w="492" w:type="pct"/>
                  <w:vAlign w:val="center"/>
                </w:tcPr>
                <w:p w14:paraId="150B755D">
                  <w:pPr>
                    <w:jc w:val="center"/>
                    <w:rPr>
                      <w:rFonts w:hint="eastAsia" w:eastAsia="宋体"/>
                      <w:color w:val="auto"/>
                      <w:szCs w:val="21"/>
                      <w:highlight w:val="none"/>
                      <w:lang w:val="en-US" w:eastAsia="zh-CN"/>
                    </w:rPr>
                  </w:pPr>
                  <w:r>
                    <w:rPr>
                      <w:rFonts w:hint="eastAsia"/>
                      <w:color w:val="auto"/>
                      <w:szCs w:val="21"/>
                      <w:highlight w:val="none"/>
                      <w:lang w:val="en-US" w:eastAsia="zh-CN"/>
                    </w:rPr>
                    <w:t>5</w:t>
                  </w:r>
                </w:p>
              </w:tc>
              <w:tc>
                <w:tcPr>
                  <w:tcW w:w="904" w:type="pct"/>
                  <w:vAlign w:val="center"/>
                </w:tcPr>
                <w:p w14:paraId="290B66C3">
                  <w:pPr>
                    <w:jc w:val="center"/>
                    <w:rPr>
                      <w:color w:val="auto"/>
                      <w:szCs w:val="21"/>
                      <w:highlight w:val="none"/>
                    </w:rPr>
                  </w:pPr>
                  <w:r>
                    <w:rPr>
                      <w:color w:val="auto"/>
                      <w:szCs w:val="21"/>
                      <w:highlight w:val="none"/>
                    </w:rPr>
                    <w:t>地块一事故池</w:t>
                  </w:r>
                </w:p>
              </w:tc>
              <w:tc>
                <w:tcPr>
                  <w:tcW w:w="1884" w:type="pct"/>
                  <w:vAlign w:val="center"/>
                </w:tcPr>
                <w:p w14:paraId="2644A220">
                  <w:pPr>
                    <w:jc w:val="center"/>
                    <w:rPr>
                      <w:color w:val="auto"/>
                      <w:szCs w:val="21"/>
                      <w:highlight w:val="none"/>
                    </w:rPr>
                  </w:pPr>
                  <w:r>
                    <w:rPr>
                      <w:color w:val="auto"/>
                      <w:szCs w:val="21"/>
                      <w:highlight w:val="none"/>
                    </w:rPr>
                    <w:t>一个容积为1</w:t>
                  </w:r>
                  <w:r>
                    <w:rPr>
                      <w:rFonts w:hint="eastAsia"/>
                      <w:color w:val="auto"/>
                      <w:szCs w:val="21"/>
                      <w:highlight w:val="none"/>
                      <w:lang w:val="en-US" w:eastAsia="zh-CN"/>
                    </w:rPr>
                    <w:t>4</w:t>
                  </w:r>
                  <w:r>
                    <w:rPr>
                      <w:color w:val="auto"/>
                      <w:szCs w:val="21"/>
                      <w:highlight w:val="none"/>
                    </w:rPr>
                    <w:t>0m</w:t>
                  </w:r>
                  <w:r>
                    <w:rPr>
                      <w:color w:val="auto"/>
                      <w:szCs w:val="21"/>
                      <w:highlight w:val="none"/>
                      <w:vertAlign w:val="superscript"/>
                    </w:rPr>
                    <w:t>3</w:t>
                  </w:r>
                </w:p>
              </w:tc>
              <w:tc>
                <w:tcPr>
                  <w:tcW w:w="818" w:type="pct"/>
                  <w:vAlign w:val="center"/>
                </w:tcPr>
                <w:p w14:paraId="025D2E03">
                  <w:pPr>
                    <w:jc w:val="center"/>
                    <w:rPr>
                      <w:rFonts w:hint="default"/>
                      <w:color w:val="auto"/>
                      <w:szCs w:val="21"/>
                      <w:highlight w:val="none"/>
                      <w:lang w:val="en-US" w:eastAsia="zh-CN"/>
                    </w:rPr>
                  </w:pPr>
                  <w:r>
                    <w:rPr>
                      <w:rFonts w:hint="eastAsia"/>
                      <w:color w:val="auto"/>
                      <w:szCs w:val="21"/>
                      <w:highlight w:val="none"/>
                      <w:lang w:val="en-US" w:eastAsia="zh-CN"/>
                    </w:rPr>
                    <w:t>8</w:t>
                  </w:r>
                </w:p>
              </w:tc>
            </w:tr>
            <w:tr w14:paraId="137B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1E5E0965">
                  <w:pPr>
                    <w:jc w:val="center"/>
                    <w:rPr>
                      <w:color w:val="auto"/>
                      <w:szCs w:val="21"/>
                      <w:highlight w:val="none"/>
                    </w:rPr>
                  </w:pPr>
                </w:p>
              </w:tc>
              <w:tc>
                <w:tcPr>
                  <w:tcW w:w="492" w:type="pct"/>
                  <w:vMerge w:val="continue"/>
                  <w:vAlign w:val="center"/>
                </w:tcPr>
                <w:p w14:paraId="5B3FE3F5">
                  <w:pPr>
                    <w:jc w:val="center"/>
                    <w:rPr>
                      <w:color w:val="auto"/>
                      <w:szCs w:val="21"/>
                      <w:highlight w:val="none"/>
                    </w:rPr>
                  </w:pPr>
                </w:p>
              </w:tc>
              <w:tc>
                <w:tcPr>
                  <w:tcW w:w="492" w:type="pct"/>
                  <w:vAlign w:val="center"/>
                </w:tcPr>
                <w:p w14:paraId="363E9BF9">
                  <w:pPr>
                    <w:jc w:val="center"/>
                    <w:rPr>
                      <w:color w:val="auto"/>
                      <w:szCs w:val="21"/>
                      <w:highlight w:val="none"/>
                    </w:rPr>
                  </w:pPr>
                  <w:r>
                    <w:rPr>
                      <w:rFonts w:hint="eastAsia"/>
                      <w:color w:val="auto"/>
                      <w:szCs w:val="21"/>
                      <w:highlight w:val="none"/>
                    </w:rPr>
                    <w:t>6</w:t>
                  </w:r>
                </w:p>
              </w:tc>
              <w:tc>
                <w:tcPr>
                  <w:tcW w:w="904" w:type="pct"/>
                  <w:vAlign w:val="center"/>
                </w:tcPr>
                <w:p w14:paraId="0DAB8868">
                  <w:pPr>
                    <w:jc w:val="center"/>
                    <w:rPr>
                      <w:color w:val="auto"/>
                      <w:szCs w:val="21"/>
                      <w:highlight w:val="none"/>
                    </w:rPr>
                  </w:pPr>
                  <w:r>
                    <w:rPr>
                      <w:color w:val="auto"/>
                      <w:szCs w:val="21"/>
                      <w:highlight w:val="none"/>
                    </w:rPr>
                    <w:t>地块</w:t>
                  </w:r>
                  <w:r>
                    <w:rPr>
                      <w:rFonts w:hint="eastAsia"/>
                      <w:color w:val="auto"/>
                      <w:szCs w:val="21"/>
                      <w:highlight w:val="none"/>
                      <w:lang w:val="en-US" w:eastAsia="zh-CN"/>
                    </w:rPr>
                    <w:t>二</w:t>
                  </w:r>
                  <w:r>
                    <w:rPr>
                      <w:color w:val="auto"/>
                      <w:szCs w:val="21"/>
                      <w:highlight w:val="none"/>
                    </w:rPr>
                    <w:t>事故池</w:t>
                  </w:r>
                </w:p>
              </w:tc>
              <w:tc>
                <w:tcPr>
                  <w:tcW w:w="1884" w:type="pct"/>
                  <w:vAlign w:val="center"/>
                </w:tcPr>
                <w:p w14:paraId="527BE5A9">
                  <w:pPr>
                    <w:jc w:val="center"/>
                    <w:rPr>
                      <w:color w:val="auto"/>
                      <w:szCs w:val="21"/>
                      <w:highlight w:val="none"/>
                    </w:rPr>
                  </w:pPr>
                  <w:r>
                    <w:rPr>
                      <w:color w:val="auto"/>
                      <w:szCs w:val="21"/>
                      <w:highlight w:val="none"/>
                    </w:rPr>
                    <w:t>一个容积为1</w:t>
                  </w:r>
                  <w:r>
                    <w:rPr>
                      <w:rFonts w:hint="eastAsia"/>
                      <w:color w:val="auto"/>
                      <w:szCs w:val="21"/>
                      <w:highlight w:val="none"/>
                      <w:lang w:val="en-US" w:eastAsia="zh-CN"/>
                    </w:rPr>
                    <w:t>9</w:t>
                  </w:r>
                  <w:r>
                    <w:rPr>
                      <w:color w:val="auto"/>
                      <w:szCs w:val="21"/>
                      <w:highlight w:val="none"/>
                    </w:rPr>
                    <w:t>0m</w:t>
                  </w:r>
                  <w:r>
                    <w:rPr>
                      <w:color w:val="auto"/>
                      <w:szCs w:val="21"/>
                      <w:highlight w:val="none"/>
                      <w:vertAlign w:val="superscript"/>
                    </w:rPr>
                    <w:t>3</w:t>
                  </w:r>
                </w:p>
              </w:tc>
              <w:tc>
                <w:tcPr>
                  <w:tcW w:w="818" w:type="pct"/>
                  <w:vAlign w:val="center"/>
                </w:tcPr>
                <w:p w14:paraId="1C497446">
                  <w:pPr>
                    <w:jc w:val="center"/>
                    <w:rPr>
                      <w:rFonts w:hint="default" w:eastAsia="宋体"/>
                      <w:color w:val="auto"/>
                      <w:szCs w:val="21"/>
                      <w:highlight w:val="none"/>
                      <w:lang w:val="en-US" w:eastAsia="zh-CN"/>
                    </w:rPr>
                  </w:pPr>
                  <w:r>
                    <w:rPr>
                      <w:rFonts w:hint="eastAsia"/>
                      <w:color w:val="auto"/>
                      <w:szCs w:val="21"/>
                      <w:highlight w:val="none"/>
                      <w:lang w:val="en-US" w:eastAsia="zh-CN"/>
                    </w:rPr>
                    <w:t>10</w:t>
                  </w:r>
                </w:p>
              </w:tc>
            </w:tr>
            <w:tr w14:paraId="3F07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597F689C">
                  <w:pPr>
                    <w:jc w:val="center"/>
                    <w:rPr>
                      <w:color w:val="auto"/>
                      <w:szCs w:val="21"/>
                      <w:highlight w:val="none"/>
                    </w:rPr>
                  </w:pPr>
                </w:p>
              </w:tc>
              <w:tc>
                <w:tcPr>
                  <w:tcW w:w="492" w:type="pct"/>
                  <w:vMerge w:val="continue"/>
                  <w:vAlign w:val="center"/>
                </w:tcPr>
                <w:p w14:paraId="5A1B56F4">
                  <w:pPr>
                    <w:jc w:val="center"/>
                    <w:rPr>
                      <w:color w:val="auto"/>
                      <w:szCs w:val="21"/>
                      <w:highlight w:val="none"/>
                    </w:rPr>
                  </w:pPr>
                </w:p>
              </w:tc>
              <w:tc>
                <w:tcPr>
                  <w:tcW w:w="492" w:type="pct"/>
                  <w:vAlign w:val="center"/>
                </w:tcPr>
                <w:p w14:paraId="5183488C">
                  <w:pPr>
                    <w:jc w:val="center"/>
                    <w:rPr>
                      <w:rFonts w:hint="eastAsia" w:eastAsia="宋体"/>
                      <w:color w:val="auto"/>
                      <w:szCs w:val="21"/>
                      <w:highlight w:val="none"/>
                      <w:lang w:eastAsia="zh-CN"/>
                    </w:rPr>
                  </w:pPr>
                  <w:r>
                    <w:rPr>
                      <w:rFonts w:hint="eastAsia"/>
                      <w:color w:val="auto"/>
                      <w:szCs w:val="21"/>
                      <w:highlight w:val="none"/>
                      <w:lang w:val="en-US" w:eastAsia="zh-CN"/>
                    </w:rPr>
                    <w:t>7</w:t>
                  </w:r>
                </w:p>
              </w:tc>
              <w:tc>
                <w:tcPr>
                  <w:tcW w:w="904" w:type="pct"/>
                  <w:vAlign w:val="center"/>
                </w:tcPr>
                <w:p w14:paraId="20CAE5FD">
                  <w:pPr>
                    <w:jc w:val="center"/>
                    <w:rPr>
                      <w:color w:val="auto"/>
                      <w:szCs w:val="21"/>
                      <w:highlight w:val="none"/>
                    </w:rPr>
                  </w:pPr>
                  <w:r>
                    <w:rPr>
                      <w:color w:val="auto"/>
                      <w:szCs w:val="21"/>
                      <w:highlight w:val="none"/>
                    </w:rPr>
                    <w:t>地块二</w:t>
                  </w:r>
                </w:p>
                <w:p w14:paraId="61EB9253">
                  <w:pPr>
                    <w:jc w:val="center"/>
                    <w:rPr>
                      <w:color w:val="auto"/>
                      <w:szCs w:val="21"/>
                      <w:highlight w:val="none"/>
                    </w:rPr>
                  </w:pPr>
                  <w:r>
                    <w:rPr>
                      <w:color w:val="auto"/>
                      <w:szCs w:val="21"/>
                      <w:highlight w:val="none"/>
                    </w:rPr>
                    <w:t>消防水池</w:t>
                  </w:r>
                </w:p>
              </w:tc>
              <w:tc>
                <w:tcPr>
                  <w:tcW w:w="1884" w:type="pct"/>
                  <w:vAlign w:val="center"/>
                </w:tcPr>
                <w:p w14:paraId="44839088">
                  <w:pPr>
                    <w:jc w:val="center"/>
                    <w:rPr>
                      <w:color w:val="auto"/>
                      <w:szCs w:val="21"/>
                      <w:highlight w:val="none"/>
                    </w:rPr>
                  </w:pPr>
                  <w:r>
                    <w:rPr>
                      <w:color w:val="auto"/>
                      <w:szCs w:val="21"/>
                      <w:highlight w:val="none"/>
                    </w:rPr>
                    <w:t>位于</w:t>
                  </w:r>
                  <w:r>
                    <w:rPr>
                      <w:rFonts w:hint="eastAsia"/>
                      <w:color w:val="auto"/>
                      <w:szCs w:val="21"/>
                      <w:highlight w:val="none"/>
                      <w:lang w:val="en-US" w:eastAsia="zh-CN"/>
                    </w:rPr>
                    <w:t>地块二西南角</w:t>
                  </w:r>
                  <w:r>
                    <w:rPr>
                      <w:color w:val="auto"/>
                      <w:szCs w:val="21"/>
                      <w:highlight w:val="none"/>
                    </w:rPr>
                    <w:t>，1个容积为</w:t>
                  </w:r>
                  <w:r>
                    <w:rPr>
                      <w:rFonts w:hint="eastAsia"/>
                      <w:color w:val="auto"/>
                      <w:szCs w:val="21"/>
                      <w:highlight w:val="none"/>
                      <w:lang w:val="en-US" w:eastAsia="zh-CN"/>
                    </w:rPr>
                    <w:t>162</w:t>
                  </w:r>
                  <w:r>
                    <w:rPr>
                      <w:color w:val="auto"/>
                      <w:szCs w:val="21"/>
                      <w:highlight w:val="none"/>
                    </w:rPr>
                    <w:t>m</w:t>
                  </w:r>
                  <w:r>
                    <w:rPr>
                      <w:color w:val="auto"/>
                      <w:szCs w:val="21"/>
                      <w:highlight w:val="none"/>
                      <w:vertAlign w:val="superscript"/>
                    </w:rPr>
                    <w:t>3</w:t>
                  </w:r>
                </w:p>
              </w:tc>
              <w:tc>
                <w:tcPr>
                  <w:tcW w:w="818" w:type="pct"/>
                  <w:vAlign w:val="center"/>
                </w:tcPr>
                <w:p w14:paraId="64867D7B">
                  <w:pPr>
                    <w:jc w:val="center"/>
                    <w:rPr>
                      <w:color w:val="auto"/>
                      <w:szCs w:val="21"/>
                      <w:highlight w:val="none"/>
                    </w:rPr>
                  </w:pPr>
                  <w:r>
                    <w:rPr>
                      <w:color w:val="auto"/>
                      <w:szCs w:val="21"/>
                      <w:highlight w:val="none"/>
                    </w:rPr>
                    <w:t>15</w:t>
                  </w:r>
                </w:p>
              </w:tc>
            </w:tr>
            <w:tr w14:paraId="6D37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vAlign w:val="center"/>
                </w:tcPr>
                <w:p w14:paraId="67473FD1">
                  <w:pPr>
                    <w:jc w:val="center"/>
                    <w:rPr>
                      <w:color w:val="auto"/>
                      <w:szCs w:val="21"/>
                      <w:highlight w:val="none"/>
                    </w:rPr>
                  </w:pPr>
                </w:p>
              </w:tc>
              <w:tc>
                <w:tcPr>
                  <w:tcW w:w="492" w:type="pct"/>
                  <w:vAlign w:val="center"/>
                </w:tcPr>
                <w:p w14:paraId="75CA0369">
                  <w:pPr>
                    <w:jc w:val="center"/>
                    <w:rPr>
                      <w:color w:val="auto"/>
                      <w:highlight w:val="none"/>
                    </w:rPr>
                  </w:pPr>
                  <w:r>
                    <w:rPr>
                      <w:rFonts w:hint="eastAsia"/>
                      <w:color w:val="auto"/>
                      <w:szCs w:val="21"/>
                      <w:highlight w:val="none"/>
                    </w:rPr>
                    <w:t>/</w:t>
                  </w:r>
                </w:p>
              </w:tc>
              <w:tc>
                <w:tcPr>
                  <w:tcW w:w="492" w:type="pct"/>
                  <w:vAlign w:val="center"/>
                </w:tcPr>
                <w:p w14:paraId="4642583D">
                  <w:pPr>
                    <w:jc w:val="center"/>
                    <w:rPr>
                      <w:rFonts w:hint="eastAsia" w:eastAsia="宋体"/>
                      <w:color w:val="auto"/>
                      <w:szCs w:val="21"/>
                      <w:highlight w:val="none"/>
                      <w:lang w:eastAsia="zh-CN"/>
                    </w:rPr>
                  </w:pPr>
                  <w:r>
                    <w:rPr>
                      <w:rFonts w:hint="eastAsia"/>
                      <w:color w:val="auto"/>
                      <w:szCs w:val="21"/>
                      <w:highlight w:val="none"/>
                      <w:lang w:val="en-US" w:eastAsia="zh-CN"/>
                    </w:rPr>
                    <w:t>8</w:t>
                  </w:r>
                </w:p>
              </w:tc>
              <w:tc>
                <w:tcPr>
                  <w:tcW w:w="904" w:type="pct"/>
                  <w:vAlign w:val="center"/>
                </w:tcPr>
                <w:p w14:paraId="0D59653F">
                  <w:pPr>
                    <w:jc w:val="center"/>
                    <w:rPr>
                      <w:color w:val="auto"/>
                      <w:szCs w:val="21"/>
                      <w:highlight w:val="none"/>
                    </w:rPr>
                  </w:pPr>
                  <w:r>
                    <w:rPr>
                      <w:color w:val="auto"/>
                      <w:szCs w:val="21"/>
                      <w:highlight w:val="none"/>
                    </w:rPr>
                    <w:t>项目环境</w:t>
                  </w:r>
                </w:p>
                <w:p w14:paraId="0F765BC8">
                  <w:pPr>
                    <w:jc w:val="center"/>
                    <w:rPr>
                      <w:color w:val="auto"/>
                      <w:szCs w:val="21"/>
                      <w:highlight w:val="none"/>
                    </w:rPr>
                  </w:pPr>
                  <w:r>
                    <w:rPr>
                      <w:color w:val="auto"/>
                      <w:szCs w:val="21"/>
                      <w:highlight w:val="none"/>
                    </w:rPr>
                    <w:t>管理费用</w:t>
                  </w:r>
                </w:p>
              </w:tc>
              <w:tc>
                <w:tcPr>
                  <w:tcW w:w="1884" w:type="pct"/>
                  <w:vAlign w:val="center"/>
                </w:tcPr>
                <w:p w14:paraId="569E69D6">
                  <w:pPr>
                    <w:jc w:val="center"/>
                    <w:rPr>
                      <w:color w:val="auto"/>
                      <w:szCs w:val="21"/>
                      <w:highlight w:val="none"/>
                    </w:rPr>
                  </w:pPr>
                  <w:r>
                    <w:rPr>
                      <w:color w:val="auto"/>
                      <w:szCs w:val="21"/>
                      <w:highlight w:val="none"/>
                    </w:rPr>
                    <w:t>包括环评费用、验收监测费用、</w:t>
                  </w:r>
                  <w:r>
                    <w:rPr>
                      <w:rFonts w:hint="eastAsia"/>
                      <w:color w:val="auto"/>
                      <w:szCs w:val="21"/>
                      <w:highlight w:val="none"/>
                    </w:rPr>
                    <w:t>突发事件环境应急预案</w:t>
                  </w:r>
                  <w:r>
                    <w:rPr>
                      <w:color w:val="auto"/>
                      <w:szCs w:val="21"/>
                      <w:highlight w:val="none"/>
                    </w:rPr>
                    <w:t>等</w:t>
                  </w:r>
                </w:p>
              </w:tc>
              <w:tc>
                <w:tcPr>
                  <w:tcW w:w="818" w:type="pct"/>
                  <w:vAlign w:val="center"/>
                </w:tcPr>
                <w:p w14:paraId="24D01D20">
                  <w:pPr>
                    <w:jc w:val="center"/>
                    <w:rPr>
                      <w:color w:val="auto"/>
                      <w:szCs w:val="21"/>
                      <w:highlight w:val="none"/>
                    </w:rPr>
                  </w:pPr>
                  <w:r>
                    <w:rPr>
                      <w:color w:val="auto"/>
                      <w:szCs w:val="21"/>
                      <w:highlight w:val="none"/>
                    </w:rPr>
                    <w:t>10</w:t>
                  </w:r>
                </w:p>
              </w:tc>
            </w:tr>
            <w:tr w14:paraId="758E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pct"/>
                  <w:gridSpan w:val="3"/>
                  <w:vAlign w:val="center"/>
                </w:tcPr>
                <w:p w14:paraId="79C27416">
                  <w:pPr>
                    <w:jc w:val="center"/>
                    <w:rPr>
                      <w:color w:val="auto"/>
                      <w:szCs w:val="21"/>
                      <w:highlight w:val="none"/>
                    </w:rPr>
                  </w:pPr>
                  <w:r>
                    <w:rPr>
                      <w:color w:val="auto"/>
                      <w:szCs w:val="21"/>
                      <w:highlight w:val="none"/>
                    </w:rPr>
                    <w:t>合计</w:t>
                  </w:r>
                </w:p>
              </w:tc>
              <w:tc>
                <w:tcPr>
                  <w:tcW w:w="904" w:type="pct"/>
                  <w:vAlign w:val="center"/>
                </w:tcPr>
                <w:p w14:paraId="402C9C74">
                  <w:pPr>
                    <w:jc w:val="center"/>
                    <w:rPr>
                      <w:color w:val="auto"/>
                      <w:szCs w:val="21"/>
                      <w:highlight w:val="none"/>
                    </w:rPr>
                  </w:pPr>
                  <w:r>
                    <w:rPr>
                      <w:color w:val="auto"/>
                      <w:szCs w:val="21"/>
                      <w:highlight w:val="none"/>
                    </w:rPr>
                    <w:t>/</w:t>
                  </w:r>
                </w:p>
              </w:tc>
              <w:tc>
                <w:tcPr>
                  <w:tcW w:w="1884" w:type="pct"/>
                  <w:vAlign w:val="center"/>
                </w:tcPr>
                <w:p w14:paraId="15901234">
                  <w:pPr>
                    <w:jc w:val="center"/>
                    <w:rPr>
                      <w:color w:val="auto"/>
                      <w:szCs w:val="21"/>
                      <w:highlight w:val="none"/>
                    </w:rPr>
                  </w:pPr>
                  <w:r>
                    <w:rPr>
                      <w:color w:val="auto"/>
                      <w:szCs w:val="21"/>
                      <w:highlight w:val="none"/>
                    </w:rPr>
                    <w:t>/</w:t>
                  </w:r>
                </w:p>
              </w:tc>
              <w:tc>
                <w:tcPr>
                  <w:tcW w:w="818" w:type="pct"/>
                  <w:vAlign w:val="center"/>
                </w:tcPr>
                <w:p w14:paraId="37A6B222">
                  <w:pPr>
                    <w:jc w:val="center"/>
                    <w:rPr>
                      <w:rFonts w:hint="default" w:eastAsia="宋体"/>
                      <w:color w:val="auto"/>
                      <w:szCs w:val="21"/>
                      <w:highlight w:val="none"/>
                      <w:lang w:val="en-US" w:eastAsia="zh-CN"/>
                    </w:rPr>
                  </w:pPr>
                  <w:r>
                    <w:rPr>
                      <w:rFonts w:hint="eastAsia"/>
                      <w:color w:val="auto"/>
                      <w:szCs w:val="21"/>
                      <w:highlight w:val="none"/>
                      <w:lang w:val="en-US" w:eastAsia="zh-CN"/>
                    </w:rPr>
                    <w:t>64.31</w:t>
                  </w:r>
                </w:p>
              </w:tc>
            </w:tr>
          </w:tbl>
          <w:p w14:paraId="2C7B5C21">
            <w:pPr>
              <w:spacing w:line="360" w:lineRule="auto"/>
              <w:ind w:firstLine="482" w:firstLineChars="200"/>
              <w:rPr>
                <w:rFonts w:hint="eastAsia" w:eastAsia="宋体"/>
                <w:b/>
                <w:bCs/>
                <w:color w:val="auto"/>
                <w:sz w:val="24"/>
                <w:szCs w:val="24"/>
                <w:highlight w:val="none"/>
                <w:lang w:eastAsia="zh-CN"/>
              </w:rPr>
            </w:pPr>
            <w:r>
              <w:rPr>
                <w:rFonts w:hint="eastAsia"/>
                <w:b/>
                <w:bCs/>
                <w:color w:val="auto"/>
                <w:sz w:val="24"/>
                <w:szCs w:val="24"/>
                <w:highlight w:val="none"/>
                <w:lang w:val="en-US" w:eastAsia="zh-CN"/>
              </w:rPr>
              <w:t>14</w:t>
            </w:r>
            <w:r>
              <w:rPr>
                <w:b/>
                <w:bCs/>
                <w:color w:val="auto"/>
                <w:sz w:val="24"/>
                <w:szCs w:val="24"/>
                <w:highlight w:val="none"/>
              </w:rPr>
              <w:t>、</w:t>
            </w:r>
            <w:r>
              <w:rPr>
                <w:rFonts w:hint="eastAsia"/>
                <w:b/>
                <w:bCs/>
                <w:color w:val="auto"/>
                <w:sz w:val="24"/>
                <w:szCs w:val="24"/>
                <w:highlight w:val="none"/>
                <w:lang w:val="en-US" w:eastAsia="zh-CN"/>
              </w:rPr>
              <w:t>水平衡</w:t>
            </w:r>
          </w:p>
          <w:p w14:paraId="69154AE7">
            <w:pPr>
              <w:spacing w:line="360" w:lineRule="auto"/>
              <w:ind w:firstLine="480" w:firstLineChars="200"/>
              <w:rPr>
                <w:color w:val="auto"/>
                <w:sz w:val="24"/>
                <w:szCs w:val="24"/>
                <w:highlight w:val="none"/>
              </w:rPr>
            </w:pPr>
            <w:r>
              <w:rPr>
                <w:color w:val="auto"/>
                <w:sz w:val="24"/>
                <w:szCs w:val="24"/>
                <w:highlight w:val="none"/>
              </w:rPr>
              <w:t>本</w:t>
            </w:r>
            <w:r>
              <w:rPr>
                <w:rFonts w:hint="eastAsia"/>
                <w:color w:val="auto"/>
                <w:sz w:val="24"/>
                <w:szCs w:val="24"/>
                <w:highlight w:val="none"/>
                <w:lang w:val="en-US" w:eastAsia="zh-CN"/>
              </w:rPr>
              <w:t>扩建</w:t>
            </w:r>
            <w:r>
              <w:rPr>
                <w:color w:val="auto"/>
                <w:sz w:val="24"/>
                <w:szCs w:val="24"/>
                <w:highlight w:val="none"/>
              </w:rPr>
              <w:t>项目营运期废水主要为员工生活污水，</w:t>
            </w:r>
            <w:r>
              <w:rPr>
                <w:rFonts w:hint="eastAsia"/>
                <w:color w:val="auto"/>
                <w:sz w:val="24"/>
                <w:szCs w:val="24"/>
                <w:highlight w:val="none"/>
                <w:lang w:val="en-US" w:eastAsia="zh-CN"/>
              </w:rPr>
              <w:t>展厅参观人员废水，</w:t>
            </w:r>
            <w:r>
              <w:rPr>
                <w:color w:val="auto"/>
                <w:sz w:val="24"/>
                <w:szCs w:val="24"/>
                <w:highlight w:val="none"/>
              </w:rPr>
              <w:t>且产生量较少，排入化粪池后委托环卫部门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lang w:eastAsia="zh-CN"/>
              </w:rPr>
              <w:t>，</w:t>
            </w:r>
            <w:r>
              <w:rPr>
                <w:rFonts w:hint="eastAsia"/>
                <w:color w:val="auto"/>
                <w:sz w:val="24"/>
                <w:szCs w:val="24"/>
              </w:rPr>
              <w:t>运至寻甸县污水处理厂处理，不外排</w:t>
            </w:r>
            <w:r>
              <w:rPr>
                <w:color w:val="auto"/>
                <w:sz w:val="24"/>
                <w:szCs w:val="24"/>
                <w:highlight w:val="none"/>
              </w:rPr>
              <w:t>。</w:t>
            </w:r>
          </w:p>
          <w:p w14:paraId="7979AE7D">
            <w:pPr>
              <w:spacing w:line="360" w:lineRule="auto"/>
              <w:ind w:firstLine="480" w:firstLineChars="200"/>
              <w:rPr>
                <w:color w:val="auto"/>
                <w:sz w:val="24"/>
                <w:szCs w:val="24"/>
                <w:highlight w:val="none"/>
              </w:rPr>
            </w:pPr>
            <w:r>
              <w:rPr>
                <w:color w:val="auto"/>
                <w:sz w:val="24"/>
                <w:szCs w:val="24"/>
                <w:highlight w:val="none"/>
              </w:rPr>
              <w:t>（1）用水量</w:t>
            </w:r>
          </w:p>
          <w:p w14:paraId="560EFD56">
            <w:pPr>
              <w:spacing w:line="360" w:lineRule="auto"/>
              <w:ind w:firstLine="480" w:firstLineChars="200"/>
              <w:rPr>
                <w:color w:val="auto"/>
                <w:sz w:val="24"/>
                <w:szCs w:val="24"/>
                <w:highlight w:val="none"/>
              </w:rPr>
            </w:pPr>
            <w:r>
              <w:rPr>
                <w:rFonts w:hint="eastAsia"/>
                <w:color w:val="auto"/>
                <w:sz w:val="24"/>
                <w:szCs w:val="24"/>
                <w:highlight w:val="none"/>
                <w:lang w:val="en-US" w:eastAsia="zh-CN"/>
              </w:rPr>
              <w:t>扩建</w:t>
            </w:r>
            <w:r>
              <w:rPr>
                <w:color w:val="auto"/>
                <w:sz w:val="24"/>
                <w:szCs w:val="24"/>
                <w:highlight w:val="none"/>
              </w:rPr>
              <w:t>项目运营期用水主要包括工作人员生活用水</w:t>
            </w:r>
            <w:r>
              <w:rPr>
                <w:rFonts w:hint="eastAsia"/>
                <w:color w:val="auto"/>
                <w:sz w:val="24"/>
                <w:szCs w:val="24"/>
                <w:highlight w:val="none"/>
                <w:lang w:eastAsia="zh-CN"/>
              </w:rPr>
              <w:t>、</w:t>
            </w:r>
            <w:r>
              <w:rPr>
                <w:rFonts w:hint="eastAsia"/>
                <w:color w:val="auto"/>
                <w:sz w:val="24"/>
                <w:szCs w:val="24"/>
                <w:highlight w:val="none"/>
                <w:lang w:val="en-US" w:eastAsia="zh-CN"/>
              </w:rPr>
              <w:t>展厅参观人员用水</w:t>
            </w:r>
            <w:r>
              <w:rPr>
                <w:color w:val="auto"/>
                <w:sz w:val="24"/>
                <w:szCs w:val="24"/>
                <w:highlight w:val="none"/>
              </w:rPr>
              <w:t>和绿化用水。</w:t>
            </w:r>
          </w:p>
          <w:p w14:paraId="1769C667">
            <w:pPr>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①员工生活用水</w:t>
            </w:r>
          </w:p>
          <w:p w14:paraId="6267CE61">
            <w:pPr>
              <w:spacing w:line="360" w:lineRule="auto"/>
              <w:ind w:firstLine="480" w:firstLineChars="200"/>
              <w:rPr>
                <w:color w:val="auto"/>
                <w:sz w:val="24"/>
                <w:szCs w:val="24"/>
                <w:highlight w:val="none"/>
              </w:rPr>
            </w:pPr>
            <w:r>
              <w:rPr>
                <w:rFonts w:hint="eastAsia"/>
                <w:color w:val="auto"/>
                <w:sz w:val="24"/>
                <w:szCs w:val="24"/>
                <w:highlight w:val="none"/>
                <w:lang w:val="en-US" w:eastAsia="zh-CN"/>
              </w:rPr>
              <w:t>扩建</w:t>
            </w:r>
            <w:r>
              <w:rPr>
                <w:rFonts w:hint="eastAsia"/>
                <w:color w:val="auto"/>
                <w:sz w:val="24"/>
                <w:szCs w:val="24"/>
                <w:highlight w:val="none"/>
              </w:rPr>
              <w:t>项目运营期劳动定员</w:t>
            </w:r>
            <w:r>
              <w:rPr>
                <w:rFonts w:hint="eastAsia"/>
                <w:color w:val="auto"/>
                <w:sz w:val="24"/>
                <w:szCs w:val="24"/>
                <w:highlight w:val="none"/>
                <w:lang w:val="en-US" w:eastAsia="zh-CN"/>
              </w:rPr>
              <w:t>10</w:t>
            </w:r>
            <w:r>
              <w:rPr>
                <w:rFonts w:hint="eastAsia"/>
                <w:color w:val="auto"/>
                <w:sz w:val="24"/>
                <w:szCs w:val="24"/>
                <w:highlight w:val="none"/>
              </w:rPr>
              <w:t>人，年工作</w:t>
            </w:r>
            <w:r>
              <w:rPr>
                <w:rFonts w:hint="eastAsia"/>
                <w:color w:val="auto"/>
                <w:sz w:val="24"/>
                <w:szCs w:val="24"/>
                <w:highlight w:val="none"/>
                <w:lang w:val="en-US" w:eastAsia="zh-CN"/>
              </w:rPr>
              <w:t>250</w:t>
            </w:r>
            <w:r>
              <w:rPr>
                <w:color w:val="auto"/>
                <w:sz w:val="24"/>
                <w:szCs w:val="24"/>
                <w:highlight w:val="none"/>
              </w:rPr>
              <w:t>天</w:t>
            </w:r>
            <w:r>
              <w:rPr>
                <w:rFonts w:hint="eastAsia"/>
                <w:color w:val="auto"/>
                <w:sz w:val="24"/>
                <w:szCs w:val="24"/>
                <w:highlight w:val="none"/>
                <w:lang w:eastAsia="zh-CN"/>
              </w:rPr>
              <w:t>，</w:t>
            </w:r>
            <w:r>
              <w:rPr>
                <w:rFonts w:hint="eastAsia"/>
                <w:color w:val="auto"/>
                <w:sz w:val="24"/>
                <w:szCs w:val="24"/>
                <w:highlight w:val="none"/>
                <w:lang w:val="en-US" w:eastAsia="zh-CN"/>
              </w:rPr>
              <w:t>办公生活在现有的生活区内，</w:t>
            </w:r>
            <w:r>
              <w:rPr>
                <w:rFonts w:hint="eastAsia"/>
                <w:color w:val="auto"/>
                <w:sz w:val="24"/>
                <w:szCs w:val="24"/>
                <w:highlight w:val="none"/>
              </w:rPr>
              <w:t>不设置食堂，仅</w:t>
            </w:r>
            <w:r>
              <w:rPr>
                <w:rFonts w:hint="eastAsia"/>
                <w:color w:val="auto"/>
                <w:sz w:val="24"/>
                <w:szCs w:val="24"/>
                <w:highlight w:val="none"/>
                <w:lang w:val="en-US" w:eastAsia="zh-CN"/>
              </w:rPr>
              <w:t>地块二1个</w:t>
            </w:r>
            <w:r>
              <w:rPr>
                <w:rFonts w:hint="eastAsia"/>
                <w:color w:val="auto"/>
                <w:sz w:val="24"/>
                <w:szCs w:val="24"/>
                <w:highlight w:val="none"/>
              </w:rPr>
              <w:t>值班人员在站内住宿，其他人员食宿自理</w:t>
            </w:r>
            <w:r>
              <w:rPr>
                <w:color w:val="auto"/>
                <w:sz w:val="24"/>
                <w:szCs w:val="24"/>
                <w:highlight w:val="none"/>
              </w:rPr>
              <w:t>，根据《云南省地方标准—用水定额》（DB53/T 168-20</w:t>
            </w:r>
            <w:r>
              <w:rPr>
                <w:rFonts w:hint="eastAsia"/>
                <w:color w:val="auto"/>
                <w:sz w:val="24"/>
                <w:szCs w:val="24"/>
                <w:highlight w:val="none"/>
                <w:lang w:val="en-US" w:eastAsia="zh-CN"/>
              </w:rPr>
              <w:t>26</w:t>
            </w:r>
            <w:r>
              <w:rPr>
                <w:color w:val="auto"/>
                <w:sz w:val="24"/>
                <w:szCs w:val="24"/>
                <w:highlight w:val="none"/>
              </w:rPr>
              <w:t>）</w:t>
            </w:r>
            <w:r>
              <w:rPr>
                <w:rFonts w:hint="eastAsia"/>
                <w:color w:val="auto"/>
                <w:sz w:val="24"/>
                <w:szCs w:val="24"/>
                <w:highlight w:val="none"/>
                <w:lang w:val="en-US" w:eastAsia="zh-CN"/>
              </w:rPr>
              <w:t>中城镇用水标准为100L/</w:t>
            </w:r>
            <w:r>
              <w:rPr>
                <w:color w:val="auto"/>
                <w:sz w:val="24"/>
                <w:szCs w:val="24"/>
                <w:highlight w:val="none"/>
              </w:rPr>
              <w:t>人·d</w:t>
            </w:r>
            <w:r>
              <w:rPr>
                <w:rFonts w:hint="eastAsia"/>
                <w:color w:val="auto"/>
                <w:sz w:val="24"/>
                <w:szCs w:val="24"/>
                <w:highlight w:val="none"/>
                <w:lang w:val="en-US" w:eastAsia="zh-CN"/>
              </w:rPr>
              <w:t>，项目</w:t>
            </w:r>
            <w:r>
              <w:rPr>
                <w:rFonts w:hint="eastAsia"/>
                <w:color w:val="auto"/>
                <w:sz w:val="24"/>
                <w:szCs w:val="24"/>
                <w:highlight w:val="none"/>
              </w:rPr>
              <w:t>值班住宿员工</w:t>
            </w:r>
            <w:r>
              <w:rPr>
                <w:color w:val="auto"/>
                <w:sz w:val="24"/>
                <w:szCs w:val="24"/>
                <w:highlight w:val="none"/>
              </w:rPr>
              <w:t>用水定额</w:t>
            </w:r>
            <w:r>
              <w:rPr>
                <w:rFonts w:hint="eastAsia"/>
                <w:color w:val="auto"/>
                <w:sz w:val="24"/>
                <w:szCs w:val="24"/>
                <w:highlight w:val="none"/>
                <w:lang w:val="en-US" w:eastAsia="zh-CN"/>
              </w:rPr>
              <w:t>按10</w:t>
            </w:r>
            <w:r>
              <w:rPr>
                <w:color w:val="auto"/>
                <w:sz w:val="24"/>
                <w:szCs w:val="24"/>
                <w:highlight w:val="none"/>
              </w:rPr>
              <w:t>0L/人·d计，</w:t>
            </w:r>
            <w:r>
              <w:rPr>
                <w:rFonts w:hint="eastAsia"/>
                <w:color w:val="auto"/>
                <w:sz w:val="24"/>
                <w:szCs w:val="24"/>
                <w:highlight w:val="none"/>
                <w:lang w:val="en-US" w:eastAsia="zh-CN"/>
              </w:rPr>
              <w:t>其他不住宿员工按50</w:t>
            </w:r>
            <w:r>
              <w:rPr>
                <w:color w:val="auto"/>
                <w:sz w:val="24"/>
                <w:szCs w:val="24"/>
                <w:highlight w:val="none"/>
              </w:rPr>
              <w:t>L/人·d计</w:t>
            </w:r>
            <w:r>
              <w:rPr>
                <w:rFonts w:hint="eastAsia"/>
                <w:color w:val="auto"/>
                <w:sz w:val="24"/>
                <w:szCs w:val="24"/>
                <w:highlight w:val="none"/>
                <w:lang w:eastAsia="zh-CN"/>
              </w:rPr>
              <w:t>，</w:t>
            </w:r>
            <w:r>
              <w:rPr>
                <w:color w:val="auto"/>
                <w:sz w:val="24"/>
                <w:szCs w:val="24"/>
                <w:highlight w:val="none"/>
              </w:rPr>
              <w:t>则项目每日生活用水量为</w:t>
            </w:r>
            <w:r>
              <w:rPr>
                <w:rFonts w:hint="eastAsia"/>
                <w:color w:val="auto"/>
                <w:sz w:val="24"/>
                <w:szCs w:val="24"/>
                <w:highlight w:val="none"/>
                <w:lang w:val="en-US" w:eastAsia="zh-CN"/>
              </w:rPr>
              <w:t>0.55</w:t>
            </w:r>
            <w:r>
              <w:rPr>
                <w:color w:val="auto"/>
                <w:sz w:val="24"/>
                <w:szCs w:val="24"/>
                <w:highlight w:val="none"/>
              </w:rPr>
              <w:t>m</w:t>
            </w:r>
            <w:r>
              <w:rPr>
                <w:color w:val="auto"/>
                <w:sz w:val="24"/>
                <w:szCs w:val="24"/>
                <w:highlight w:val="none"/>
                <w:vertAlign w:val="superscript"/>
              </w:rPr>
              <w:t>3</w:t>
            </w:r>
            <w:r>
              <w:rPr>
                <w:color w:val="auto"/>
                <w:sz w:val="24"/>
                <w:szCs w:val="24"/>
                <w:highlight w:val="none"/>
              </w:rPr>
              <w:t>/d</w:t>
            </w:r>
            <w:r>
              <w:rPr>
                <w:rFonts w:hint="eastAsia"/>
                <w:color w:val="auto"/>
                <w:sz w:val="24"/>
                <w:szCs w:val="24"/>
                <w:highlight w:val="none"/>
                <w:lang w:eastAsia="zh-CN"/>
              </w:rPr>
              <w:t>，</w:t>
            </w:r>
            <w:r>
              <w:rPr>
                <w:rFonts w:hint="eastAsia"/>
                <w:color w:val="auto"/>
                <w:sz w:val="24"/>
                <w:szCs w:val="24"/>
                <w:highlight w:val="none"/>
                <w:lang w:val="en-US" w:eastAsia="zh-CN"/>
              </w:rPr>
              <w:t>137.5</w:t>
            </w:r>
            <w:r>
              <w:rPr>
                <w:rFonts w:hint="eastAsia"/>
                <w:color w:val="auto"/>
                <w:sz w:val="24"/>
                <w:szCs w:val="24"/>
                <w:highlight w:val="none"/>
              </w:rPr>
              <w:t>t/</w:t>
            </w:r>
            <w:r>
              <w:rPr>
                <w:rFonts w:hint="eastAsia"/>
                <w:color w:val="auto"/>
                <w:sz w:val="24"/>
                <w:szCs w:val="24"/>
                <w:highlight w:val="none"/>
                <w:lang w:val="en-US" w:eastAsia="zh-CN"/>
              </w:rPr>
              <w:t>a</w:t>
            </w:r>
            <w:r>
              <w:rPr>
                <w:color w:val="auto"/>
                <w:sz w:val="24"/>
                <w:szCs w:val="24"/>
                <w:highlight w:val="none"/>
              </w:rPr>
              <w:t>。</w:t>
            </w:r>
          </w:p>
          <w:p w14:paraId="7C0F1C6E">
            <w:pPr>
              <w:spacing w:line="360" w:lineRule="auto"/>
              <w:ind w:firstLine="480" w:firstLineChars="200"/>
              <w:rPr>
                <w:rFonts w:hint="eastAsia" w:eastAsia="宋体"/>
                <w:color w:val="auto"/>
                <w:sz w:val="24"/>
                <w:szCs w:val="24"/>
                <w:highlight w:val="none"/>
                <w:lang w:val="en-US" w:eastAsia="zh-CN"/>
              </w:rPr>
            </w:pPr>
            <w:r>
              <w:rPr>
                <w:rFonts w:hint="eastAsia"/>
                <w:color w:val="auto"/>
                <w:sz w:val="24"/>
                <w:szCs w:val="24"/>
                <w:highlight w:val="none"/>
                <w:lang w:val="en-US" w:eastAsia="zh-CN"/>
              </w:rPr>
              <w:t>②展厅参观人员用水</w:t>
            </w:r>
          </w:p>
          <w:p w14:paraId="0DF4B05E">
            <w:pPr>
              <w:pStyle w:val="7"/>
              <w:adjustRightInd w:val="0"/>
              <w:snapToGrid w:val="0"/>
              <w:spacing w:line="360" w:lineRule="auto"/>
              <w:ind w:firstLine="482"/>
              <w:rPr>
                <w:rFonts w:hint="default" w:ascii="Times New Roman" w:hAnsi="Times New Roman" w:cs="Times New Roman"/>
                <w:color w:val="auto"/>
                <w:sz w:val="24"/>
                <w:szCs w:val="24"/>
                <w:highlight w:val="none"/>
                <w:lang w:val="zh-CN"/>
              </w:rPr>
            </w:pPr>
            <w:r>
              <w:rPr>
                <w:rFonts w:hint="eastAsia" w:ascii="Times New Roman" w:hAnsi="Times New Roman" w:cs="Times New Roman"/>
                <w:color w:val="auto"/>
                <w:sz w:val="24"/>
                <w:szCs w:val="24"/>
                <w:highlight w:val="none"/>
                <w:lang w:val="en-US" w:eastAsia="zh-CN"/>
              </w:rPr>
              <w:t>根据业主提供资料，</w:t>
            </w:r>
            <w:r>
              <w:rPr>
                <w:rFonts w:hint="default" w:ascii="Times New Roman" w:hAnsi="Times New Roman" w:cs="Times New Roman"/>
                <w:color w:val="auto"/>
                <w:sz w:val="24"/>
                <w:szCs w:val="24"/>
                <w:highlight w:val="none"/>
              </w:rPr>
              <w:t>项目营运期</w:t>
            </w:r>
            <w:r>
              <w:rPr>
                <w:rFonts w:hint="eastAsia" w:ascii="Times New Roman" w:hAnsi="Times New Roman" w:cs="Times New Roman"/>
                <w:color w:val="auto"/>
                <w:sz w:val="24"/>
                <w:szCs w:val="24"/>
                <w:highlight w:val="none"/>
                <w:lang w:val="en-US" w:eastAsia="zh-CN"/>
              </w:rPr>
              <w:t>地块三展厅每日参观人数为</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0</w:t>
            </w:r>
            <w:r>
              <w:rPr>
                <w:rFonts w:hint="eastAsia" w:ascii="Times New Roman" w:hAnsi="Times New Roman" w:cs="Times New Roman"/>
                <w:color w:val="auto"/>
                <w:sz w:val="24"/>
                <w:szCs w:val="24"/>
                <w:highlight w:val="none"/>
                <w:lang w:val="en-US" w:eastAsia="zh-CN"/>
              </w:rPr>
              <w:t>人</w:t>
            </w:r>
            <w:r>
              <w:rPr>
                <w:rFonts w:hint="default" w:ascii="Times New Roman" w:hAnsi="Times New Roman" w:cs="Times New Roman"/>
                <w:color w:val="auto"/>
                <w:sz w:val="24"/>
                <w:szCs w:val="24"/>
                <w:highlight w:val="none"/>
                <w:lang w:val="en-US" w:eastAsia="zh-CN"/>
              </w:rPr>
              <w:t>，</w:t>
            </w:r>
            <w:r>
              <w:rPr>
                <w:rFonts w:hint="eastAsia"/>
                <w:color w:val="auto"/>
                <w:sz w:val="24"/>
                <w:szCs w:val="24"/>
                <w:highlight w:val="none"/>
              </w:rPr>
              <w:t>年工作</w:t>
            </w:r>
            <w:r>
              <w:rPr>
                <w:rFonts w:hint="eastAsia"/>
                <w:color w:val="auto"/>
                <w:sz w:val="24"/>
                <w:szCs w:val="24"/>
                <w:highlight w:val="none"/>
                <w:lang w:val="en-US" w:eastAsia="zh-CN"/>
              </w:rPr>
              <w:t>250</w:t>
            </w:r>
            <w:r>
              <w:rPr>
                <w:color w:val="auto"/>
                <w:sz w:val="24"/>
                <w:szCs w:val="24"/>
                <w:highlight w:val="none"/>
              </w:rPr>
              <w:t>天</w:t>
            </w:r>
            <w:r>
              <w:rPr>
                <w:rFonts w:hint="eastAsia"/>
                <w:color w:val="auto"/>
                <w:sz w:val="24"/>
                <w:szCs w:val="24"/>
                <w:highlight w:val="none"/>
                <w:lang w:eastAsia="zh-CN"/>
              </w:rPr>
              <w:t>，</w:t>
            </w:r>
            <w:r>
              <w:rPr>
                <w:rFonts w:hint="default" w:ascii="Times New Roman" w:hAnsi="Times New Roman" w:eastAsia="宋体" w:cs="Times New Roman"/>
                <w:b w:val="0"/>
                <w:bCs w:val="0"/>
                <w:i w:val="0"/>
                <w:iCs w:val="0"/>
                <w:caps w:val="0"/>
                <w:color w:val="auto"/>
                <w:spacing w:val="0"/>
                <w:kern w:val="0"/>
                <w:sz w:val="24"/>
                <w:szCs w:val="24"/>
                <w:highlight w:val="none"/>
                <w:u w:val="single"/>
                <w:shd w:val="clear" w:fill="FFFFFF"/>
                <w:lang w:val="en-US" w:eastAsia="zh-CN" w:bidi="ar"/>
              </w:rPr>
              <w:fldChar w:fldCharType="begin"/>
            </w:r>
            <w:r>
              <w:rPr>
                <w:rFonts w:hint="default" w:ascii="Times New Roman" w:hAnsi="Times New Roman" w:eastAsia="宋体" w:cs="Times New Roman"/>
                <w:b w:val="0"/>
                <w:bCs w:val="0"/>
                <w:i w:val="0"/>
                <w:iCs w:val="0"/>
                <w:caps w:val="0"/>
                <w:color w:val="auto"/>
                <w:spacing w:val="0"/>
                <w:kern w:val="0"/>
                <w:sz w:val="24"/>
                <w:szCs w:val="24"/>
                <w:highlight w:val="none"/>
                <w:u w:val="single"/>
                <w:shd w:val="clear" w:fill="FFFFFF"/>
                <w:lang w:val="en-US" w:eastAsia="zh-CN" w:bidi="ar"/>
              </w:rPr>
              <w:instrText xml:space="preserve"> HYPERLINK "https://www.baidu.com/link?url=PPu2DRTNzJ8ypB0HQXgTBkpa-E01rmuW46FPjIcFUQdpaRa51XaBkKenV8G_HGqPe_7QBC4DD9-nvsVRxby4C__FXNtpjAwY8iVeSFB6mMS&amp;wd=&amp;eqid=f8c4f10e05380d2600000006684f7821" \t "https://www.baidu.com/_blank" </w:instrText>
            </w:r>
            <w:r>
              <w:rPr>
                <w:rFonts w:hint="default" w:ascii="Times New Roman" w:hAnsi="Times New Roman" w:eastAsia="宋体" w:cs="Times New Roman"/>
                <w:b w:val="0"/>
                <w:bCs w:val="0"/>
                <w:i w:val="0"/>
                <w:iCs w:val="0"/>
                <w:caps w:val="0"/>
                <w:color w:val="auto"/>
                <w:spacing w:val="0"/>
                <w:kern w:val="0"/>
                <w:sz w:val="24"/>
                <w:szCs w:val="24"/>
                <w:highlight w:val="none"/>
                <w:u w:val="single"/>
                <w:shd w:val="clear" w:fill="FFFFFF"/>
                <w:lang w:val="en-US" w:eastAsia="zh-CN" w:bidi="ar"/>
              </w:rPr>
              <w:fldChar w:fldCharType="separate"/>
            </w:r>
            <w:r>
              <w:rPr>
                <w:rFonts w:hint="default" w:ascii="Times New Roman" w:hAnsi="Times New Roman" w:eastAsia="宋体" w:cs="Times New Roman"/>
                <w:b w:val="0"/>
                <w:bCs w:val="0"/>
                <w:color w:val="auto"/>
                <w:sz w:val="24"/>
                <w:szCs w:val="24"/>
                <w:highlight w:val="none"/>
                <w:lang w:val="en-US" w:eastAsia="zh-CN"/>
              </w:rPr>
              <w:t>根据</w:t>
            </w:r>
            <w:r>
              <w:rPr>
                <w:rFonts w:hint="default" w:ascii="Times New Roman" w:hAnsi="Times New Roman" w:eastAsia="宋体" w:cs="Times New Roman"/>
                <w:b w:val="0"/>
                <w:bCs w:val="0"/>
                <w:color w:val="auto"/>
                <w:sz w:val="24"/>
                <w:szCs w:val="24"/>
                <w:highlight w:val="none"/>
              </w:rPr>
              <w:t>《云南省用水定额》</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DB53T168-20</w:t>
            </w:r>
            <w:r>
              <w:rPr>
                <w:rFonts w:hint="eastAsia" w:cs="Times New Roman"/>
                <w:b w:val="0"/>
                <w:bCs w:val="0"/>
                <w:color w:val="auto"/>
                <w:sz w:val="24"/>
                <w:szCs w:val="24"/>
                <w:highlight w:val="none"/>
                <w:lang w:val="en-US" w:eastAsia="zh-CN"/>
              </w:rPr>
              <w:t>26</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i w:val="0"/>
                <w:iCs w:val="0"/>
                <w:caps w:val="0"/>
                <w:color w:val="auto"/>
                <w:spacing w:val="0"/>
                <w:kern w:val="0"/>
                <w:sz w:val="24"/>
                <w:szCs w:val="24"/>
                <w:highlight w:val="none"/>
                <w:u w:val="single"/>
                <w:shd w:val="clear" w:fill="FFFFFF"/>
                <w:lang w:val="en-US" w:eastAsia="zh-CN" w:bidi="ar"/>
              </w:rPr>
              <w:fldChar w:fldCharType="end"/>
            </w:r>
            <w:r>
              <w:rPr>
                <w:rFonts w:hint="eastAsia" w:cs="Times New Roman"/>
                <w:b w:val="0"/>
                <w:bCs w:val="0"/>
                <w:i w:val="0"/>
                <w:iCs w:val="0"/>
                <w:caps w:val="0"/>
                <w:color w:val="auto"/>
                <w:spacing w:val="0"/>
                <w:kern w:val="0"/>
                <w:sz w:val="24"/>
                <w:szCs w:val="24"/>
                <w:highlight w:val="none"/>
                <w:u w:val="single"/>
                <w:shd w:val="clear" w:fill="FFFFFF"/>
                <w:lang w:val="en-US" w:eastAsia="zh-CN" w:bidi="ar"/>
              </w:rPr>
              <w:t>中其他居民服务</w:t>
            </w:r>
            <w:r>
              <w:rPr>
                <w:rFonts w:hint="eastAsia" w:cs="Times New Roman"/>
                <w:color w:val="auto"/>
                <w:sz w:val="24"/>
                <w:szCs w:val="24"/>
                <w:highlight w:val="none"/>
                <w:lang w:val="en-US" w:eastAsia="zh-CN"/>
              </w:rPr>
              <w:t>8</w:t>
            </w:r>
            <w:r>
              <w:rPr>
                <w:rFonts w:hint="eastAsia" w:ascii="Times New Roman" w:hAnsi="Times New Roman" w:cs="Times New Roman"/>
                <w:color w:val="auto"/>
                <w:sz w:val="24"/>
                <w:szCs w:val="24"/>
                <w:highlight w:val="none"/>
                <w:lang w:val="en-US" w:eastAsia="zh-CN"/>
              </w:rPr>
              <w:t>L</w:t>
            </w:r>
            <w:r>
              <w:rPr>
                <w:rFonts w:hint="default" w:ascii="Times New Roman" w:hAnsi="Times New Roman" w:cs="Times New Roman"/>
                <w:color w:val="auto"/>
                <w:sz w:val="24"/>
                <w:szCs w:val="24"/>
                <w:highlight w:val="none"/>
                <w:vertAlign w:val="baseline"/>
                <w:lang w:val="en-US" w:eastAsia="zh-CN"/>
              </w:rPr>
              <w:t>/人·</w:t>
            </w:r>
            <w:r>
              <w:rPr>
                <w:rFonts w:hint="eastAsia" w:ascii="Times New Roman" w:hAnsi="Times New Roman" w:cs="Times New Roman"/>
                <w:color w:val="auto"/>
                <w:sz w:val="24"/>
                <w:szCs w:val="24"/>
                <w:highlight w:val="none"/>
                <w:vertAlign w:val="baseline"/>
                <w:lang w:val="en-US" w:eastAsia="zh-CN"/>
              </w:rPr>
              <w:t>次</w:t>
            </w:r>
            <w:r>
              <w:rPr>
                <w:rFonts w:hint="default" w:ascii="Times New Roman" w:hAnsi="Times New Roman" w:eastAsia="宋体" w:cs="Times New Roman"/>
                <w:b w:val="0"/>
                <w:bCs w:val="0"/>
                <w:i w:val="0"/>
                <w:iCs w:val="0"/>
                <w:caps w:val="0"/>
                <w:color w:val="auto"/>
                <w:spacing w:val="0"/>
                <w:kern w:val="0"/>
                <w:sz w:val="24"/>
                <w:szCs w:val="24"/>
                <w:highlight w:val="none"/>
                <w:u w:val="none"/>
                <w:shd w:val="clear" w:fill="FFFFFF"/>
                <w:lang w:val="en-US" w:eastAsia="zh-CN" w:bidi="ar"/>
              </w:rPr>
              <w:t>，</w:t>
            </w:r>
            <w:r>
              <w:rPr>
                <w:rFonts w:hint="eastAsia" w:cs="Times New Roman"/>
                <w:b w:val="0"/>
                <w:bCs w:val="0"/>
                <w:i w:val="0"/>
                <w:iCs w:val="0"/>
                <w:caps w:val="0"/>
                <w:color w:val="auto"/>
                <w:spacing w:val="0"/>
                <w:kern w:val="0"/>
                <w:sz w:val="24"/>
                <w:szCs w:val="24"/>
                <w:highlight w:val="none"/>
                <w:u w:val="none"/>
                <w:shd w:val="clear" w:fill="FFFFFF"/>
                <w:lang w:val="en-US" w:eastAsia="zh-CN" w:bidi="ar"/>
              </w:rPr>
              <w:t>本项目</w:t>
            </w:r>
            <w:r>
              <w:rPr>
                <w:rFonts w:hint="eastAsia" w:ascii="Times New Roman" w:hAnsi="Times New Roman" w:cs="Times New Roman"/>
                <w:b w:val="0"/>
                <w:bCs w:val="0"/>
                <w:i w:val="0"/>
                <w:iCs w:val="0"/>
                <w:caps w:val="0"/>
                <w:color w:val="auto"/>
                <w:spacing w:val="0"/>
                <w:kern w:val="0"/>
                <w:sz w:val="24"/>
                <w:szCs w:val="24"/>
                <w:highlight w:val="none"/>
                <w:u w:val="none"/>
                <w:shd w:val="clear" w:fill="FFFFFF"/>
                <w:lang w:val="en-US" w:eastAsia="zh-CN" w:bidi="ar"/>
              </w:rPr>
              <w:t>参观人员</w:t>
            </w:r>
            <w:r>
              <w:rPr>
                <w:rFonts w:hint="eastAsia" w:cs="Times New Roman"/>
                <w:b w:val="0"/>
                <w:bCs w:val="0"/>
                <w:i w:val="0"/>
                <w:iCs w:val="0"/>
                <w:caps w:val="0"/>
                <w:color w:val="auto"/>
                <w:spacing w:val="0"/>
                <w:kern w:val="0"/>
                <w:sz w:val="24"/>
                <w:szCs w:val="24"/>
                <w:highlight w:val="none"/>
                <w:u w:val="none"/>
                <w:shd w:val="clear" w:fill="FFFFFF"/>
                <w:lang w:val="en-US" w:eastAsia="zh-CN" w:bidi="ar"/>
              </w:rPr>
              <w:t>20人/d</w:t>
            </w:r>
            <w:r>
              <w:rPr>
                <w:rFonts w:hint="default" w:ascii="Times New Roman" w:hAnsi="Times New Roman" w:cs="Times New Roman"/>
                <w:color w:val="auto"/>
                <w:sz w:val="24"/>
                <w:szCs w:val="24"/>
                <w:highlight w:val="none"/>
                <w:vertAlign w:val="baseline"/>
                <w:lang w:val="en-US" w:eastAsia="zh-CN"/>
              </w:rPr>
              <w:t>，</w:t>
            </w:r>
            <w:r>
              <w:rPr>
                <w:rFonts w:hint="eastAsia" w:cs="Times New Roman"/>
                <w:color w:val="auto"/>
                <w:sz w:val="24"/>
                <w:szCs w:val="24"/>
                <w:highlight w:val="none"/>
                <w:vertAlign w:val="baseline"/>
                <w:lang w:val="en-US" w:eastAsia="zh-CN"/>
              </w:rPr>
              <w:t>则</w:t>
            </w:r>
            <w:r>
              <w:rPr>
                <w:rFonts w:hint="default" w:ascii="Times New Roman" w:hAnsi="Times New Roman" w:cs="Times New Roman"/>
                <w:color w:val="auto"/>
                <w:sz w:val="24"/>
                <w:szCs w:val="24"/>
                <w:highlight w:val="none"/>
                <w:lang w:val="zh-CN"/>
              </w:rPr>
              <w:t>项目</w:t>
            </w:r>
            <w:r>
              <w:rPr>
                <w:rFonts w:hint="eastAsia" w:ascii="Times New Roman" w:hAnsi="Times New Roman" w:cs="Times New Roman"/>
                <w:color w:val="auto"/>
                <w:sz w:val="24"/>
                <w:szCs w:val="24"/>
                <w:highlight w:val="none"/>
                <w:lang w:val="en-US" w:eastAsia="zh-CN"/>
              </w:rPr>
              <w:t>展厅</w:t>
            </w:r>
            <w:r>
              <w:rPr>
                <w:rFonts w:hint="default" w:ascii="Times New Roman" w:hAnsi="Times New Roman" w:cs="Times New Roman"/>
                <w:color w:val="auto"/>
                <w:sz w:val="24"/>
                <w:szCs w:val="24"/>
                <w:highlight w:val="none"/>
                <w:lang w:val="zh-CN"/>
              </w:rPr>
              <w:t>用水量为</w:t>
            </w:r>
            <w:r>
              <w:rPr>
                <w:rFonts w:hint="eastAsia" w:cs="Times New Roman"/>
                <w:color w:val="auto"/>
                <w:sz w:val="24"/>
                <w:szCs w:val="24"/>
                <w:highlight w:val="none"/>
                <w:lang w:val="en-US" w:eastAsia="zh-CN"/>
              </w:rPr>
              <w:t>0.16</w:t>
            </w:r>
            <w:r>
              <w:rPr>
                <w:rFonts w:hint="default" w:ascii="Times New Roman" w:hAnsi="Times New Roman" w:cs="Times New Roman"/>
                <w:color w:val="auto"/>
                <w:sz w:val="24"/>
                <w:szCs w:val="24"/>
                <w:highlight w:val="none"/>
                <w:lang w:val="zh-CN"/>
              </w:rPr>
              <w:t>m</w:t>
            </w:r>
            <w:r>
              <w:rPr>
                <w:rFonts w:hint="default" w:ascii="Times New Roman" w:hAnsi="Times New Roman" w:cs="Times New Roman"/>
                <w:color w:val="auto"/>
                <w:sz w:val="24"/>
                <w:szCs w:val="24"/>
                <w:highlight w:val="none"/>
                <w:vertAlign w:val="superscript"/>
                <w:lang w:val="zh-CN"/>
              </w:rPr>
              <w:t>3</w:t>
            </w:r>
            <w:r>
              <w:rPr>
                <w:rFonts w:hint="default" w:ascii="Times New Roman" w:hAnsi="Times New Roman" w:cs="Times New Roman"/>
                <w:color w:val="auto"/>
                <w:sz w:val="24"/>
                <w:szCs w:val="24"/>
                <w:highlight w:val="none"/>
                <w:lang w:val="zh-CN"/>
              </w:rPr>
              <w:t>/d、</w:t>
            </w:r>
            <w:r>
              <w:rPr>
                <w:rFonts w:hint="eastAsia" w:cs="Times New Roman"/>
                <w:color w:val="auto"/>
                <w:sz w:val="24"/>
                <w:szCs w:val="24"/>
                <w:highlight w:val="none"/>
                <w:lang w:val="en-US" w:eastAsia="zh-CN"/>
              </w:rPr>
              <w:t>40</w:t>
            </w:r>
            <w:r>
              <w:rPr>
                <w:rFonts w:hint="default" w:ascii="Times New Roman" w:hAnsi="Times New Roman" w:cs="Times New Roman"/>
                <w:color w:val="auto"/>
                <w:sz w:val="24"/>
                <w:szCs w:val="24"/>
                <w:highlight w:val="none"/>
                <w:lang w:val="zh-CN"/>
              </w:rPr>
              <w:t>m</w:t>
            </w:r>
            <w:r>
              <w:rPr>
                <w:rFonts w:hint="default" w:ascii="Times New Roman" w:hAnsi="Times New Roman" w:cs="Times New Roman"/>
                <w:color w:val="auto"/>
                <w:sz w:val="24"/>
                <w:szCs w:val="24"/>
                <w:highlight w:val="none"/>
                <w:vertAlign w:val="superscript"/>
                <w:lang w:val="zh-CN"/>
              </w:rPr>
              <w:t>3</w:t>
            </w:r>
            <w:r>
              <w:rPr>
                <w:rFonts w:hint="default" w:ascii="Times New Roman" w:hAnsi="Times New Roman" w:cs="Times New Roman"/>
                <w:color w:val="auto"/>
                <w:sz w:val="24"/>
                <w:szCs w:val="24"/>
                <w:highlight w:val="none"/>
                <w:lang w:val="zh-CN"/>
              </w:rPr>
              <w:t>/a</w:t>
            </w:r>
            <w:r>
              <w:rPr>
                <w:rFonts w:hint="eastAsia" w:ascii="Times New Roman" w:hAnsi="Times New Roman" w:cs="Times New Roman"/>
                <w:color w:val="auto"/>
                <w:sz w:val="24"/>
                <w:szCs w:val="24"/>
                <w:highlight w:val="none"/>
                <w:lang w:val="zh-CN"/>
              </w:rPr>
              <w:t>。</w:t>
            </w:r>
          </w:p>
          <w:p w14:paraId="24A2D46E">
            <w:pPr>
              <w:spacing w:line="360" w:lineRule="auto"/>
              <w:ind w:firstLine="480" w:firstLineChars="200"/>
              <w:rPr>
                <w:rFonts w:hint="eastAsia" w:eastAsia="宋体"/>
                <w:color w:val="auto"/>
                <w:sz w:val="24"/>
                <w:szCs w:val="24"/>
                <w:highlight w:val="none"/>
                <w:lang w:val="en-US" w:eastAsia="zh-CN"/>
              </w:rPr>
            </w:pPr>
            <w:r>
              <w:rPr>
                <w:rFonts w:hint="eastAsia"/>
                <w:color w:val="auto"/>
                <w:sz w:val="24"/>
                <w:szCs w:val="24"/>
                <w:highlight w:val="none"/>
                <w:lang w:val="en-US" w:eastAsia="zh-CN"/>
              </w:rPr>
              <w:t>③展厅清洁用水</w:t>
            </w:r>
          </w:p>
          <w:p w14:paraId="200EC924">
            <w:pPr>
              <w:pStyle w:val="7"/>
              <w:adjustRightInd w:val="0"/>
              <w:snapToGrid w:val="0"/>
              <w:spacing w:line="360" w:lineRule="auto"/>
              <w:ind w:firstLine="480"/>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展厅运营</w:t>
            </w:r>
            <w:r>
              <w:rPr>
                <w:rFonts w:hint="default" w:ascii="Times New Roman" w:hAnsi="Times New Roman" w:cs="Times New Roman"/>
                <w:color w:val="auto"/>
                <w:sz w:val="24"/>
                <w:szCs w:val="24"/>
                <w:highlight w:val="none"/>
              </w:rPr>
              <w:t>需要每天清洗一次，总建筑面积约为</w:t>
            </w:r>
            <w:r>
              <w:rPr>
                <w:rFonts w:hint="eastAsia" w:ascii="Times New Roman" w:hAnsi="Times New Roman" w:cs="Times New Roman"/>
                <w:color w:val="auto"/>
                <w:sz w:val="24"/>
                <w:szCs w:val="24"/>
                <w:highlight w:val="none"/>
                <w:lang w:val="en-US" w:eastAsia="zh-CN"/>
              </w:rPr>
              <w:t>22</w:t>
            </w:r>
            <w:r>
              <w:rPr>
                <w:rFonts w:hint="eastAsia" w:cs="Times New Roman"/>
                <w:color w:val="auto"/>
                <w:sz w:val="24"/>
                <w:szCs w:val="24"/>
                <w:highlight w:val="none"/>
                <w:lang w:val="en-US" w:eastAsia="zh-CN"/>
              </w:rPr>
              <w:t>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（不包含</w:t>
            </w:r>
            <w:r>
              <w:rPr>
                <w:rFonts w:hint="eastAsia" w:ascii="Times New Roman" w:hAnsi="Times New Roman" w:cs="Times New Roman"/>
                <w:color w:val="auto"/>
                <w:sz w:val="24"/>
                <w:szCs w:val="24"/>
                <w:highlight w:val="none"/>
                <w:lang w:val="en-US" w:eastAsia="zh-CN"/>
              </w:rPr>
              <w:t>辅助用房</w:t>
            </w:r>
            <w:r>
              <w:rPr>
                <w:rFonts w:hint="default" w:ascii="Times New Roman" w:hAnsi="Times New Roman" w:cs="Times New Roman"/>
                <w:color w:val="auto"/>
                <w:sz w:val="24"/>
                <w:szCs w:val="24"/>
                <w:highlight w:val="none"/>
              </w:rPr>
              <w:t>面积）。根据</w:t>
            </w:r>
            <w:r>
              <w:rPr>
                <w:rFonts w:hint="default" w:ascii="Times New Roman" w:hAnsi="Times New Roman" w:eastAsia="宋体" w:cs="Times New Roman"/>
                <w:b w:val="0"/>
                <w:bCs w:val="0"/>
                <w:color w:val="auto"/>
                <w:sz w:val="24"/>
                <w:szCs w:val="24"/>
                <w:highlight w:val="none"/>
              </w:rPr>
              <w:t>《云南省用水定额》</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DB53T168-20</w:t>
            </w:r>
            <w:r>
              <w:rPr>
                <w:rFonts w:hint="eastAsia" w:cs="Times New Roman"/>
                <w:b w:val="0"/>
                <w:bCs w:val="0"/>
                <w:color w:val="auto"/>
                <w:sz w:val="24"/>
                <w:szCs w:val="24"/>
                <w:highlight w:val="none"/>
                <w:lang w:val="en-US" w:eastAsia="zh-CN"/>
              </w:rPr>
              <w:t>26</w:t>
            </w:r>
            <w:r>
              <w:rPr>
                <w:rFonts w:hint="default" w:ascii="Times New Roman" w:hAnsi="Times New Roman" w:eastAsia="宋体"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中无展厅清洁用水标准，项目展厅主要用于烟花爆竹安全教育宣传及样品展示，根据资料</w:t>
            </w:r>
            <w:r>
              <w:rPr>
                <w:rFonts w:hint="eastAsia" w:ascii="Times New Roman" w:hAnsi="Times New Roman" w:cs="Times New Roman"/>
                <w:color w:val="auto"/>
                <w:sz w:val="24"/>
                <w:szCs w:val="24"/>
                <w:highlight w:val="none"/>
                <w:lang w:val="en-US" w:eastAsia="zh-CN"/>
              </w:rPr>
              <w:t>展厅</w:t>
            </w:r>
            <w:r>
              <w:rPr>
                <w:rFonts w:hint="default" w:ascii="Times New Roman" w:hAnsi="Times New Roman" w:cs="Times New Roman"/>
                <w:color w:val="auto"/>
                <w:sz w:val="24"/>
                <w:szCs w:val="24"/>
                <w:highlight w:val="none"/>
                <w:lang w:val="en-US" w:eastAsia="zh-CN"/>
              </w:rPr>
              <w:t>地面清洁</w:t>
            </w:r>
            <w:r>
              <w:rPr>
                <w:rFonts w:hint="default" w:ascii="Times New Roman" w:hAnsi="Times New Roman" w:cs="Times New Roman"/>
                <w:color w:val="auto"/>
                <w:sz w:val="24"/>
                <w:szCs w:val="24"/>
                <w:highlight w:val="none"/>
              </w:rPr>
              <w:t>用水约为</w:t>
            </w:r>
            <w:r>
              <w:rPr>
                <w:rFonts w:hint="default" w:ascii="Times New Roman" w:hAnsi="Times New Roman" w:cs="Times New Roman"/>
                <w:color w:val="auto"/>
                <w:sz w:val="24"/>
                <w:szCs w:val="24"/>
                <w:highlight w:val="none"/>
                <w:lang w:val="en-US" w:eastAsia="zh-CN"/>
              </w:rPr>
              <w:t>0.5</w:t>
            </w:r>
            <w:r>
              <w:rPr>
                <w:rFonts w:hint="default" w:ascii="Times New Roman" w:hAnsi="Times New Roman" w:cs="Times New Roman"/>
                <w:color w:val="auto"/>
                <w:sz w:val="24"/>
                <w:szCs w:val="24"/>
                <w:highlight w:val="none"/>
              </w:rPr>
              <w:t>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vertAlign w:val="baseline"/>
                <w:lang w:val="en-US" w:eastAsia="zh-CN"/>
              </w:rPr>
              <w:t>·d</w:t>
            </w:r>
            <w:r>
              <w:rPr>
                <w:rFonts w:hint="default" w:ascii="Times New Roman" w:hAnsi="Times New Roman" w:cs="Times New Roman"/>
                <w:color w:val="auto"/>
                <w:sz w:val="24"/>
                <w:szCs w:val="24"/>
                <w:highlight w:val="none"/>
              </w:rPr>
              <w:t>（年工作</w:t>
            </w:r>
            <w:r>
              <w:rPr>
                <w:rFonts w:hint="eastAsia"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rPr>
              <w:t>0d）。</w:t>
            </w:r>
            <w:r>
              <w:rPr>
                <w:rFonts w:hint="eastAsia" w:ascii="Times New Roman" w:hAnsi="Times New Roman" w:cs="Times New Roman"/>
                <w:color w:val="auto"/>
                <w:sz w:val="24"/>
                <w:szCs w:val="24"/>
                <w:highlight w:val="none"/>
                <w:lang w:val="en-US" w:eastAsia="zh-CN"/>
              </w:rPr>
              <w:t>展厅</w:t>
            </w:r>
            <w:r>
              <w:rPr>
                <w:rFonts w:hint="default" w:ascii="Times New Roman" w:hAnsi="Times New Roman" w:cs="Times New Roman"/>
                <w:color w:val="auto"/>
                <w:sz w:val="24"/>
                <w:szCs w:val="24"/>
                <w:highlight w:val="none"/>
              </w:rPr>
              <w:t>地面清洁用水量为</w:t>
            </w:r>
            <w:r>
              <w:rPr>
                <w:rFonts w:hint="eastAsia" w:ascii="Times New Roman" w:hAnsi="Times New Roman" w:cs="Times New Roman"/>
                <w:color w:val="auto"/>
                <w:sz w:val="24"/>
                <w:szCs w:val="24"/>
                <w:highlight w:val="none"/>
                <w:lang w:val="en-US" w:eastAsia="zh-CN"/>
              </w:rPr>
              <w:t>1.1</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val="en-US" w:eastAsia="zh-CN"/>
              </w:rPr>
              <w:t>275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lang w:eastAsia="zh-CN"/>
              </w:rPr>
              <w:t>。</w:t>
            </w:r>
          </w:p>
          <w:p w14:paraId="5322CCF0">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val="en-US" w:eastAsia="zh-CN"/>
              </w:rPr>
              <w:t>④绿化用水</w:t>
            </w:r>
          </w:p>
          <w:p w14:paraId="0B743F81">
            <w:pPr>
              <w:spacing w:line="360" w:lineRule="auto"/>
              <w:ind w:firstLine="480" w:firstLineChars="200"/>
              <w:rPr>
                <w:color w:val="auto"/>
                <w:sz w:val="24"/>
                <w:szCs w:val="24"/>
                <w:highlight w:val="none"/>
              </w:rPr>
            </w:pPr>
            <w:r>
              <w:rPr>
                <w:color w:val="auto"/>
                <w:sz w:val="24"/>
                <w:szCs w:val="24"/>
                <w:highlight w:val="none"/>
              </w:rPr>
              <w:t>项目区绿化面积为</w:t>
            </w:r>
            <w:r>
              <w:rPr>
                <w:rFonts w:hint="eastAsia"/>
                <w:color w:val="auto"/>
                <w:sz w:val="24"/>
                <w:szCs w:val="24"/>
                <w:highlight w:val="none"/>
                <w:lang w:val="en-US" w:eastAsia="zh-CN"/>
              </w:rPr>
              <w:t>1262</w:t>
            </w:r>
            <w:r>
              <w:rPr>
                <w:color w:val="auto"/>
                <w:sz w:val="24"/>
                <w:szCs w:val="24"/>
                <w:highlight w:val="none"/>
              </w:rPr>
              <w:t>m</w:t>
            </w:r>
            <w:r>
              <w:rPr>
                <w:color w:val="auto"/>
                <w:sz w:val="24"/>
                <w:szCs w:val="24"/>
                <w:highlight w:val="none"/>
                <w:vertAlign w:val="superscript"/>
              </w:rPr>
              <w:t>2</w:t>
            </w:r>
            <w:r>
              <w:rPr>
                <w:color w:val="auto"/>
                <w:sz w:val="24"/>
                <w:szCs w:val="24"/>
                <w:highlight w:val="none"/>
              </w:rPr>
              <w:t>，绿化用水量按</w:t>
            </w:r>
            <w:r>
              <w:rPr>
                <w:rFonts w:hint="eastAsia"/>
                <w:color w:val="auto"/>
                <w:sz w:val="24"/>
                <w:szCs w:val="24"/>
                <w:highlight w:val="none"/>
              </w:rPr>
              <w:t>3.0</w:t>
            </w:r>
            <w:r>
              <w:rPr>
                <w:color w:val="auto"/>
                <w:sz w:val="24"/>
                <w:szCs w:val="24"/>
                <w:highlight w:val="none"/>
              </w:rPr>
              <w:t>L/m</w:t>
            </w:r>
            <w:r>
              <w:rPr>
                <w:color w:val="auto"/>
                <w:sz w:val="24"/>
                <w:szCs w:val="24"/>
                <w:highlight w:val="none"/>
                <w:vertAlign w:val="superscript"/>
              </w:rPr>
              <w:t>2</w:t>
            </w:r>
            <w:r>
              <w:rPr>
                <w:color w:val="auto"/>
                <w:sz w:val="24"/>
                <w:szCs w:val="24"/>
                <w:highlight w:val="none"/>
              </w:rPr>
              <w:t>·次计，</w:t>
            </w:r>
            <w:r>
              <w:rPr>
                <w:rFonts w:hint="eastAsia"/>
                <w:color w:val="auto"/>
                <w:sz w:val="24"/>
                <w:szCs w:val="24"/>
                <w:highlight w:val="none"/>
                <w:lang w:val="en-US" w:eastAsia="zh-CN"/>
              </w:rPr>
              <w:t>非雨天</w:t>
            </w:r>
            <w:r>
              <w:rPr>
                <w:color w:val="auto"/>
                <w:sz w:val="24"/>
                <w:szCs w:val="24"/>
                <w:highlight w:val="none"/>
              </w:rPr>
              <w:t>一天</w:t>
            </w:r>
            <w:r>
              <w:rPr>
                <w:rFonts w:hint="eastAsia"/>
                <w:color w:val="auto"/>
                <w:sz w:val="24"/>
                <w:szCs w:val="24"/>
                <w:highlight w:val="none"/>
                <w:lang w:val="en-US" w:eastAsia="zh-CN"/>
              </w:rPr>
              <w:t>浇洒</w:t>
            </w:r>
            <w:r>
              <w:rPr>
                <w:color w:val="auto"/>
                <w:sz w:val="24"/>
                <w:szCs w:val="24"/>
                <w:highlight w:val="none"/>
              </w:rPr>
              <w:t>1次，则绿化用水量为</w:t>
            </w:r>
            <w:r>
              <w:rPr>
                <w:rFonts w:hint="eastAsia"/>
                <w:color w:val="auto"/>
                <w:sz w:val="24"/>
                <w:szCs w:val="24"/>
                <w:highlight w:val="none"/>
                <w:lang w:val="en-US" w:eastAsia="zh-CN"/>
              </w:rPr>
              <w:t>3.786</w:t>
            </w:r>
            <w:r>
              <w:rPr>
                <w:color w:val="auto"/>
                <w:sz w:val="24"/>
                <w:szCs w:val="24"/>
                <w:highlight w:val="none"/>
              </w:rPr>
              <w:t>m</w:t>
            </w:r>
            <w:r>
              <w:rPr>
                <w:color w:val="auto"/>
                <w:sz w:val="24"/>
                <w:szCs w:val="24"/>
                <w:highlight w:val="none"/>
                <w:vertAlign w:val="superscript"/>
              </w:rPr>
              <w:t>3</w:t>
            </w:r>
            <w:r>
              <w:rPr>
                <w:color w:val="auto"/>
                <w:sz w:val="24"/>
                <w:szCs w:val="24"/>
                <w:highlight w:val="none"/>
              </w:rPr>
              <w:t>/d</w:t>
            </w:r>
            <w:r>
              <w:rPr>
                <w:rFonts w:hint="eastAsia"/>
                <w:color w:val="auto"/>
                <w:sz w:val="24"/>
                <w:szCs w:val="24"/>
                <w:highlight w:val="none"/>
              </w:rPr>
              <w:t>，</w:t>
            </w:r>
            <w:r>
              <w:rPr>
                <w:rFonts w:hint="default" w:ascii="Times New Roman" w:hAnsi="Times New Roman" w:cs="Times New Roman"/>
                <w:color w:val="auto"/>
                <w:sz w:val="24"/>
                <w:szCs w:val="24"/>
                <w:highlight w:val="none"/>
              </w:rPr>
              <w:t>年工作</w:t>
            </w:r>
            <w:r>
              <w:rPr>
                <w:rFonts w:hint="eastAsia"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rPr>
              <w:t>0d</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根据寻甸气候，运营期间非雨天按100天计算</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则绿化用水量为378.6m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/a</w:t>
            </w:r>
            <w:r>
              <w:rPr>
                <w:color w:val="auto"/>
                <w:sz w:val="24"/>
                <w:szCs w:val="24"/>
                <w:highlight w:val="none"/>
              </w:rPr>
              <w:t>。</w:t>
            </w:r>
          </w:p>
          <w:p w14:paraId="03FAAA37">
            <w:pPr>
              <w:spacing w:line="360" w:lineRule="auto"/>
              <w:ind w:firstLine="480" w:firstLineChars="200"/>
              <w:rPr>
                <w:color w:val="auto"/>
                <w:sz w:val="24"/>
                <w:szCs w:val="24"/>
                <w:highlight w:val="none"/>
              </w:rPr>
            </w:pPr>
            <w:r>
              <w:rPr>
                <w:color w:val="auto"/>
                <w:sz w:val="24"/>
                <w:szCs w:val="24"/>
                <w:highlight w:val="none"/>
              </w:rPr>
              <w:t>（2）排水</w:t>
            </w:r>
          </w:p>
          <w:p w14:paraId="45DF0A79">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val="en-US" w:eastAsia="zh-CN"/>
              </w:rPr>
              <w:t>①员工生活废水</w:t>
            </w:r>
          </w:p>
          <w:p w14:paraId="7474356A">
            <w:pPr>
              <w:spacing w:line="360" w:lineRule="auto"/>
              <w:ind w:firstLine="480" w:firstLineChars="200"/>
              <w:rPr>
                <w:color w:val="auto"/>
                <w:sz w:val="24"/>
                <w:szCs w:val="24"/>
                <w:highlight w:val="none"/>
              </w:rPr>
            </w:pPr>
            <w:r>
              <w:rPr>
                <w:rFonts w:hint="eastAsia"/>
                <w:color w:val="auto"/>
                <w:sz w:val="24"/>
                <w:szCs w:val="24"/>
                <w:highlight w:val="none"/>
                <w:lang w:val="en-US" w:eastAsia="zh-CN"/>
              </w:rPr>
              <w:t>员工</w:t>
            </w:r>
            <w:r>
              <w:rPr>
                <w:color w:val="auto"/>
                <w:sz w:val="24"/>
                <w:szCs w:val="24"/>
                <w:highlight w:val="none"/>
              </w:rPr>
              <w:t>生活污水产生量按用水量的80%计，则生活污水产生量为0.</w:t>
            </w:r>
            <w:r>
              <w:rPr>
                <w:rFonts w:hint="eastAsia"/>
                <w:color w:val="auto"/>
                <w:sz w:val="24"/>
                <w:szCs w:val="24"/>
                <w:highlight w:val="none"/>
                <w:lang w:val="en-US" w:eastAsia="zh-CN"/>
              </w:rPr>
              <w:t>44</w:t>
            </w:r>
            <w:r>
              <w:rPr>
                <w:color w:val="auto"/>
                <w:sz w:val="24"/>
                <w:szCs w:val="24"/>
                <w:highlight w:val="none"/>
              </w:rPr>
              <w:t>m</w:t>
            </w:r>
            <w:r>
              <w:rPr>
                <w:color w:val="auto"/>
                <w:sz w:val="24"/>
                <w:szCs w:val="24"/>
                <w:highlight w:val="none"/>
                <w:vertAlign w:val="superscript"/>
              </w:rPr>
              <w:t>3</w:t>
            </w:r>
            <w:r>
              <w:rPr>
                <w:color w:val="auto"/>
                <w:sz w:val="24"/>
                <w:szCs w:val="24"/>
                <w:highlight w:val="none"/>
              </w:rPr>
              <w:t>/d，</w:t>
            </w:r>
            <w:r>
              <w:rPr>
                <w:rFonts w:hint="eastAsia"/>
                <w:color w:val="auto"/>
                <w:sz w:val="24"/>
                <w:szCs w:val="24"/>
                <w:highlight w:val="none"/>
                <w:lang w:val="en-US" w:eastAsia="zh-CN"/>
              </w:rPr>
              <w:t>110</w:t>
            </w:r>
            <w:r>
              <w:rPr>
                <w:color w:val="auto"/>
                <w:sz w:val="24"/>
                <w:szCs w:val="24"/>
                <w:highlight w:val="none"/>
              </w:rPr>
              <w:t>m</w:t>
            </w:r>
            <w:r>
              <w:rPr>
                <w:color w:val="auto"/>
                <w:sz w:val="24"/>
                <w:szCs w:val="24"/>
                <w:highlight w:val="none"/>
                <w:vertAlign w:val="superscript"/>
              </w:rPr>
              <w:t>3</w:t>
            </w:r>
            <w:r>
              <w:rPr>
                <w:color w:val="auto"/>
                <w:sz w:val="24"/>
                <w:szCs w:val="24"/>
                <w:highlight w:val="none"/>
              </w:rPr>
              <w:t>/a。</w:t>
            </w:r>
            <w:r>
              <w:rPr>
                <w:rFonts w:hint="eastAsia"/>
                <w:color w:val="auto"/>
                <w:sz w:val="24"/>
                <w:szCs w:val="24"/>
                <w:highlight w:val="none"/>
                <w:lang w:val="en-US" w:eastAsia="zh-CN"/>
              </w:rPr>
              <w:t>员工</w:t>
            </w:r>
            <w:r>
              <w:rPr>
                <w:color w:val="auto"/>
                <w:sz w:val="24"/>
                <w:szCs w:val="24"/>
                <w:highlight w:val="none"/>
              </w:rPr>
              <w:t>生活污水排入</w:t>
            </w:r>
            <w:r>
              <w:rPr>
                <w:rFonts w:hint="eastAsia"/>
                <w:color w:val="auto"/>
                <w:sz w:val="24"/>
                <w:szCs w:val="24"/>
                <w:highlight w:val="none"/>
                <w:lang w:val="en-US" w:eastAsia="zh-CN"/>
              </w:rPr>
              <w:t>现有项目生活区已建的</w:t>
            </w:r>
            <w:r>
              <w:rPr>
                <w:color w:val="auto"/>
                <w:sz w:val="24"/>
                <w:szCs w:val="24"/>
                <w:highlight w:val="none"/>
              </w:rPr>
              <w:t>化粪池</w:t>
            </w:r>
            <w:r>
              <w:rPr>
                <w:rFonts w:hint="eastAsia"/>
                <w:color w:val="auto"/>
                <w:sz w:val="24"/>
                <w:szCs w:val="24"/>
                <w:highlight w:val="none"/>
                <w:lang w:eastAsia="zh-CN"/>
              </w:rPr>
              <w:t>（</w:t>
            </w:r>
            <w:r>
              <w:rPr>
                <w:rFonts w:hint="eastAsia"/>
                <w:color w:val="auto"/>
                <w:sz w:val="24"/>
                <w:szCs w:val="24"/>
                <w:highlight w:val="none"/>
                <w:lang w:val="en-US" w:eastAsia="zh-CN"/>
              </w:rPr>
              <w:t>15m</w:t>
            </w:r>
            <w:r>
              <w:rPr>
                <w:rFonts w:hint="eastAsia"/>
                <w:color w:val="auto"/>
                <w:sz w:val="24"/>
                <w:szCs w:val="24"/>
                <w:highlight w:val="none"/>
                <w:vertAlign w:val="superscript"/>
                <w:lang w:val="en-US" w:eastAsia="zh-CN"/>
              </w:rPr>
              <w:t>3</w:t>
            </w:r>
            <w:r>
              <w:rPr>
                <w:rFonts w:hint="eastAsia"/>
                <w:color w:val="auto"/>
                <w:sz w:val="24"/>
                <w:szCs w:val="24"/>
                <w:highlight w:val="none"/>
                <w:lang w:eastAsia="zh-CN"/>
              </w:rPr>
              <w:t>）</w:t>
            </w:r>
            <w:r>
              <w:rPr>
                <w:color w:val="auto"/>
                <w:sz w:val="24"/>
                <w:szCs w:val="24"/>
                <w:highlight w:val="none"/>
              </w:rPr>
              <w:t>后委托</w:t>
            </w:r>
            <w:r>
              <w:rPr>
                <w:rFonts w:hint="eastAsia"/>
                <w:color w:val="auto"/>
                <w:sz w:val="24"/>
                <w:szCs w:val="24"/>
                <w:highlight w:val="none"/>
              </w:rPr>
              <w:t>寻甸县</w:t>
            </w:r>
            <w:r>
              <w:rPr>
                <w:color w:val="auto"/>
                <w:sz w:val="24"/>
                <w:szCs w:val="24"/>
                <w:highlight w:val="none"/>
              </w:rPr>
              <w:t>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rPr>
              <w:t>运至寻甸县污水处理厂处理，</w:t>
            </w:r>
            <w:r>
              <w:rPr>
                <w:color w:val="auto"/>
                <w:sz w:val="24"/>
                <w:szCs w:val="24"/>
                <w:highlight w:val="none"/>
              </w:rPr>
              <w:t>不外排。</w:t>
            </w:r>
          </w:p>
          <w:p w14:paraId="3C5A7A45">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②展厅参观人员废水</w:t>
            </w:r>
          </w:p>
          <w:p w14:paraId="71F1C838">
            <w:pPr>
              <w:spacing w:line="360" w:lineRule="auto"/>
              <w:ind w:firstLine="480" w:firstLineChars="200"/>
              <w:rPr>
                <w:color w:val="auto"/>
                <w:sz w:val="24"/>
                <w:szCs w:val="24"/>
                <w:highlight w:val="none"/>
              </w:rPr>
            </w:pPr>
            <w:r>
              <w:rPr>
                <w:rFonts w:hint="eastAsia"/>
                <w:color w:val="auto"/>
                <w:sz w:val="24"/>
                <w:szCs w:val="24"/>
                <w:highlight w:val="none"/>
                <w:lang w:val="en-US" w:eastAsia="zh-CN"/>
              </w:rPr>
              <w:t>展厅参观人员废水</w:t>
            </w:r>
            <w:r>
              <w:rPr>
                <w:color w:val="auto"/>
                <w:sz w:val="24"/>
                <w:szCs w:val="24"/>
                <w:highlight w:val="none"/>
              </w:rPr>
              <w:t>产生量按用水量的80%计，则生活污水产生量为0.</w:t>
            </w:r>
            <w:r>
              <w:rPr>
                <w:rFonts w:hint="eastAsia"/>
                <w:color w:val="auto"/>
                <w:sz w:val="24"/>
                <w:szCs w:val="24"/>
                <w:highlight w:val="none"/>
                <w:lang w:val="en-US" w:eastAsia="zh-CN"/>
              </w:rPr>
              <w:t>128</w:t>
            </w:r>
            <w:r>
              <w:rPr>
                <w:color w:val="auto"/>
                <w:sz w:val="24"/>
                <w:szCs w:val="24"/>
                <w:highlight w:val="none"/>
              </w:rPr>
              <w:t>m</w:t>
            </w:r>
            <w:r>
              <w:rPr>
                <w:color w:val="auto"/>
                <w:sz w:val="24"/>
                <w:szCs w:val="24"/>
                <w:highlight w:val="none"/>
                <w:vertAlign w:val="superscript"/>
              </w:rPr>
              <w:t>3</w:t>
            </w:r>
            <w:r>
              <w:rPr>
                <w:color w:val="auto"/>
                <w:sz w:val="24"/>
                <w:szCs w:val="24"/>
                <w:highlight w:val="none"/>
              </w:rPr>
              <w:t>/d，</w:t>
            </w:r>
            <w:r>
              <w:rPr>
                <w:rFonts w:hint="eastAsia"/>
                <w:color w:val="auto"/>
                <w:sz w:val="24"/>
                <w:szCs w:val="24"/>
                <w:highlight w:val="none"/>
                <w:lang w:val="en-US" w:eastAsia="zh-CN"/>
              </w:rPr>
              <w:t>32</w:t>
            </w:r>
            <w:r>
              <w:rPr>
                <w:color w:val="auto"/>
                <w:sz w:val="24"/>
                <w:szCs w:val="24"/>
                <w:highlight w:val="none"/>
              </w:rPr>
              <w:t>m</w:t>
            </w:r>
            <w:r>
              <w:rPr>
                <w:color w:val="auto"/>
                <w:sz w:val="24"/>
                <w:szCs w:val="24"/>
                <w:highlight w:val="none"/>
                <w:vertAlign w:val="superscript"/>
              </w:rPr>
              <w:t>3</w:t>
            </w:r>
            <w:r>
              <w:rPr>
                <w:color w:val="auto"/>
                <w:sz w:val="24"/>
                <w:szCs w:val="24"/>
                <w:highlight w:val="none"/>
              </w:rPr>
              <w:t>/a。</w:t>
            </w:r>
            <w:r>
              <w:rPr>
                <w:rFonts w:hint="eastAsia"/>
                <w:color w:val="auto"/>
                <w:sz w:val="24"/>
                <w:szCs w:val="24"/>
                <w:highlight w:val="none"/>
                <w:lang w:val="en-US" w:eastAsia="zh-CN"/>
              </w:rPr>
              <w:t>展厅参观人员废水</w:t>
            </w:r>
            <w:r>
              <w:rPr>
                <w:color w:val="auto"/>
                <w:sz w:val="24"/>
                <w:szCs w:val="24"/>
                <w:highlight w:val="none"/>
              </w:rPr>
              <w:t>排入</w:t>
            </w:r>
            <w:r>
              <w:rPr>
                <w:rFonts w:hint="eastAsia"/>
                <w:color w:val="auto"/>
                <w:sz w:val="24"/>
                <w:szCs w:val="24"/>
                <w:highlight w:val="none"/>
                <w:lang w:val="en-US" w:eastAsia="zh-CN"/>
              </w:rPr>
              <w:t>地块三新建的</w:t>
            </w:r>
            <w:r>
              <w:rPr>
                <w:color w:val="auto"/>
                <w:sz w:val="24"/>
                <w:szCs w:val="24"/>
                <w:highlight w:val="none"/>
              </w:rPr>
              <w:t>化粪池</w:t>
            </w:r>
            <w:r>
              <w:rPr>
                <w:rFonts w:hint="eastAsia"/>
                <w:color w:val="auto"/>
                <w:sz w:val="24"/>
                <w:szCs w:val="24"/>
                <w:highlight w:val="none"/>
                <w:lang w:eastAsia="zh-CN"/>
              </w:rPr>
              <w:t>（</w:t>
            </w:r>
            <w:r>
              <w:rPr>
                <w:rFonts w:hint="eastAsia"/>
                <w:color w:val="auto"/>
                <w:sz w:val="24"/>
                <w:szCs w:val="24"/>
                <w:highlight w:val="none"/>
                <w:lang w:val="en-US" w:eastAsia="zh-CN"/>
              </w:rPr>
              <w:t>25m</w:t>
            </w:r>
            <w:r>
              <w:rPr>
                <w:rFonts w:hint="eastAsia"/>
                <w:color w:val="auto"/>
                <w:sz w:val="24"/>
                <w:szCs w:val="24"/>
                <w:highlight w:val="none"/>
                <w:vertAlign w:val="superscript"/>
                <w:lang w:val="en-US" w:eastAsia="zh-CN"/>
              </w:rPr>
              <w:t>3</w:t>
            </w:r>
            <w:r>
              <w:rPr>
                <w:rFonts w:hint="eastAsia"/>
                <w:color w:val="auto"/>
                <w:sz w:val="24"/>
                <w:szCs w:val="24"/>
                <w:highlight w:val="none"/>
                <w:lang w:eastAsia="zh-CN"/>
              </w:rPr>
              <w:t>）</w:t>
            </w:r>
            <w:r>
              <w:rPr>
                <w:color w:val="auto"/>
                <w:sz w:val="24"/>
                <w:szCs w:val="24"/>
                <w:highlight w:val="none"/>
              </w:rPr>
              <w:t>后委托</w:t>
            </w:r>
            <w:r>
              <w:rPr>
                <w:rFonts w:hint="eastAsia"/>
                <w:color w:val="auto"/>
                <w:sz w:val="24"/>
                <w:szCs w:val="24"/>
                <w:highlight w:val="none"/>
              </w:rPr>
              <w:t>寻甸县</w:t>
            </w:r>
            <w:r>
              <w:rPr>
                <w:color w:val="auto"/>
                <w:sz w:val="24"/>
                <w:szCs w:val="24"/>
                <w:highlight w:val="none"/>
              </w:rPr>
              <w:t>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rPr>
              <w:t>运至寻甸县污水处理厂处理，</w:t>
            </w:r>
            <w:r>
              <w:rPr>
                <w:color w:val="auto"/>
                <w:sz w:val="24"/>
                <w:szCs w:val="24"/>
                <w:highlight w:val="none"/>
              </w:rPr>
              <w:t>不外排。</w:t>
            </w:r>
          </w:p>
          <w:p w14:paraId="78C453B4">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③展厅清洁废水</w:t>
            </w:r>
          </w:p>
          <w:p w14:paraId="4BF6ADC8">
            <w:pPr>
              <w:spacing w:line="360" w:lineRule="auto"/>
              <w:ind w:firstLine="480" w:firstLineChars="200"/>
              <w:rPr>
                <w:color w:val="auto"/>
                <w:sz w:val="24"/>
                <w:szCs w:val="24"/>
                <w:highlight w:val="none"/>
              </w:rPr>
            </w:pPr>
            <w:r>
              <w:rPr>
                <w:rFonts w:hint="eastAsia"/>
                <w:color w:val="auto"/>
                <w:sz w:val="24"/>
                <w:szCs w:val="24"/>
                <w:highlight w:val="none"/>
                <w:lang w:val="en-US" w:eastAsia="zh-CN"/>
              </w:rPr>
              <w:t>展厅清洁废水</w:t>
            </w:r>
            <w:r>
              <w:rPr>
                <w:color w:val="auto"/>
                <w:sz w:val="24"/>
                <w:szCs w:val="24"/>
                <w:highlight w:val="none"/>
              </w:rPr>
              <w:t>产生量按用水量的80%计，则生活污水产生量为</w:t>
            </w:r>
            <w:r>
              <w:rPr>
                <w:rFonts w:hint="eastAsia"/>
                <w:color w:val="auto"/>
                <w:sz w:val="24"/>
                <w:szCs w:val="24"/>
                <w:highlight w:val="none"/>
                <w:lang w:val="en-US" w:eastAsia="zh-CN"/>
              </w:rPr>
              <w:t>0.88</w:t>
            </w:r>
            <w:r>
              <w:rPr>
                <w:color w:val="auto"/>
                <w:sz w:val="24"/>
                <w:szCs w:val="24"/>
                <w:highlight w:val="none"/>
              </w:rPr>
              <w:t>m</w:t>
            </w:r>
            <w:r>
              <w:rPr>
                <w:color w:val="auto"/>
                <w:sz w:val="24"/>
                <w:szCs w:val="24"/>
                <w:highlight w:val="none"/>
                <w:vertAlign w:val="superscript"/>
              </w:rPr>
              <w:t>3</w:t>
            </w:r>
            <w:r>
              <w:rPr>
                <w:color w:val="auto"/>
                <w:sz w:val="24"/>
                <w:szCs w:val="24"/>
                <w:highlight w:val="none"/>
              </w:rPr>
              <w:t>/d，</w:t>
            </w:r>
            <w:r>
              <w:rPr>
                <w:rFonts w:hint="eastAsia"/>
                <w:color w:val="auto"/>
                <w:sz w:val="24"/>
                <w:szCs w:val="24"/>
                <w:highlight w:val="none"/>
                <w:lang w:val="en-US" w:eastAsia="zh-CN"/>
              </w:rPr>
              <w:t>220</w:t>
            </w:r>
            <w:r>
              <w:rPr>
                <w:color w:val="auto"/>
                <w:sz w:val="24"/>
                <w:szCs w:val="24"/>
                <w:highlight w:val="none"/>
              </w:rPr>
              <w:t>m</w:t>
            </w:r>
            <w:r>
              <w:rPr>
                <w:color w:val="auto"/>
                <w:sz w:val="24"/>
                <w:szCs w:val="24"/>
                <w:highlight w:val="none"/>
                <w:vertAlign w:val="superscript"/>
              </w:rPr>
              <w:t>3</w:t>
            </w:r>
            <w:r>
              <w:rPr>
                <w:color w:val="auto"/>
                <w:sz w:val="24"/>
                <w:szCs w:val="24"/>
                <w:highlight w:val="none"/>
              </w:rPr>
              <w:t>/a。</w:t>
            </w:r>
            <w:r>
              <w:rPr>
                <w:rFonts w:hint="eastAsia"/>
                <w:color w:val="auto"/>
                <w:sz w:val="24"/>
                <w:szCs w:val="24"/>
                <w:highlight w:val="none"/>
                <w:lang w:val="en-US" w:eastAsia="zh-CN"/>
              </w:rPr>
              <w:t>展厅清洁废水</w:t>
            </w:r>
            <w:r>
              <w:rPr>
                <w:color w:val="auto"/>
                <w:sz w:val="24"/>
                <w:szCs w:val="24"/>
                <w:highlight w:val="none"/>
              </w:rPr>
              <w:t>排入</w:t>
            </w:r>
            <w:r>
              <w:rPr>
                <w:rFonts w:hint="eastAsia"/>
                <w:color w:val="auto"/>
                <w:sz w:val="24"/>
                <w:szCs w:val="24"/>
                <w:highlight w:val="none"/>
                <w:lang w:val="en-US" w:eastAsia="zh-CN"/>
              </w:rPr>
              <w:t>地块三新建的</w:t>
            </w:r>
            <w:r>
              <w:rPr>
                <w:color w:val="auto"/>
                <w:sz w:val="24"/>
                <w:szCs w:val="24"/>
                <w:highlight w:val="none"/>
              </w:rPr>
              <w:t>化粪池</w:t>
            </w:r>
            <w:r>
              <w:rPr>
                <w:rFonts w:hint="eastAsia"/>
                <w:color w:val="auto"/>
                <w:sz w:val="24"/>
                <w:szCs w:val="24"/>
                <w:highlight w:val="none"/>
                <w:lang w:eastAsia="zh-CN"/>
              </w:rPr>
              <w:t>（</w:t>
            </w:r>
            <w:r>
              <w:rPr>
                <w:rFonts w:hint="eastAsia"/>
                <w:color w:val="auto"/>
                <w:sz w:val="24"/>
                <w:szCs w:val="24"/>
                <w:highlight w:val="none"/>
                <w:lang w:val="en-US" w:eastAsia="zh-CN"/>
              </w:rPr>
              <w:t>25m</w:t>
            </w:r>
            <w:r>
              <w:rPr>
                <w:rFonts w:hint="eastAsia"/>
                <w:color w:val="auto"/>
                <w:sz w:val="24"/>
                <w:szCs w:val="24"/>
                <w:highlight w:val="none"/>
                <w:vertAlign w:val="superscript"/>
                <w:lang w:val="en-US" w:eastAsia="zh-CN"/>
              </w:rPr>
              <w:t>3</w:t>
            </w:r>
            <w:r>
              <w:rPr>
                <w:rFonts w:hint="eastAsia"/>
                <w:color w:val="auto"/>
                <w:sz w:val="24"/>
                <w:szCs w:val="24"/>
                <w:highlight w:val="none"/>
                <w:lang w:eastAsia="zh-CN"/>
              </w:rPr>
              <w:t>）</w:t>
            </w:r>
            <w:r>
              <w:rPr>
                <w:color w:val="auto"/>
                <w:sz w:val="24"/>
                <w:szCs w:val="24"/>
                <w:highlight w:val="none"/>
              </w:rPr>
              <w:t>后委托</w:t>
            </w:r>
            <w:r>
              <w:rPr>
                <w:rFonts w:hint="eastAsia"/>
                <w:color w:val="auto"/>
                <w:sz w:val="24"/>
                <w:szCs w:val="24"/>
                <w:highlight w:val="none"/>
              </w:rPr>
              <w:t>寻甸县</w:t>
            </w:r>
            <w:r>
              <w:rPr>
                <w:color w:val="auto"/>
                <w:sz w:val="24"/>
                <w:szCs w:val="24"/>
                <w:highlight w:val="none"/>
              </w:rPr>
              <w:t>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rPr>
              <w:t>运至寻甸县污水处理厂处理，</w:t>
            </w:r>
            <w:r>
              <w:rPr>
                <w:color w:val="auto"/>
                <w:sz w:val="24"/>
                <w:szCs w:val="24"/>
                <w:highlight w:val="none"/>
              </w:rPr>
              <w:t>不外排。</w:t>
            </w:r>
          </w:p>
          <w:p w14:paraId="6CC855AE">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val="en-US" w:eastAsia="zh-CN"/>
              </w:rPr>
              <w:t>④绿化用水</w:t>
            </w:r>
          </w:p>
          <w:p w14:paraId="51649CC4">
            <w:pPr>
              <w:spacing w:line="360" w:lineRule="auto"/>
              <w:ind w:firstLine="480" w:firstLineChars="200"/>
              <w:rPr>
                <w:rFonts w:hint="eastAsia"/>
                <w:color w:val="auto"/>
                <w:sz w:val="24"/>
                <w:szCs w:val="24"/>
                <w:highlight w:val="none"/>
                <w:lang w:eastAsia="zh-CN"/>
              </w:rPr>
            </w:pPr>
            <w:r>
              <w:rPr>
                <w:color w:val="auto"/>
                <w:sz w:val="24"/>
                <w:szCs w:val="24"/>
                <w:highlight w:val="none"/>
              </w:rPr>
              <w:t>项目绿化用水全部蒸发</w:t>
            </w:r>
            <w:r>
              <w:rPr>
                <w:rFonts w:hint="eastAsia"/>
                <w:color w:val="auto"/>
                <w:sz w:val="24"/>
                <w:szCs w:val="24"/>
                <w:highlight w:val="none"/>
                <w:lang w:val="en-US" w:eastAsia="zh-CN"/>
              </w:rPr>
              <w:t>损耗</w:t>
            </w:r>
            <w:r>
              <w:rPr>
                <w:color w:val="auto"/>
                <w:sz w:val="24"/>
                <w:szCs w:val="24"/>
                <w:highlight w:val="none"/>
              </w:rPr>
              <w:t>，不会产生废水</w:t>
            </w:r>
            <w:r>
              <w:rPr>
                <w:rFonts w:hint="eastAsia"/>
                <w:color w:val="auto"/>
                <w:sz w:val="24"/>
                <w:szCs w:val="24"/>
                <w:highlight w:val="none"/>
                <w:lang w:eastAsia="zh-CN"/>
              </w:rPr>
              <w:t>。</w:t>
            </w:r>
          </w:p>
          <w:p w14:paraId="1CEA23FC">
            <w:pPr>
              <w:jc w:val="center"/>
              <w:rPr>
                <w:color w:val="auto"/>
                <w:szCs w:val="21"/>
                <w:highlight w:val="none"/>
              </w:rPr>
            </w:pPr>
            <w:r>
              <w:rPr>
                <w:b/>
                <w:bCs/>
                <w:color w:val="auto"/>
                <w:spacing w:val="10"/>
                <w:szCs w:val="21"/>
                <w:highlight w:val="none"/>
              </w:rPr>
              <w:t>表</w:t>
            </w:r>
            <w:r>
              <w:rPr>
                <w:rFonts w:eastAsia="Times New Roman"/>
                <w:b/>
                <w:bCs/>
                <w:color w:val="auto"/>
                <w:spacing w:val="5"/>
                <w:szCs w:val="21"/>
                <w:highlight w:val="none"/>
              </w:rPr>
              <w:t>2-</w:t>
            </w:r>
            <w:r>
              <w:rPr>
                <w:rFonts w:hint="eastAsia"/>
                <w:b/>
                <w:bCs/>
                <w:color w:val="auto"/>
                <w:spacing w:val="5"/>
                <w:szCs w:val="21"/>
                <w:highlight w:val="none"/>
                <w:lang w:val="en-US" w:eastAsia="zh-CN"/>
              </w:rPr>
              <w:t>9</w:t>
            </w:r>
            <w:r>
              <w:rPr>
                <w:rFonts w:eastAsia="Times New Roman"/>
                <w:b/>
                <w:bCs/>
                <w:color w:val="auto"/>
                <w:spacing w:val="5"/>
                <w:szCs w:val="21"/>
                <w:highlight w:val="none"/>
              </w:rPr>
              <w:t xml:space="preserve">  </w:t>
            </w:r>
            <w:r>
              <w:rPr>
                <w:rFonts w:hint="eastAsia" w:eastAsia="宋体"/>
                <w:b/>
                <w:bCs/>
                <w:color w:val="auto"/>
                <w:spacing w:val="5"/>
                <w:szCs w:val="21"/>
                <w:highlight w:val="none"/>
                <w:lang w:val="en-US" w:eastAsia="zh-CN"/>
              </w:rPr>
              <w:t>项目</w:t>
            </w:r>
            <w:r>
              <w:rPr>
                <w:b/>
                <w:bCs/>
                <w:color w:val="auto"/>
                <w:spacing w:val="5"/>
                <w:szCs w:val="21"/>
                <w:highlight w:val="none"/>
              </w:rPr>
              <w:t>用排水情况一览表</w:t>
            </w:r>
          </w:p>
          <w:tbl>
            <w:tblPr>
              <w:tblStyle w:val="23"/>
              <w:tblW w:w="7833" w:type="dxa"/>
              <w:jc w:val="center"/>
              <w:tblLayout w:type="fixed"/>
              <w:tblCellMar>
                <w:top w:w="0" w:type="dxa"/>
                <w:left w:w="108" w:type="dxa"/>
                <w:bottom w:w="0" w:type="dxa"/>
                <w:right w:w="108" w:type="dxa"/>
              </w:tblCellMar>
            </w:tblPr>
            <w:tblGrid>
              <w:gridCol w:w="424"/>
              <w:gridCol w:w="904"/>
              <w:gridCol w:w="860"/>
              <w:gridCol w:w="748"/>
              <w:gridCol w:w="787"/>
              <w:gridCol w:w="690"/>
              <w:gridCol w:w="698"/>
              <w:gridCol w:w="561"/>
              <w:gridCol w:w="2161"/>
            </w:tblGrid>
            <w:tr w14:paraId="4CB60F44">
              <w:tblPrEx>
                <w:tblCellMar>
                  <w:top w:w="0" w:type="dxa"/>
                  <w:left w:w="108" w:type="dxa"/>
                  <w:bottom w:w="0" w:type="dxa"/>
                  <w:right w:w="108" w:type="dxa"/>
                </w:tblCellMar>
              </w:tblPrEx>
              <w:trPr>
                <w:trHeight w:val="315" w:hRule="atLeast"/>
                <w:jc w:val="center"/>
              </w:trPr>
              <w:tc>
                <w:tcPr>
                  <w:tcW w:w="847" w:type="pct"/>
                  <w:gridSpan w:val="2"/>
                  <w:vMerge w:val="restart"/>
                  <w:tcBorders>
                    <w:top w:val="single" w:color="000000" w:sz="4" w:space="0"/>
                    <w:left w:val="single" w:color="000000" w:sz="4" w:space="0"/>
                    <w:right w:val="single" w:color="000000" w:sz="4" w:space="0"/>
                  </w:tcBorders>
                  <w:shd w:val="clear" w:color="auto" w:fill="auto"/>
                  <w:vAlign w:val="center"/>
                </w:tcPr>
                <w:p w14:paraId="413C4292">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用水项目</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508D8">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数量</w:t>
                  </w:r>
                </w:p>
              </w:tc>
              <w:tc>
                <w:tcPr>
                  <w:tcW w:w="1420"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14:paraId="24D34448">
                  <w:pPr>
                    <w:widowControl/>
                    <w:jc w:val="center"/>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用水量</w:t>
                  </w:r>
                </w:p>
              </w:tc>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5D969">
                  <w:pPr>
                    <w:widowControl/>
                    <w:jc w:val="center"/>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废水量</w:t>
                  </w:r>
                </w:p>
              </w:tc>
              <w:tc>
                <w:tcPr>
                  <w:tcW w:w="1379" w:type="pct"/>
                  <w:vMerge w:val="restart"/>
                  <w:tcBorders>
                    <w:top w:val="single" w:color="000000" w:sz="4" w:space="0"/>
                    <w:left w:val="single" w:color="000000" w:sz="4" w:space="0"/>
                    <w:right w:val="single" w:color="000000" w:sz="4" w:space="0"/>
                  </w:tcBorders>
                  <w:shd w:val="clear" w:color="auto" w:fill="auto"/>
                  <w:vAlign w:val="center"/>
                </w:tcPr>
                <w:p w14:paraId="78DB74C5">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去向/拟采取的处置措施</w:t>
                  </w:r>
                </w:p>
              </w:tc>
            </w:tr>
            <w:tr w14:paraId="61DD21DE">
              <w:tblPrEx>
                <w:tblCellMar>
                  <w:top w:w="0" w:type="dxa"/>
                  <w:left w:w="108" w:type="dxa"/>
                  <w:bottom w:w="0" w:type="dxa"/>
                  <w:right w:w="108" w:type="dxa"/>
                </w:tblCellMar>
              </w:tblPrEx>
              <w:trPr>
                <w:trHeight w:val="285" w:hRule="atLeast"/>
                <w:jc w:val="center"/>
              </w:trPr>
              <w:tc>
                <w:tcPr>
                  <w:tcW w:w="847" w:type="pct"/>
                  <w:gridSpan w:val="2"/>
                  <w:vMerge w:val="continue"/>
                  <w:tcBorders>
                    <w:left w:val="single" w:color="000000" w:sz="4" w:space="0"/>
                    <w:bottom w:val="single" w:color="000000" w:sz="4" w:space="0"/>
                    <w:right w:val="single" w:color="000000" w:sz="4" w:space="0"/>
                  </w:tcBorders>
                  <w:shd w:val="clear" w:color="auto" w:fill="auto"/>
                  <w:vAlign w:val="center"/>
                </w:tcPr>
                <w:p w14:paraId="76500820">
                  <w:pPr>
                    <w:jc w:val="center"/>
                    <w:rPr>
                      <w:rFonts w:hint="default" w:ascii="Times New Roman" w:hAnsi="Times New Roman" w:cs="Times New Roman"/>
                      <w:b/>
                      <w:bCs/>
                      <w:color w:val="auto"/>
                      <w:sz w:val="21"/>
                      <w:szCs w:val="21"/>
                      <w:highlight w:val="none"/>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7554C">
                  <w:pPr>
                    <w:jc w:val="center"/>
                    <w:rPr>
                      <w:rFonts w:hint="default" w:ascii="Times New Roman" w:hAnsi="Times New Roman" w:cs="Times New Roman"/>
                      <w:b/>
                      <w:bCs/>
                      <w:color w:val="auto"/>
                      <w:sz w:val="21"/>
                      <w:szCs w:val="21"/>
                      <w:highlight w:val="none"/>
                    </w:rPr>
                  </w:pP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17898273">
                  <w:pPr>
                    <w:widowControl/>
                    <w:jc w:val="center"/>
                    <w:textAlignment w:val="center"/>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kern w:val="0"/>
                      <w:sz w:val="21"/>
                      <w:szCs w:val="21"/>
                      <w:highlight w:val="none"/>
                      <w:lang w:val="en-US" w:eastAsia="zh-CN" w:bidi="ar"/>
                    </w:rPr>
                    <w:t>雨天</w:t>
                  </w:r>
                  <w:r>
                    <w:rPr>
                      <w:rFonts w:hint="default" w:ascii="Times New Roman" w:hAnsi="Times New Roman" w:cs="Times New Roman"/>
                      <w:b/>
                      <w:bCs/>
                      <w:color w:val="auto"/>
                      <w:kern w:val="0"/>
                      <w:sz w:val="21"/>
                      <w:szCs w:val="21"/>
                      <w:highlight w:val="none"/>
                      <w:lang w:bidi="ar"/>
                    </w:rPr>
                    <w:t>m</w:t>
                  </w:r>
                  <w:r>
                    <w:rPr>
                      <w:rFonts w:hint="default" w:ascii="Times New Roman" w:hAnsi="Times New Roman" w:cs="Times New Roman"/>
                      <w:b/>
                      <w:bCs/>
                      <w:color w:val="auto"/>
                      <w:kern w:val="0"/>
                      <w:sz w:val="21"/>
                      <w:szCs w:val="21"/>
                      <w:highlight w:val="none"/>
                      <w:vertAlign w:val="superscript"/>
                      <w:lang w:bidi="ar"/>
                    </w:rPr>
                    <w:t>3</w:t>
                  </w:r>
                  <w:r>
                    <w:rPr>
                      <w:rFonts w:hint="default" w:ascii="Times New Roman" w:hAnsi="Times New Roman" w:cs="Times New Roman"/>
                      <w:b/>
                      <w:bCs/>
                      <w:color w:val="auto"/>
                      <w:kern w:val="0"/>
                      <w:sz w:val="21"/>
                      <w:szCs w:val="21"/>
                      <w:highlight w:val="none"/>
                      <w:lang w:bidi="ar"/>
                    </w:rPr>
                    <w:t>/d</w:t>
                  </w:r>
                </w:p>
              </w:tc>
              <w:tc>
                <w:tcPr>
                  <w:tcW w:w="502" w:type="pct"/>
                  <w:tcBorders>
                    <w:top w:val="single" w:color="000000" w:sz="4" w:space="0"/>
                    <w:left w:val="single" w:color="auto" w:sz="4" w:space="0"/>
                    <w:bottom w:val="single" w:color="000000" w:sz="4" w:space="0"/>
                    <w:right w:val="single" w:color="auto" w:sz="4" w:space="0"/>
                  </w:tcBorders>
                  <w:shd w:val="clear" w:color="auto" w:fill="auto"/>
                  <w:vAlign w:val="center"/>
                </w:tcPr>
                <w:p w14:paraId="63FF9711">
                  <w:pPr>
                    <w:widowControl/>
                    <w:jc w:val="center"/>
                    <w:textAlignment w:val="center"/>
                    <w:rPr>
                      <w:rFonts w:hint="eastAsia"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cs="Times New Roman"/>
                      <w:b/>
                      <w:bCs/>
                      <w:color w:val="auto"/>
                      <w:kern w:val="0"/>
                      <w:sz w:val="21"/>
                      <w:szCs w:val="21"/>
                      <w:highlight w:val="none"/>
                      <w:lang w:val="en-US" w:eastAsia="zh-CN" w:bidi="ar"/>
                    </w:rPr>
                    <w:t>非雨天</w:t>
                  </w:r>
                  <w:r>
                    <w:rPr>
                      <w:rFonts w:hint="default" w:ascii="Times New Roman" w:hAnsi="Times New Roman" w:cs="Times New Roman"/>
                      <w:b/>
                      <w:bCs/>
                      <w:color w:val="auto"/>
                      <w:kern w:val="0"/>
                      <w:sz w:val="21"/>
                      <w:szCs w:val="21"/>
                      <w:highlight w:val="none"/>
                      <w:lang w:bidi="ar"/>
                    </w:rPr>
                    <w:t>m</w:t>
                  </w:r>
                  <w:r>
                    <w:rPr>
                      <w:rFonts w:hint="default" w:ascii="Times New Roman" w:hAnsi="Times New Roman" w:cs="Times New Roman"/>
                      <w:b/>
                      <w:bCs/>
                      <w:color w:val="auto"/>
                      <w:kern w:val="0"/>
                      <w:sz w:val="21"/>
                      <w:szCs w:val="21"/>
                      <w:highlight w:val="none"/>
                      <w:vertAlign w:val="superscript"/>
                      <w:lang w:bidi="ar"/>
                    </w:rPr>
                    <w:t>3</w:t>
                  </w:r>
                  <w:r>
                    <w:rPr>
                      <w:rFonts w:hint="default" w:ascii="Times New Roman" w:hAnsi="Times New Roman" w:cs="Times New Roman"/>
                      <w:b/>
                      <w:bCs/>
                      <w:color w:val="auto"/>
                      <w:kern w:val="0"/>
                      <w:sz w:val="21"/>
                      <w:szCs w:val="21"/>
                      <w:highlight w:val="none"/>
                      <w:lang w:bidi="ar"/>
                    </w:rPr>
                    <w:t>/d</w:t>
                  </w:r>
                </w:p>
              </w:tc>
              <w:tc>
                <w:tcPr>
                  <w:tcW w:w="440" w:type="pct"/>
                  <w:tcBorders>
                    <w:top w:val="single" w:color="000000" w:sz="4" w:space="0"/>
                    <w:left w:val="single" w:color="auto" w:sz="4" w:space="0"/>
                    <w:bottom w:val="single" w:color="000000" w:sz="4" w:space="0"/>
                    <w:right w:val="single" w:color="auto" w:sz="4" w:space="0"/>
                  </w:tcBorders>
                  <w:shd w:val="clear" w:color="auto" w:fill="auto"/>
                  <w:vAlign w:val="center"/>
                </w:tcPr>
                <w:p w14:paraId="559C17F6">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m</w:t>
                  </w:r>
                  <w:r>
                    <w:rPr>
                      <w:rFonts w:hint="default" w:ascii="Times New Roman" w:hAnsi="Times New Roman" w:cs="Times New Roman"/>
                      <w:b/>
                      <w:bCs/>
                      <w:color w:val="auto"/>
                      <w:kern w:val="0"/>
                      <w:sz w:val="21"/>
                      <w:szCs w:val="21"/>
                      <w:highlight w:val="none"/>
                      <w:vertAlign w:val="superscript"/>
                      <w:lang w:bidi="ar"/>
                    </w:rPr>
                    <w:t>3</w:t>
                  </w:r>
                  <w:r>
                    <w:rPr>
                      <w:rFonts w:hint="default" w:ascii="Times New Roman" w:hAnsi="Times New Roman" w:cs="Times New Roman"/>
                      <w:b/>
                      <w:bCs/>
                      <w:color w:val="auto"/>
                      <w:kern w:val="0"/>
                      <w:sz w:val="21"/>
                      <w:szCs w:val="21"/>
                      <w:highlight w:val="none"/>
                      <w:lang w:bidi="ar"/>
                    </w:rPr>
                    <w:t>/a</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22E8">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m</w:t>
                  </w:r>
                  <w:r>
                    <w:rPr>
                      <w:rFonts w:hint="default" w:ascii="Times New Roman" w:hAnsi="Times New Roman" w:cs="Times New Roman"/>
                      <w:b/>
                      <w:bCs/>
                      <w:color w:val="auto"/>
                      <w:kern w:val="0"/>
                      <w:sz w:val="21"/>
                      <w:szCs w:val="21"/>
                      <w:highlight w:val="none"/>
                      <w:vertAlign w:val="superscript"/>
                      <w:lang w:bidi="ar"/>
                    </w:rPr>
                    <w:t>3</w:t>
                  </w:r>
                  <w:r>
                    <w:rPr>
                      <w:rFonts w:hint="default" w:ascii="Times New Roman" w:hAnsi="Times New Roman" w:cs="Times New Roman"/>
                      <w:b/>
                      <w:bCs/>
                      <w:color w:val="auto"/>
                      <w:kern w:val="0"/>
                      <w:sz w:val="21"/>
                      <w:szCs w:val="21"/>
                      <w:highlight w:val="none"/>
                      <w:lang w:bidi="ar"/>
                    </w:rPr>
                    <w:t>/d</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5650">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m</w:t>
                  </w:r>
                  <w:r>
                    <w:rPr>
                      <w:rFonts w:hint="default" w:ascii="Times New Roman" w:hAnsi="Times New Roman" w:cs="Times New Roman"/>
                      <w:b/>
                      <w:bCs/>
                      <w:color w:val="auto"/>
                      <w:kern w:val="0"/>
                      <w:sz w:val="21"/>
                      <w:szCs w:val="21"/>
                      <w:highlight w:val="none"/>
                      <w:vertAlign w:val="superscript"/>
                      <w:lang w:bidi="ar"/>
                    </w:rPr>
                    <w:t>3</w:t>
                  </w:r>
                  <w:r>
                    <w:rPr>
                      <w:rFonts w:hint="default" w:ascii="Times New Roman" w:hAnsi="Times New Roman" w:cs="Times New Roman"/>
                      <w:b/>
                      <w:bCs/>
                      <w:color w:val="auto"/>
                      <w:kern w:val="0"/>
                      <w:sz w:val="21"/>
                      <w:szCs w:val="21"/>
                      <w:highlight w:val="none"/>
                      <w:lang w:bidi="ar"/>
                    </w:rPr>
                    <w:t>/a</w:t>
                  </w:r>
                </w:p>
              </w:tc>
              <w:tc>
                <w:tcPr>
                  <w:tcW w:w="1379" w:type="pct"/>
                  <w:vMerge w:val="continue"/>
                  <w:tcBorders>
                    <w:left w:val="single" w:color="000000" w:sz="4" w:space="0"/>
                    <w:bottom w:val="single" w:color="000000" w:sz="4" w:space="0"/>
                    <w:right w:val="single" w:color="000000" w:sz="4" w:space="0"/>
                  </w:tcBorders>
                  <w:shd w:val="clear" w:color="auto" w:fill="auto"/>
                  <w:vAlign w:val="center"/>
                </w:tcPr>
                <w:p w14:paraId="5763F95E">
                  <w:pPr>
                    <w:widowControl/>
                    <w:jc w:val="center"/>
                    <w:textAlignment w:val="center"/>
                    <w:rPr>
                      <w:rFonts w:hint="default" w:ascii="Times New Roman" w:hAnsi="Times New Roman" w:cs="Times New Roman"/>
                      <w:b/>
                      <w:bCs/>
                      <w:color w:val="auto"/>
                      <w:sz w:val="21"/>
                      <w:szCs w:val="21"/>
                      <w:highlight w:val="none"/>
                    </w:rPr>
                  </w:pPr>
                </w:p>
              </w:tc>
            </w:tr>
            <w:tr w14:paraId="245FFB0B">
              <w:tblPrEx>
                <w:tblCellMar>
                  <w:top w:w="0" w:type="dxa"/>
                  <w:left w:w="108" w:type="dxa"/>
                  <w:bottom w:w="0" w:type="dxa"/>
                  <w:right w:w="108" w:type="dxa"/>
                </w:tblCellMar>
              </w:tblPrEx>
              <w:trPr>
                <w:trHeight w:val="285" w:hRule="atLeast"/>
                <w:jc w:val="center"/>
              </w:trPr>
              <w:tc>
                <w:tcPr>
                  <w:tcW w:w="270" w:type="pct"/>
                  <w:vMerge w:val="restart"/>
                  <w:tcBorders>
                    <w:top w:val="single" w:color="000000" w:sz="4" w:space="0"/>
                    <w:left w:val="single" w:color="000000" w:sz="4" w:space="0"/>
                    <w:right w:val="single" w:color="000000" w:sz="4" w:space="0"/>
                  </w:tcBorders>
                  <w:shd w:val="clear" w:color="auto" w:fill="auto"/>
                  <w:vAlign w:val="center"/>
                </w:tcPr>
                <w:p w14:paraId="74A30633">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生活用水</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23F0">
                  <w:pPr>
                    <w:widowControl/>
                    <w:jc w:val="center"/>
                    <w:textAlignment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办公生活</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0D65">
                  <w:pPr>
                    <w:widowControl/>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kern w:val="0"/>
                      <w:sz w:val="21"/>
                      <w:szCs w:val="21"/>
                      <w:highlight w:val="none"/>
                      <w:lang w:val="en-US" w:eastAsia="zh-CN" w:bidi="ar"/>
                    </w:rPr>
                    <w:t>10</w:t>
                  </w:r>
                  <w:r>
                    <w:rPr>
                      <w:rFonts w:hint="default" w:ascii="Times New Roman" w:hAnsi="Times New Roman" w:cs="Times New Roman"/>
                      <w:b w:val="0"/>
                      <w:bCs w:val="0"/>
                      <w:color w:val="auto"/>
                      <w:kern w:val="0"/>
                      <w:sz w:val="21"/>
                      <w:szCs w:val="21"/>
                      <w:highlight w:val="none"/>
                      <w:lang w:bidi="ar"/>
                    </w:rPr>
                    <w:t>人</w:t>
                  </w: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6250C81E">
                  <w:pPr>
                    <w:widowControl/>
                    <w:jc w:val="center"/>
                    <w:textAlignment w:val="center"/>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0.55</w:t>
                  </w:r>
                </w:p>
              </w:tc>
              <w:tc>
                <w:tcPr>
                  <w:tcW w:w="502" w:type="pct"/>
                  <w:tcBorders>
                    <w:top w:val="single" w:color="000000" w:sz="4" w:space="0"/>
                    <w:left w:val="single" w:color="auto" w:sz="4" w:space="0"/>
                    <w:bottom w:val="single" w:color="000000" w:sz="4" w:space="0"/>
                    <w:right w:val="single" w:color="000000" w:sz="4" w:space="0"/>
                  </w:tcBorders>
                  <w:shd w:val="clear" w:color="auto" w:fill="auto"/>
                  <w:vAlign w:val="center"/>
                </w:tcPr>
                <w:p w14:paraId="0F641012">
                  <w:pPr>
                    <w:widowControl/>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0.55</w:t>
                  </w:r>
                </w:p>
              </w:tc>
              <w:tc>
                <w:tcPr>
                  <w:tcW w:w="440" w:type="pct"/>
                  <w:tcBorders>
                    <w:top w:val="single" w:color="000000" w:sz="4" w:space="0"/>
                    <w:left w:val="single" w:color="000000" w:sz="4" w:space="0"/>
                    <w:bottom w:val="single" w:color="000000" w:sz="4" w:space="0"/>
                    <w:right w:val="single" w:color="auto" w:sz="4" w:space="0"/>
                  </w:tcBorders>
                  <w:shd w:val="clear" w:color="auto" w:fill="auto"/>
                  <w:vAlign w:val="center"/>
                </w:tcPr>
                <w:p w14:paraId="435D319C">
                  <w:pPr>
                    <w:widowControl/>
                    <w:jc w:val="center"/>
                    <w:textAlignment w:val="center"/>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137.5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4265">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0.44</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49B9">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110</w:t>
                  </w:r>
                </w:p>
              </w:tc>
              <w:tc>
                <w:tcPr>
                  <w:tcW w:w="1379" w:type="pct"/>
                  <w:tcBorders>
                    <w:top w:val="single" w:color="000000" w:sz="4" w:space="0"/>
                    <w:left w:val="single" w:color="000000" w:sz="4" w:space="0"/>
                    <w:bottom w:val="single" w:color="auto" w:sz="4" w:space="0"/>
                    <w:right w:val="single" w:color="000000" w:sz="4" w:space="0"/>
                  </w:tcBorders>
                  <w:shd w:val="clear" w:color="auto" w:fill="auto"/>
                  <w:vAlign w:val="center"/>
                </w:tcPr>
                <w:p w14:paraId="435B83C9">
                  <w:pPr>
                    <w:widowControl/>
                    <w:spacing w:line="240" w:lineRule="auto"/>
                    <w:jc w:val="left"/>
                    <w:textAlignment w:val="center"/>
                    <w:rPr>
                      <w:rFonts w:hint="default" w:ascii="Times New Roman" w:hAnsi="Times New Roman" w:cs="Times New Roman"/>
                      <w:color w:val="auto"/>
                      <w:sz w:val="21"/>
                      <w:szCs w:val="21"/>
                      <w:highlight w:val="none"/>
                    </w:rPr>
                  </w:pPr>
                  <w:r>
                    <w:rPr>
                      <w:color w:val="auto"/>
                      <w:sz w:val="21"/>
                      <w:szCs w:val="21"/>
                      <w:highlight w:val="none"/>
                    </w:rPr>
                    <w:t>排入</w:t>
                  </w:r>
                  <w:r>
                    <w:rPr>
                      <w:rFonts w:hint="eastAsia"/>
                      <w:color w:val="auto"/>
                      <w:sz w:val="21"/>
                      <w:szCs w:val="21"/>
                      <w:highlight w:val="none"/>
                      <w:lang w:val="en-US" w:eastAsia="zh-CN"/>
                    </w:rPr>
                    <w:t>现有项目生活区已建的</w:t>
                  </w:r>
                  <w:r>
                    <w:rPr>
                      <w:color w:val="auto"/>
                      <w:sz w:val="21"/>
                      <w:szCs w:val="21"/>
                      <w:highlight w:val="none"/>
                    </w:rPr>
                    <w:t>化粪池</w:t>
                  </w:r>
                  <w:r>
                    <w:rPr>
                      <w:rFonts w:hint="eastAsia"/>
                      <w:color w:val="auto"/>
                      <w:sz w:val="21"/>
                      <w:szCs w:val="21"/>
                      <w:highlight w:val="none"/>
                      <w:lang w:eastAsia="zh-CN"/>
                    </w:rPr>
                    <w:t>（</w:t>
                  </w:r>
                  <w:r>
                    <w:rPr>
                      <w:rFonts w:hint="eastAsia"/>
                      <w:color w:val="auto"/>
                      <w:sz w:val="21"/>
                      <w:szCs w:val="21"/>
                      <w:highlight w:val="none"/>
                      <w:lang w:val="en-US" w:eastAsia="zh-CN"/>
                    </w:rPr>
                    <w:t>15m</w:t>
                  </w:r>
                  <w:r>
                    <w:rPr>
                      <w:rFonts w:hint="eastAsia"/>
                      <w:color w:val="auto"/>
                      <w:sz w:val="21"/>
                      <w:szCs w:val="21"/>
                      <w:highlight w:val="none"/>
                      <w:vertAlign w:val="superscript"/>
                      <w:lang w:val="en-US" w:eastAsia="zh-CN"/>
                    </w:rPr>
                    <w:t>3</w:t>
                  </w:r>
                  <w:r>
                    <w:rPr>
                      <w:rFonts w:hint="eastAsia"/>
                      <w:color w:val="auto"/>
                      <w:sz w:val="21"/>
                      <w:szCs w:val="21"/>
                      <w:highlight w:val="none"/>
                      <w:lang w:eastAsia="zh-CN"/>
                    </w:rPr>
                    <w:t>）</w:t>
                  </w:r>
                  <w:r>
                    <w:rPr>
                      <w:color w:val="auto"/>
                      <w:sz w:val="21"/>
                      <w:szCs w:val="21"/>
                      <w:highlight w:val="none"/>
                    </w:rPr>
                    <w:t>后委托</w:t>
                  </w:r>
                  <w:r>
                    <w:rPr>
                      <w:rFonts w:hint="eastAsia"/>
                      <w:color w:val="auto"/>
                      <w:sz w:val="21"/>
                      <w:szCs w:val="21"/>
                      <w:highlight w:val="none"/>
                    </w:rPr>
                    <w:t>寻甸县</w:t>
                  </w:r>
                  <w:r>
                    <w:rPr>
                      <w:color w:val="auto"/>
                      <w:sz w:val="21"/>
                      <w:szCs w:val="21"/>
                      <w:highlight w:val="none"/>
                    </w:rPr>
                    <w:t>环卫部门</w:t>
                  </w:r>
                  <w:r>
                    <w:rPr>
                      <w:rFonts w:hint="eastAsia"/>
                      <w:color w:val="auto"/>
                      <w:sz w:val="21"/>
                      <w:szCs w:val="21"/>
                      <w:highlight w:val="none"/>
                      <w:lang w:val="en-US" w:eastAsia="zh-CN"/>
                    </w:rPr>
                    <w:t>15天</w:t>
                  </w:r>
                  <w:r>
                    <w:rPr>
                      <w:color w:val="auto"/>
                      <w:sz w:val="21"/>
                      <w:szCs w:val="21"/>
                      <w:highlight w:val="none"/>
                    </w:rPr>
                    <w:t>抽运一次，</w:t>
                  </w:r>
                  <w:r>
                    <w:rPr>
                      <w:rFonts w:hint="eastAsia"/>
                      <w:color w:val="auto"/>
                      <w:sz w:val="21"/>
                      <w:szCs w:val="21"/>
                      <w:highlight w:val="none"/>
                    </w:rPr>
                    <w:t>运至寻甸县污水处理厂处理，</w:t>
                  </w:r>
                  <w:r>
                    <w:rPr>
                      <w:color w:val="auto"/>
                      <w:sz w:val="21"/>
                      <w:szCs w:val="21"/>
                      <w:highlight w:val="none"/>
                    </w:rPr>
                    <w:t>不外排。</w:t>
                  </w:r>
                </w:p>
              </w:tc>
            </w:tr>
            <w:tr w14:paraId="6461F9A2">
              <w:tblPrEx>
                <w:tblCellMar>
                  <w:top w:w="0" w:type="dxa"/>
                  <w:left w:w="108" w:type="dxa"/>
                  <w:bottom w:w="0" w:type="dxa"/>
                  <w:right w:w="108" w:type="dxa"/>
                </w:tblCellMar>
              </w:tblPrEx>
              <w:trPr>
                <w:trHeight w:val="285" w:hRule="atLeast"/>
                <w:jc w:val="center"/>
              </w:trPr>
              <w:tc>
                <w:tcPr>
                  <w:tcW w:w="270" w:type="pct"/>
                  <w:vMerge w:val="continue"/>
                  <w:tcBorders>
                    <w:left w:val="single" w:color="000000" w:sz="4" w:space="0"/>
                    <w:right w:val="single" w:color="000000" w:sz="4" w:space="0"/>
                  </w:tcBorders>
                  <w:shd w:val="clear" w:color="auto" w:fill="auto"/>
                  <w:vAlign w:val="center"/>
                </w:tcPr>
                <w:p w14:paraId="6A0B65DB">
                  <w:pPr>
                    <w:widowControl/>
                    <w:jc w:val="center"/>
                    <w:textAlignment w:val="center"/>
                    <w:rPr>
                      <w:rFonts w:hint="default" w:ascii="Times New Roman" w:hAnsi="Times New Roman" w:cs="Times New Roman"/>
                      <w:color w:val="auto"/>
                      <w:kern w:val="0"/>
                      <w:sz w:val="21"/>
                      <w:szCs w:val="21"/>
                      <w:highlight w:val="none"/>
                      <w:lang w:bidi="ar"/>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BCCD">
                  <w:pPr>
                    <w:widowControl/>
                    <w:jc w:val="center"/>
                    <w:textAlignment w:val="center"/>
                    <w:rPr>
                      <w:rFonts w:hint="default" w:ascii="Times New Roman" w:hAnsi="Times New Roman" w:cs="Times New Roman"/>
                      <w:b w:val="0"/>
                      <w:bCs w:val="0"/>
                      <w:color w:val="auto"/>
                      <w:kern w:val="0"/>
                      <w:sz w:val="21"/>
                      <w:szCs w:val="21"/>
                      <w:highlight w:val="none"/>
                      <w:lang w:val="en-US" w:bidi="ar"/>
                    </w:rPr>
                  </w:pPr>
                  <w:r>
                    <w:rPr>
                      <w:rFonts w:hint="eastAsia" w:ascii="Times New Roman" w:hAnsi="Times New Roman" w:cs="Times New Roman"/>
                      <w:b w:val="0"/>
                      <w:bCs w:val="0"/>
                      <w:color w:val="auto"/>
                      <w:sz w:val="21"/>
                      <w:szCs w:val="21"/>
                      <w:highlight w:val="none"/>
                      <w:lang w:val="en-US" w:eastAsia="zh-CN"/>
                    </w:rPr>
                    <w:t>展厅参观人员</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A28A">
                  <w:pPr>
                    <w:widowControl/>
                    <w:jc w:val="center"/>
                    <w:textAlignment w:val="center"/>
                    <w:rPr>
                      <w:rFonts w:hint="default" w:ascii="Times New Roman" w:hAnsi="Times New Roman" w:cs="Times New Roman"/>
                      <w:b w:val="0"/>
                      <w:bCs w:val="0"/>
                      <w:color w:val="auto"/>
                      <w:kern w:val="0"/>
                      <w:sz w:val="21"/>
                      <w:szCs w:val="21"/>
                      <w:highlight w:val="none"/>
                      <w:lang w:val="en-US" w:bidi="ar"/>
                    </w:rPr>
                  </w:pPr>
                  <w:r>
                    <w:rPr>
                      <w:rFonts w:hint="eastAsia" w:cs="Times New Roman"/>
                      <w:b w:val="0"/>
                      <w:bCs w:val="0"/>
                      <w:color w:val="auto"/>
                      <w:sz w:val="21"/>
                      <w:szCs w:val="21"/>
                      <w:highlight w:val="none"/>
                      <w:lang w:val="en-US" w:eastAsia="zh-CN"/>
                    </w:rPr>
                    <w:t>2</w:t>
                  </w:r>
                  <w:r>
                    <w:rPr>
                      <w:rFonts w:hint="eastAsia" w:ascii="Times New Roman" w:hAnsi="Times New Roman" w:cs="Times New Roman"/>
                      <w:b w:val="0"/>
                      <w:bCs w:val="0"/>
                      <w:color w:val="auto"/>
                      <w:sz w:val="21"/>
                      <w:szCs w:val="21"/>
                      <w:highlight w:val="none"/>
                      <w:lang w:val="en-US" w:eastAsia="zh-CN"/>
                    </w:rPr>
                    <w:t>0人</w:t>
                  </w: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25FADAB7">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w:t>
                  </w:r>
                  <w:r>
                    <w:rPr>
                      <w:rFonts w:hint="eastAsia" w:cs="Times New Roman"/>
                      <w:color w:val="auto"/>
                      <w:kern w:val="0"/>
                      <w:sz w:val="21"/>
                      <w:szCs w:val="21"/>
                      <w:highlight w:val="none"/>
                      <w:lang w:val="en-US" w:eastAsia="zh-CN" w:bidi="ar"/>
                    </w:rPr>
                    <w:t>16</w:t>
                  </w:r>
                </w:p>
              </w:tc>
              <w:tc>
                <w:tcPr>
                  <w:tcW w:w="502" w:type="pct"/>
                  <w:tcBorders>
                    <w:top w:val="single" w:color="000000" w:sz="4" w:space="0"/>
                    <w:left w:val="single" w:color="auto" w:sz="4" w:space="0"/>
                    <w:bottom w:val="single" w:color="000000" w:sz="4" w:space="0"/>
                    <w:right w:val="single" w:color="000000" w:sz="4" w:space="0"/>
                  </w:tcBorders>
                  <w:shd w:val="clear" w:color="auto" w:fill="auto"/>
                  <w:vAlign w:val="center"/>
                </w:tcPr>
                <w:p w14:paraId="0918D19B">
                  <w:pPr>
                    <w:widowControl/>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w:t>
                  </w:r>
                  <w:r>
                    <w:rPr>
                      <w:rFonts w:hint="eastAsia" w:cs="Times New Roman"/>
                      <w:color w:val="auto"/>
                      <w:kern w:val="0"/>
                      <w:sz w:val="21"/>
                      <w:szCs w:val="21"/>
                      <w:highlight w:val="none"/>
                      <w:lang w:val="en-US" w:eastAsia="zh-CN" w:bidi="ar"/>
                    </w:rPr>
                    <w:t>16</w:t>
                  </w:r>
                </w:p>
              </w:tc>
              <w:tc>
                <w:tcPr>
                  <w:tcW w:w="440" w:type="pct"/>
                  <w:tcBorders>
                    <w:top w:val="single" w:color="000000" w:sz="4" w:space="0"/>
                    <w:left w:val="single" w:color="000000" w:sz="4" w:space="0"/>
                    <w:bottom w:val="single" w:color="000000" w:sz="4" w:space="0"/>
                    <w:right w:val="single" w:color="auto" w:sz="4" w:space="0"/>
                  </w:tcBorders>
                  <w:shd w:val="clear" w:color="auto" w:fill="auto"/>
                  <w:vAlign w:val="center"/>
                </w:tcPr>
                <w:p w14:paraId="5649BB6A">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40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E6A0">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w:t>
                  </w:r>
                  <w:r>
                    <w:rPr>
                      <w:rFonts w:hint="eastAsia" w:cs="Times New Roman"/>
                      <w:color w:val="auto"/>
                      <w:kern w:val="0"/>
                      <w:sz w:val="21"/>
                      <w:szCs w:val="21"/>
                      <w:highlight w:val="none"/>
                      <w:lang w:val="en-US" w:eastAsia="zh-CN" w:bidi="ar"/>
                    </w:rPr>
                    <w:t>128</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D335">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32</w:t>
                  </w:r>
                </w:p>
              </w:tc>
              <w:tc>
                <w:tcPr>
                  <w:tcW w:w="1379" w:type="pct"/>
                  <w:vMerge w:val="restart"/>
                  <w:tcBorders>
                    <w:top w:val="single" w:color="auto" w:sz="4" w:space="0"/>
                    <w:left w:val="single" w:color="000000" w:sz="4" w:space="0"/>
                    <w:right w:val="single" w:color="000000" w:sz="4" w:space="0"/>
                  </w:tcBorders>
                  <w:shd w:val="clear" w:color="auto" w:fill="auto"/>
                  <w:vAlign w:val="center"/>
                </w:tcPr>
                <w:p w14:paraId="2C14269F">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color w:val="auto"/>
                      <w:sz w:val="21"/>
                      <w:szCs w:val="21"/>
                      <w:highlight w:val="none"/>
                    </w:rPr>
                    <w:t>排入</w:t>
                  </w:r>
                  <w:r>
                    <w:rPr>
                      <w:rFonts w:hint="eastAsia"/>
                      <w:color w:val="auto"/>
                      <w:sz w:val="21"/>
                      <w:szCs w:val="21"/>
                      <w:highlight w:val="none"/>
                      <w:lang w:val="en-US" w:eastAsia="zh-CN"/>
                    </w:rPr>
                    <w:t>地块三新建的</w:t>
                  </w:r>
                  <w:r>
                    <w:rPr>
                      <w:color w:val="auto"/>
                      <w:sz w:val="21"/>
                      <w:szCs w:val="21"/>
                      <w:highlight w:val="none"/>
                    </w:rPr>
                    <w:t>化粪池</w:t>
                  </w:r>
                  <w:r>
                    <w:rPr>
                      <w:rFonts w:hint="eastAsia"/>
                      <w:color w:val="auto"/>
                      <w:sz w:val="21"/>
                      <w:szCs w:val="21"/>
                      <w:highlight w:val="none"/>
                      <w:lang w:eastAsia="zh-CN"/>
                    </w:rPr>
                    <w:t>（</w:t>
                  </w:r>
                  <w:r>
                    <w:rPr>
                      <w:rFonts w:hint="eastAsia"/>
                      <w:color w:val="auto"/>
                      <w:sz w:val="21"/>
                      <w:szCs w:val="21"/>
                      <w:highlight w:val="none"/>
                      <w:lang w:val="en-US" w:eastAsia="zh-CN"/>
                    </w:rPr>
                    <w:t>25m</w:t>
                  </w:r>
                  <w:r>
                    <w:rPr>
                      <w:rFonts w:hint="eastAsia"/>
                      <w:color w:val="auto"/>
                      <w:sz w:val="21"/>
                      <w:szCs w:val="21"/>
                      <w:highlight w:val="none"/>
                      <w:vertAlign w:val="superscript"/>
                      <w:lang w:val="en-US" w:eastAsia="zh-CN"/>
                    </w:rPr>
                    <w:t>3</w:t>
                  </w:r>
                  <w:r>
                    <w:rPr>
                      <w:rFonts w:hint="eastAsia"/>
                      <w:color w:val="auto"/>
                      <w:sz w:val="21"/>
                      <w:szCs w:val="21"/>
                      <w:highlight w:val="none"/>
                      <w:lang w:eastAsia="zh-CN"/>
                    </w:rPr>
                    <w:t>）</w:t>
                  </w:r>
                  <w:r>
                    <w:rPr>
                      <w:color w:val="auto"/>
                      <w:sz w:val="21"/>
                      <w:szCs w:val="21"/>
                      <w:highlight w:val="none"/>
                    </w:rPr>
                    <w:t>后委托</w:t>
                  </w:r>
                  <w:r>
                    <w:rPr>
                      <w:rFonts w:hint="eastAsia"/>
                      <w:color w:val="auto"/>
                      <w:sz w:val="21"/>
                      <w:szCs w:val="21"/>
                      <w:highlight w:val="none"/>
                    </w:rPr>
                    <w:t>寻甸县</w:t>
                  </w:r>
                  <w:r>
                    <w:rPr>
                      <w:color w:val="auto"/>
                      <w:sz w:val="21"/>
                      <w:szCs w:val="21"/>
                      <w:highlight w:val="none"/>
                    </w:rPr>
                    <w:t>环卫部门</w:t>
                  </w:r>
                  <w:r>
                    <w:rPr>
                      <w:rFonts w:hint="eastAsia"/>
                      <w:color w:val="auto"/>
                      <w:sz w:val="21"/>
                      <w:szCs w:val="21"/>
                      <w:highlight w:val="none"/>
                      <w:lang w:val="en-US" w:eastAsia="zh-CN"/>
                    </w:rPr>
                    <w:t>15天</w:t>
                  </w:r>
                  <w:r>
                    <w:rPr>
                      <w:color w:val="auto"/>
                      <w:sz w:val="21"/>
                      <w:szCs w:val="21"/>
                      <w:highlight w:val="none"/>
                    </w:rPr>
                    <w:t>抽运一次，</w:t>
                  </w:r>
                  <w:r>
                    <w:rPr>
                      <w:rFonts w:hint="eastAsia"/>
                      <w:color w:val="auto"/>
                      <w:sz w:val="21"/>
                      <w:szCs w:val="21"/>
                      <w:highlight w:val="none"/>
                    </w:rPr>
                    <w:t>运至寻甸县污水处理厂处理，</w:t>
                  </w:r>
                  <w:r>
                    <w:rPr>
                      <w:color w:val="auto"/>
                      <w:sz w:val="21"/>
                      <w:szCs w:val="21"/>
                      <w:highlight w:val="none"/>
                    </w:rPr>
                    <w:t>不外排。</w:t>
                  </w:r>
                </w:p>
              </w:tc>
            </w:tr>
            <w:tr w14:paraId="5690B8E6">
              <w:tblPrEx>
                <w:tblCellMar>
                  <w:top w:w="0" w:type="dxa"/>
                  <w:left w:w="108" w:type="dxa"/>
                  <w:bottom w:w="0" w:type="dxa"/>
                  <w:right w:w="108" w:type="dxa"/>
                </w:tblCellMar>
              </w:tblPrEx>
              <w:trPr>
                <w:trHeight w:val="285" w:hRule="atLeast"/>
                <w:jc w:val="center"/>
              </w:trPr>
              <w:tc>
                <w:tcPr>
                  <w:tcW w:w="270" w:type="pct"/>
                  <w:vMerge w:val="continue"/>
                  <w:tcBorders>
                    <w:left w:val="single" w:color="000000" w:sz="4" w:space="0"/>
                    <w:right w:val="single" w:color="000000" w:sz="4" w:space="0"/>
                  </w:tcBorders>
                  <w:shd w:val="clear" w:color="auto" w:fill="auto"/>
                  <w:vAlign w:val="center"/>
                </w:tcPr>
                <w:p w14:paraId="44FC55B3">
                  <w:pPr>
                    <w:widowControl/>
                    <w:jc w:val="center"/>
                    <w:textAlignment w:val="center"/>
                    <w:rPr>
                      <w:rFonts w:hint="default" w:ascii="Times New Roman" w:hAnsi="Times New Roman" w:cs="Times New Roman"/>
                      <w:color w:val="auto"/>
                      <w:kern w:val="0"/>
                      <w:sz w:val="21"/>
                      <w:szCs w:val="21"/>
                      <w:highlight w:val="none"/>
                      <w:lang w:bidi="ar"/>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0DC1">
                  <w:pPr>
                    <w:widowControl/>
                    <w:jc w:val="center"/>
                    <w:textAlignment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展厅清洁</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154FA">
                  <w:pPr>
                    <w:widowControl/>
                    <w:jc w:val="center"/>
                    <w:textAlignment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2213.29</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1BF93234">
                  <w:pPr>
                    <w:widowControl/>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1.1</w:t>
                  </w:r>
                </w:p>
              </w:tc>
              <w:tc>
                <w:tcPr>
                  <w:tcW w:w="502" w:type="pct"/>
                  <w:tcBorders>
                    <w:top w:val="single" w:color="000000" w:sz="4" w:space="0"/>
                    <w:left w:val="single" w:color="auto" w:sz="4" w:space="0"/>
                    <w:bottom w:val="single" w:color="000000" w:sz="4" w:space="0"/>
                    <w:right w:val="single" w:color="000000" w:sz="4" w:space="0"/>
                  </w:tcBorders>
                  <w:shd w:val="clear" w:color="auto" w:fill="auto"/>
                  <w:vAlign w:val="center"/>
                </w:tcPr>
                <w:p w14:paraId="1A6D6710">
                  <w:pPr>
                    <w:widowControl/>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1.1</w:t>
                  </w:r>
                </w:p>
              </w:tc>
              <w:tc>
                <w:tcPr>
                  <w:tcW w:w="440" w:type="pct"/>
                  <w:tcBorders>
                    <w:top w:val="single" w:color="000000" w:sz="4" w:space="0"/>
                    <w:left w:val="single" w:color="000000" w:sz="4" w:space="0"/>
                    <w:bottom w:val="single" w:color="000000" w:sz="4" w:space="0"/>
                    <w:right w:val="single" w:color="auto" w:sz="4" w:space="0"/>
                  </w:tcBorders>
                  <w:shd w:val="clear" w:color="auto" w:fill="auto"/>
                  <w:vAlign w:val="center"/>
                </w:tcPr>
                <w:p w14:paraId="5BD77B0F">
                  <w:pPr>
                    <w:widowControl/>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275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D0403">
                  <w:pPr>
                    <w:widowControl/>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0.88</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9DB4C">
                  <w:pPr>
                    <w:widowControl/>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220</w:t>
                  </w:r>
                </w:p>
              </w:tc>
              <w:tc>
                <w:tcPr>
                  <w:tcW w:w="137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478221">
                  <w:pPr>
                    <w:widowControl/>
                    <w:spacing w:line="240" w:lineRule="auto"/>
                    <w:jc w:val="left"/>
                    <w:textAlignment w:val="center"/>
                    <w:rPr>
                      <w:rFonts w:hint="default" w:ascii="Times New Roman" w:hAnsi="Times New Roman" w:cs="Times New Roman"/>
                      <w:color w:val="auto"/>
                      <w:kern w:val="0"/>
                      <w:sz w:val="21"/>
                      <w:szCs w:val="21"/>
                      <w:highlight w:val="none"/>
                      <w:lang w:bidi="ar"/>
                    </w:rPr>
                  </w:pPr>
                </w:p>
              </w:tc>
            </w:tr>
            <w:tr w14:paraId="77443388">
              <w:tblPrEx>
                <w:tblCellMar>
                  <w:top w:w="0" w:type="dxa"/>
                  <w:left w:w="108" w:type="dxa"/>
                  <w:bottom w:w="0" w:type="dxa"/>
                  <w:right w:w="108" w:type="dxa"/>
                </w:tblCellMar>
              </w:tblPrEx>
              <w:trPr>
                <w:trHeight w:val="285" w:hRule="atLeast"/>
                <w:jc w:val="center"/>
              </w:trPr>
              <w:tc>
                <w:tcPr>
                  <w:tcW w:w="270" w:type="pct"/>
                  <w:vMerge w:val="continue"/>
                  <w:tcBorders>
                    <w:left w:val="single" w:color="000000" w:sz="4" w:space="0"/>
                    <w:right w:val="single" w:color="000000" w:sz="4" w:space="0"/>
                  </w:tcBorders>
                  <w:shd w:val="clear" w:color="auto" w:fill="auto"/>
                  <w:vAlign w:val="center"/>
                </w:tcPr>
                <w:p w14:paraId="47888627">
                  <w:pPr>
                    <w:widowControl/>
                    <w:jc w:val="center"/>
                    <w:textAlignment w:val="center"/>
                    <w:rPr>
                      <w:rFonts w:hint="default" w:ascii="Times New Roman" w:hAnsi="Times New Roman" w:cs="Times New Roman"/>
                      <w:color w:val="auto"/>
                      <w:kern w:val="0"/>
                      <w:sz w:val="21"/>
                      <w:szCs w:val="21"/>
                      <w:highlight w:val="none"/>
                      <w:lang w:bidi="ar"/>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CC88">
                  <w:pPr>
                    <w:widowControl/>
                    <w:jc w:val="center"/>
                    <w:textAlignment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绿化</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C953">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1262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0A64AB0E">
                  <w:pPr>
                    <w:widowControl/>
                    <w:jc w:val="center"/>
                    <w:textAlignment w:val="center"/>
                    <w:rPr>
                      <w:rFonts w:hint="eastAsia" w:ascii="Times New Roman" w:hAnsi="Times New Roman" w:cs="Times New Roman"/>
                      <w:color w:val="auto"/>
                      <w:kern w:val="0"/>
                      <w:sz w:val="21"/>
                      <w:szCs w:val="21"/>
                      <w:highlight w:val="none"/>
                      <w:lang w:val="en-US" w:eastAsia="zh-CN" w:bidi="ar"/>
                    </w:rPr>
                  </w:pPr>
                </w:p>
              </w:tc>
              <w:tc>
                <w:tcPr>
                  <w:tcW w:w="502" w:type="pct"/>
                  <w:tcBorders>
                    <w:top w:val="single" w:color="000000" w:sz="4" w:space="0"/>
                    <w:left w:val="single" w:color="auto" w:sz="4" w:space="0"/>
                    <w:bottom w:val="single" w:color="000000" w:sz="4" w:space="0"/>
                    <w:right w:val="single" w:color="000000" w:sz="4" w:space="0"/>
                  </w:tcBorders>
                  <w:shd w:val="clear" w:color="auto" w:fill="auto"/>
                  <w:vAlign w:val="center"/>
                </w:tcPr>
                <w:p w14:paraId="60FAB37C">
                  <w:pPr>
                    <w:widowControl/>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color w:val="auto"/>
                      <w:sz w:val="21"/>
                      <w:szCs w:val="21"/>
                      <w:highlight w:val="none"/>
                      <w:lang w:val="en-US" w:eastAsia="zh-CN"/>
                    </w:rPr>
                    <w:t>3.786</w:t>
                  </w:r>
                </w:p>
              </w:tc>
              <w:tc>
                <w:tcPr>
                  <w:tcW w:w="440" w:type="pct"/>
                  <w:tcBorders>
                    <w:top w:val="single" w:color="000000" w:sz="4" w:space="0"/>
                    <w:left w:val="single" w:color="000000" w:sz="4" w:space="0"/>
                    <w:bottom w:val="single" w:color="000000" w:sz="4" w:space="0"/>
                    <w:right w:val="single" w:color="auto" w:sz="4" w:space="0"/>
                  </w:tcBorders>
                  <w:shd w:val="clear" w:color="auto" w:fill="auto"/>
                  <w:vAlign w:val="center"/>
                </w:tcPr>
                <w:p w14:paraId="161000DF">
                  <w:pPr>
                    <w:widowControl/>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sz w:val="21"/>
                      <w:szCs w:val="21"/>
                      <w:highlight w:val="none"/>
                      <w:lang w:val="en-US" w:eastAsia="zh-CN"/>
                    </w:rPr>
                    <w:t>378.6</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1330D">
                  <w:pPr>
                    <w:widowControl/>
                    <w:jc w:val="center"/>
                    <w:textAlignment w:val="center"/>
                    <w:rPr>
                      <w:rFonts w:hint="default" w:ascii="Times New Roman" w:hAnsi="Times New Roman" w:cs="Times New Roman"/>
                      <w:color w:val="auto"/>
                      <w:kern w:val="0"/>
                      <w:sz w:val="21"/>
                      <w:szCs w:val="21"/>
                      <w:highlight w:val="none"/>
                      <w:lang w:val="en-US" w:eastAsia="zh-CN" w:bidi="ar"/>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0AC1">
                  <w:pPr>
                    <w:widowControl/>
                    <w:jc w:val="center"/>
                    <w:textAlignment w:val="center"/>
                    <w:rPr>
                      <w:rFonts w:hint="default" w:ascii="Times New Roman" w:hAnsi="Times New Roman" w:cs="Times New Roman"/>
                      <w:color w:val="auto"/>
                      <w:kern w:val="0"/>
                      <w:sz w:val="21"/>
                      <w:szCs w:val="21"/>
                      <w:highlight w:val="none"/>
                      <w:lang w:val="en-US" w:eastAsia="zh-CN" w:bidi="ar"/>
                    </w:rPr>
                  </w:pPr>
                </w:p>
              </w:tc>
              <w:tc>
                <w:tcPr>
                  <w:tcW w:w="1379" w:type="pct"/>
                  <w:tcBorders>
                    <w:top w:val="single" w:color="auto" w:sz="4" w:space="0"/>
                    <w:left w:val="single" w:color="000000" w:sz="4" w:space="0"/>
                    <w:right w:val="single" w:color="000000" w:sz="4" w:space="0"/>
                  </w:tcBorders>
                  <w:shd w:val="clear" w:color="auto" w:fill="auto"/>
                  <w:vAlign w:val="center"/>
                </w:tcPr>
                <w:p w14:paraId="326E7EAF">
                  <w:pPr>
                    <w:spacing w:line="240" w:lineRule="auto"/>
                    <w:jc w:val="left"/>
                    <w:rPr>
                      <w:rFonts w:hint="default" w:ascii="Times New Roman" w:hAnsi="Times New Roman" w:cs="Times New Roman"/>
                      <w:color w:val="auto"/>
                      <w:kern w:val="0"/>
                      <w:sz w:val="21"/>
                      <w:szCs w:val="21"/>
                      <w:highlight w:val="none"/>
                      <w:lang w:bidi="ar"/>
                    </w:rPr>
                  </w:pPr>
                  <w:r>
                    <w:rPr>
                      <w:color w:val="auto"/>
                      <w:sz w:val="21"/>
                      <w:szCs w:val="21"/>
                      <w:highlight w:val="none"/>
                    </w:rPr>
                    <w:t>绿化用水全部蒸发</w:t>
                  </w:r>
                  <w:r>
                    <w:rPr>
                      <w:rFonts w:hint="eastAsia"/>
                      <w:color w:val="auto"/>
                      <w:sz w:val="21"/>
                      <w:szCs w:val="21"/>
                      <w:highlight w:val="none"/>
                      <w:lang w:val="en-US" w:eastAsia="zh-CN"/>
                    </w:rPr>
                    <w:t>损耗</w:t>
                  </w:r>
                  <w:r>
                    <w:rPr>
                      <w:color w:val="auto"/>
                      <w:sz w:val="21"/>
                      <w:szCs w:val="21"/>
                      <w:highlight w:val="none"/>
                    </w:rPr>
                    <w:t>，不会产生废水</w:t>
                  </w:r>
                  <w:r>
                    <w:rPr>
                      <w:rFonts w:hint="eastAsia"/>
                      <w:color w:val="auto"/>
                      <w:sz w:val="21"/>
                      <w:szCs w:val="21"/>
                      <w:highlight w:val="none"/>
                      <w:lang w:eastAsia="zh-CN"/>
                    </w:rPr>
                    <w:t>。</w:t>
                  </w:r>
                </w:p>
              </w:tc>
            </w:tr>
            <w:tr w14:paraId="6C2E4914">
              <w:tblPrEx>
                <w:tblCellMar>
                  <w:top w:w="0" w:type="dxa"/>
                  <w:left w:w="108" w:type="dxa"/>
                  <w:bottom w:w="0" w:type="dxa"/>
                  <w:right w:w="108" w:type="dxa"/>
                </w:tblCellMar>
              </w:tblPrEx>
              <w:trPr>
                <w:trHeight w:val="285" w:hRule="atLeast"/>
                <w:jc w:val="center"/>
              </w:trPr>
              <w:tc>
                <w:tcPr>
                  <w:tcW w:w="8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C172E">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合计</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409A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p>
              </w:tc>
              <w:tc>
                <w:tcPr>
                  <w:tcW w:w="477" w:type="pct"/>
                  <w:tcBorders>
                    <w:top w:val="single" w:color="000000" w:sz="4" w:space="0"/>
                    <w:left w:val="single" w:color="000000" w:sz="4" w:space="0"/>
                    <w:bottom w:val="single" w:color="000000" w:sz="4" w:space="0"/>
                    <w:right w:val="single" w:color="auto" w:sz="4" w:space="0"/>
                  </w:tcBorders>
                  <w:shd w:val="clear" w:color="auto" w:fill="auto"/>
                  <w:vAlign w:val="center"/>
                </w:tcPr>
                <w:p w14:paraId="2520D0E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1.81</w:t>
                  </w:r>
                </w:p>
              </w:tc>
              <w:tc>
                <w:tcPr>
                  <w:tcW w:w="502" w:type="pct"/>
                  <w:tcBorders>
                    <w:top w:val="single" w:color="000000" w:sz="4" w:space="0"/>
                    <w:left w:val="single" w:color="auto" w:sz="4" w:space="0"/>
                    <w:bottom w:val="single" w:color="000000" w:sz="4" w:space="0"/>
                    <w:right w:val="single" w:color="000000" w:sz="4" w:space="0"/>
                  </w:tcBorders>
                  <w:shd w:val="clear" w:color="auto" w:fill="auto"/>
                  <w:vAlign w:val="center"/>
                </w:tcPr>
                <w:p w14:paraId="6BBB40DE">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5.</w:t>
                  </w:r>
                  <w:r>
                    <w:rPr>
                      <w:rFonts w:hint="eastAsia" w:cs="Times New Roman"/>
                      <w:color w:val="auto"/>
                      <w:kern w:val="0"/>
                      <w:sz w:val="21"/>
                      <w:szCs w:val="21"/>
                      <w:highlight w:val="none"/>
                      <w:lang w:val="en-US" w:eastAsia="zh-CN" w:bidi="ar"/>
                    </w:rPr>
                    <w:t>596</w:t>
                  </w:r>
                </w:p>
              </w:tc>
              <w:tc>
                <w:tcPr>
                  <w:tcW w:w="440" w:type="pct"/>
                  <w:tcBorders>
                    <w:top w:val="single" w:color="000000" w:sz="4" w:space="0"/>
                    <w:left w:val="single" w:color="000000" w:sz="4" w:space="0"/>
                    <w:bottom w:val="single" w:color="000000" w:sz="4" w:space="0"/>
                    <w:right w:val="single" w:color="auto" w:sz="4" w:space="0"/>
                  </w:tcBorders>
                  <w:shd w:val="clear" w:color="auto" w:fill="auto"/>
                  <w:vAlign w:val="center"/>
                </w:tcPr>
                <w:p w14:paraId="1E977EC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831</w:t>
                  </w:r>
                  <w:r>
                    <w:rPr>
                      <w:rFonts w:hint="eastAsia" w:ascii="Times New Roman" w:hAnsi="Times New Roman" w:cs="Times New Roman"/>
                      <w:color w:val="auto"/>
                      <w:kern w:val="0"/>
                      <w:sz w:val="21"/>
                      <w:szCs w:val="21"/>
                      <w:highlight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095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eastAsia" w:cs="Times New Roman"/>
                      <w:color w:val="auto"/>
                      <w:sz w:val="21"/>
                      <w:szCs w:val="21"/>
                      <w:highlight w:val="none"/>
                      <w:lang w:val="en-US" w:eastAsia="zh-CN"/>
                    </w:rPr>
                    <w:t>448</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160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362</w:t>
                  </w:r>
                </w:p>
              </w:tc>
              <w:tc>
                <w:tcPr>
                  <w:tcW w:w="1379" w:type="pct"/>
                  <w:tcBorders>
                    <w:top w:val="single" w:color="auto" w:sz="4" w:space="0"/>
                    <w:left w:val="single" w:color="000000" w:sz="4" w:space="0"/>
                    <w:bottom w:val="single" w:color="000000" w:sz="4" w:space="0"/>
                    <w:right w:val="single" w:color="000000" w:sz="4" w:space="0"/>
                  </w:tcBorders>
                  <w:shd w:val="clear" w:color="auto" w:fill="auto"/>
                  <w:vAlign w:val="center"/>
                </w:tcPr>
                <w:p w14:paraId="1D85B52A">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w:t>
                  </w:r>
                </w:p>
              </w:tc>
            </w:tr>
          </w:tbl>
          <w:p w14:paraId="09066E81">
            <w:pPr>
              <w:spacing w:line="360" w:lineRule="auto"/>
              <w:ind w:firstLine="480" w:firstLineChars="200"/>
              <w:rPr>
                <w:color w:val="auto"/>
                <w:sz w:val="24"/>
                <w:szCs w:val="24"/>
                <w:highlight w:val="none"/>
              </w:rPr>
            </w:pPr>
            <w:r>
              <w:rPr>
                <w:color w:val="auto"/>
                <w:sz w:val="24"/>
                <w:szCs w:val="24"/>
                <w:highlight w:val="none"/>
              </w:rPr>
              <w:t>生活污水的主要污染物为COD、氨氮、总磷、总氮等，产生的浓度根据《生活源产排污核算系数手册》（2008年3月）里的第一部分城镇生活源污水污染物产生系数核算，COD约325mg/L，总氮约49.8mg/L，氨氮约37.7mg/L，总磷约4.28mg/L，SS类比城市生活污水产生浓度，约为179mg/L。</w:t>
            </w:r>
          </w:p>
          <w:p w14:paraId="573C64B0">
            <w:pPr>
              <w:spacing w:line="360" w:lineRule="auto"/>
              <w:ind w:firstLine="480" w:firstLineChars="200"/>
              <w:rPr>
                <w:color w:val="auto"/>
                <w:sz w:val="24"/>
                <w:szCs w:val="24"/>
                <w:highlight w:val="none"/>
              </w:rPr>
            </w:pPr>
            <w:r>
              <w:rPr>
                <w:color w:val="auto"/>
                <w:sz w:val="24"/>
                <w:szCs w:val="24"/>
                <w:highlight w:val="none"/>
              </w:rPr>
              <w:t>项目生活废水中各污染物产生情况见表</w:t>
            </w:r>
            <w:r>
              <w:rPr>
                <w:rFonts w:hint="eastAsia"/>
                <w:color w:val="auto"/>
                <w:sz w:val="24"/>
                <w:szCs w:val="24"/>
                <w:highlight w:val="none"/>
                <w:lang w:val="en-US" w:eastAsia="zh-CN"/>
              </w:rPr>
              <w:t>2</w:t>
            </w:r>
            <w:r>
              <w:rPr>
                <w:color w:val="auto"/>
                <w:sz w:val="24"/>
                <w:szCs w:val="24"/>
                <w:highlight w:val="none"/>
              </w:rPr>
              <w:t>-</w:t>
            </w:r>
            <w:r>
              <w:rPr>
                <w:rFonts w:hint="eastAsia"/>
                <w:color w:val="auto"/>
                <w:sz w:val="24"/>
                <w:szCs w:val="24"/>
                <w:highlight w:val="none"/>
                <w:lang w:val="en-US" w:eastAsia="zh-CN"/>
              </w:rPr>
              <w:t>10</w:t>
            </w:r>
            <w:r>
              <w:rPr>
                <w:color w:val="auto"/>
                <w:sz w:val="24"/>
                <w:szCs w:val="24"/>
                <w:highlight w:val="none"/>
              </w:rPr>
              <w:t>所示。</w:t>
            </w:r>
          </w:p>
          <w:p w14:paraId="7D3522FE">
            <w:pPr>
              <w:spacing w:line="360" w:lineRule="auto"/>
              <w:jc w:val="center"/>
              <w:rPr>
                <w:b/>
                <w:bCs/>
                <w:color w:val="auto"/>
                <w:highlight w:val="none"/>
              </w:rPr>
            </w:pPr>
            <w:bookmarkStart w:id="34" w:name="_Toc31390"/>
            <w:bookmarkStart w:id="35" w:name="_Toc24879"/>
            <w:r>
              <w:rPr>
                <w:b/>
                <w:bCs/>
                <w:color w:val="auto"/>
                <w:highlight w:val="none"/>
              </w:rPr>
              <w:t>表</w:t>
            </w:r>
            <w:r>
              <w:rPr>
                <w:rFonts w:hint="eastAsia"/>
                <w:b/>
                <w:bCs/>
                <w:color w:val="auto"/>
                <w:highlight w:val="none"/>
                <w:lang w:val="en-US" w:eastAsia="zh-CN"/>
              </w:rPr>
              <w:t>2</w:t>
            </w:r>
            <w:r>
              <w:rPr>
                <w:b/>
                <w:bCs/>
                <w:color w:val="auto"/>
                <w:highlight w:val="none"/>
              </w:rPr>
              <w:t>-</w:t>
            </w:r>
            <w:r>
              <w:rPr>
                <w:rFonts w:hint="eastAsia"/>
                <w:b/>
                <w:bCs/>
                <w:color w:val="auto"/>
                <w:highlight w:val="none"/>
                <w:lang w:val="en-US" w:eastAsia="zh-CN"/>
              </w:rPr>
              <w:t>10</w:t>
            </w:r>
            <w:r>
              <w:rPr>
                <w:b/>
                <w:bCs/>
                <w:color w:val="auto"/>
                <w:highlight w:val="none"/>
              </w:rPr>
              <w:t xml:space="preserve">  项目生活废水中各污染物产生情况</w:t>
            </w:r>
            <w:bookmarkEnd w:id="34"/>
            <w:bookmarkEnd w:id="35"/>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1805"/>
              <w:gridCol w:w="1570"/>
              <w:gridCol w:w="1529"/>
              <w:gridCol w:w="1570"/>
            </w:tblGrid>
            <w:tr w14:paraId="5CB2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Align w:val="center"/>
                </w:tcPr>
                <w:p w14:paraId="645471F3">
                  <w:pPr>
                    <w:jc w:val="center"/>
                    <w:rPr>
                      <w:b/>
                      <w:bCs/>
                      <w:color w:val="auto"/>
                      <w:highlight w:val="none"/>
                    </w:rPr>
                  </w:pPr>
                  <w:r>
                    <w:rPr>
                      <w:b/>
                      <w:bCs/>
                      <w:color w:val="auto"/>
                      <w:highlight w:val="none"/>
                    </w:rPr>
                    <w:t>项目</w:t>
                  </w:r>
                </w:p>
              </w:tc>
              <w:tc>
                <w:tcPr>
                  <w:tcW w:w="1153" w:type="pct"/>
                  <w:vAlign w:val="center"/>
                </w:tcPr>
                <w:p w14:paraId="16681535">
                  <w:pPr>
                    <w:jc w:val="center"/>
                    <w:rPr>
                      <w:b/>
                      <w:bCs/>
                      <w:color w:val="auto"/>
                      <w:highlight w:val="none"/>
                    </w:rPr>
                  </w:pPr>
                  <w:r>
                    <w:rPr>
                      <w:b/>
                      <w:bCs/>
                      <w:color w:val="auto"/>
                      <w:highlight w:val="none"/>
                    </w:rPr>
                    <w:t>产生浓度（mg/L）</w:t>
                  </w:r>
                </w:p>
              </w:tc>
              <w:tc>
                <w:tcPr>
                  <w:tcW w:w="1003" w:type="pct"/>
                  <w:vAlign w:val="center"/>
                </w:tcPr>
                <w:p w14:paraId="3063E17B">
                  <w:pPr>
                    <w:jc w:val="center"/>
                    <w:rPr>
                      <w:b/>
                      <w:bCs/>
                      <w:color w:val="auto"/>
                      <w:highlight w:val="none"/>
                    </w:rPr>
                  </w:pPr>
                  <w:r>
                    <w:rPr>
                      <w:b/>
                      <w:bCs/>
                      <w:color w:val="auto"/>
                      <w:highlight w:val="none"/>
                    </w:rPr>
                    <w:t>产生量（t/a）</w:t>
                  </w:r>
                </w:p>
              </w:tc>
              <w:tc>
                <w:tcPr>
                  <w:tcW w:w="977" w:type="pct"/>
                  <w:vAlign w:val="center"/>
                </w:tcPr>
                <w:p w14:paraId="30F42D11">
                  <w:pPr>
                    <w:jc w:val="center"/>
                    <w:rPr>
                      <w:b/>
                      <w:bCs/>
                      <w:color w:val="auto"/>
                      <w:highlight w:val="none"/>
                    </w:rPr>
                  </w:pPr>
                  <w:r>
                    <w:rPr>
                      <w:b/>
                      <w:bCs/>
                      <w:color w:val="auto"/>
                      <w:highlight w:val="none"/>
                    </w:rPr>
                    <w:t>处理措施</w:t>
                  </w:r>
                </w:p>
              </w:tc>
              <w:tc>
                <w:tcPr>
                  <w:tcW w:w="1003" w:type="pct"/>
                  <w:vAlign w:val="center"/>
                </w:tcPr>
                <w:p w14:paraId="1721E529">
                  <w:pPr>
                    <w:jc w:val="center"/>
                    <w:rPr>
                      <w:b/>
                      <w:bCs/>
                      <w:color w:val="auto"/>
                      <w:highlight w:val="none"/>
                    </w:rPr>
                  </w:pPr>
                  <w:r>
                    <w:rPr>
                      <w:b/>
                      <w:bCs/>
                      <w:color w:val="auto"/>
                      <w:highlight w:val="none"/>
                    </w:rPr>
                    <w:t>排放量（t/a）</w:t>
                  </w:r>
                </w:p>
              </w:tc>
            </w:tr>
            <w:tr w14:paraId="1EEB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61" w:type="pct"/>
                  <w:vAlign w:val="center"/>
                </w:tcPr>
                <w:p w14:paraId="3E2C4040">
                  <w:pPr>
                    <w:jc w:val="center"/>
                    <w:rPr>
                      <w:color w:val="auto"/>
                      <w:highlight w:val="none"/>
                    </w:rPr>
                  </w:pPr>
                  <w:r>
                    <w:rPr>
                      <w:color w:val="auto"/>
                      <w:highlight w:val="none"/>
                    </w:rPr>
                    <w:t>废水量</w:t>
                  </w:r>
                </w:p>
              </w:tc>
              <w:tc>
                <w:tcPr>
                  <w:tcW w:w="1153" w:type="pct"/>
                  <w:vAlign w:val="center"/>
                </w:tcPr>
                <w:p w14:paraId="7A082F27">
                  <w:pPr>
                    <w:jc w:val="center"/>
                    <w:rPr>
                      <w:color w:val="auto"/>
                      <w:highlight w:val="none"/>
                    </w:rPr>
                  </w:pPr>
                  <w:r>
                    <w:rPr>
                      <w:color w:val="auto"/>
                      <w:highlight w:val="none"/>
                    </w:rPr>
                    <w:t>/</w:t>
                  </w:r>
                </w:p>
              </w:tc>
              <w:tc>
                <w:tcPr>
                  <w:tcW w:w="1003" w:type="pct"/>
                  <w:vAlign w:val="center"/>
                </w:tcPr>
                <w:p w14:paraId="5CB6BA05">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362</w:t>
                  </w:r>
                </w:p>
              </w:tc>
              <w:tc>
                <w:tcPr>
                  <w:tcW w:w="977" w:type="pct"/>
                  <w:vMerge w:val="restart"/>
                  <w:vAlign w:val="center"/>
                </w:tcPr>
                <w:p w14:paraId="3B1C1203">
                  <w:pPr>
                    <w:jc w:val="center"/>
                    <w:rPr>
                      <w:rFonts w:hint="default" w:eastAsia="宋体"/>
                      <w:color w:val="auto"/>
                      <w:highlight w:val="none"/>
                      <w:lang w:val="en-US" w:eastAsia="zh-CN"/>
                    </w:rPr>
                  </w:pPr>
                  <w:r>
                    <w:rPr>
                      <w:color w:val="auto"/>
                      <w:highlight w:val="none"/>
                    </w:rPr>
                    <w:t>排入化粪池，定期委托</w:t>
                  </w:r>
                  <w:r>
                    <w:rPr>
                      <w:rFonts w:hint="eastAsia"/>
                      <w:color w:val="auto"/>
                      <w:sz w:val="21"/>
                      <w:szCs w:val="21"/>
                      <w:highlight w:val="none"/>
                    </w:rPr>
                    <w:t>寻甸县</w:t>
                  </w:r>
                  <w:r>
                    <w:rPr>
                      <w:color w:val="auto"/>
                      <w:highlight w:val="none"/>
                    </w:rPr>
                    <w:t>环卫部门抽运，不外排</w:t>
                  </w:r>
                  <w:r>
                    <w:rPr>
                      <w:rFonts w:hint="eastAsia"/>
                      <w:color w:val="auto"/>
                      <w:highlight w:val="none"/>
                      <w:lang w:val="en-US" w:eastAsia="zh-CN"/>
                    </w:rPr>
                    <w:t>。</w:t>
                  </w:r>
                </w:p>
              </w:tc>
              <w:tc>
                <w:tcPr>
                  <w:tcW w:w="1003" w:type="pct"/>
                  <w:vAlign w:val="center"/>
                </w:tcPr>
                <w:p w14:paraId="61E0105E">
                  <w:pPr>
                    <w:jc w:val="center"/>
                    <w:rPr>
                      <w:color w:val="auto"/>
                      <w:highlight w:val="none"/>
                    </w:rPr>
                  </w:pPr>
                  <w:r>
                    <w:rPr>
                      <w:color w:val="auto"/>
                      <w:highlight w:val="none"/>
                    </w:rPr>
                    <w:t>0</w:t>
                  </w:r>
                </w:p>
              </w:tc>
            </w:tr>
            <w:tr w14:paraId="77E0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1" w:type="pct"/>
                  <w:vAlign w:val="center"/>
                </w:tcPr>
                <w:p w14:paraId="31E009FD">
                  <w:pPr>
                    <w:jc w:val="center"/>
                    <w:rPr>
                      <w:color w:val="auto"/>
                      <w:highlight w:val="none"/>
                    </w:rPr>
                  </w:pPr>
                  <w:r>
                    <w:rPr>
                      <w:color w:val="auto"/>
                      <w:highlight w:val="none"/>
                    </w:rPr>
                    <w:t>COD</w:t>
                  </w:r>
                </w:p>
              </w:tc>
              <w:tc>
                <w:tcPr>
                  <w:tcW w:w="1153" w:type="pct"/>
                  <w:vAlign w:val="center"/>
                </w:tcPr>
                <w:p w14:paraId="4938C6C7">
                  <w:pPr>
                    <w:jc w:val="center"/>
                    <w:rPr>
                      <w:color w:val="auto"/>
                      <w:highlight w:val="none"/>
                    </w:rPr>
                  </w:pPr>
                  <w:r>
                    <w:rPr>
                      <w:color w:val="auto"/>
                      <w:highlight w:val="none"/>
                    </w:rPr>
                    <w:t>325</w:t>
                  </w:r>
                </w:p>
              </w:tc>
              <w:tc>
                <w:tcPr>
                  <w:tcW w:w="1588" w:type="dxa"/>
                  <w:vAlign w:val="center"/>
                </w:tcPr>
                <w:p w14:paraId="290E10EC">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0.1177</w:t>
                  </w:r>
                </w:p>
              </w:tc>
              <w:tc>
                <w:tcPr>
                  <w:tcW w:w="977" w:type="pct"/>
                  <w:vMerge w:val="continue"/>
                  <w:vAlign w:val="center"/>
                </w:tcPr>
                <w:p w14:paraId="4C9E2F6B">
                  <w:pPr>
                    <w:jc w:val="center"/>
                    <w:rPr>
                      <w:color w:val="auto"/>
                      <w:highlight w:val="none"/>
                    </w:rPr>
                  </w:pPr>
                </w:p>
              </w:tc>
              <w:tc>
                <w:tcPr>
                  <w:tcW w:w="1003" w:type="pct"/>
                  <w:vAlign w:val="center"/>
                </w:tcPr>
                <w:p w14:paraId="142A212A">
                  <w:pPr>
                    <w:jc w:val="center"/>
                    <w:rPr>
                      <w:color w:val="auto"/>
                      <w:highlight w:val="none"/>
                    </w:rPr>
                  </w:pPr>
                  <w:r>
                    <w:rPr>
                      <w:color w:val="auto"/>
                      <w:highlight w:val="none"/>
                    </w:rPr>
                    <w:t>0</w:t>
                  </w:r>
                </w:p>
              </w:tc>
            </w:tr>
            <w:tr w14:paraId="515F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61" w:type="pct"/>
                  <w:vAlign w:val="center"/>
                </w:tcPr>
                <w:p w14:paraId="06E66C95">
                  <w:pPr>
                    <w:jc w:val="center"/>
                    <w:rPr>
                      <w:color w:val="auto"/>
                      <w:highlight w:val="none"/>
                    </w:rPr>
                  </w:pPr>
                  <w:r>
                    <w:rPr>
                      <w:color w:val="auto"/>
                      <w:highlight w:val="none"/>
                    </w:rPr>
                    <w:t>总氮</w:t>
                  </w:r>
                </w:p>
              </w:tc>
              <w:tc>
                <w:tcPr>
                  <w:tcW w:w="1153" w:type="pct"/>
                  <w:vAlign w:val="center"/>
                </w:tcPr>
                <w:p w14:paraId="39A52075">
                  <w:pPr>
                    <w:jc w:val="center"/>
                    <w:rPr>
                      <w:color w:val="auto"/>
                      <w:highlight w:val="none"/>
                    </w:rPr>
                  </w:pPr>
                  <w:r>
                    <w:rPr>
                      <w:color w:val="auto"/>
                      <w:highlight w:val="none"/>
                    </w:rPr>
                    <w:t>49.8</w:t>
                  </w:r>
                </w:p>
              </w:tc>
              <w:tc>
                <w:tcPr>
                  <w:tcW w:w="1588" w:type="dxa"/>
                  <w:vAlign w:val="center"/>
                </w:tcPr>
                <w:p w14:paraId="7475D748">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0.0180</w:t>
                  </w:r>
                </w:p>
              </w:tc>
              <w:tc>
                <w:tcPr>
                  <w:tcW w:w="977" w:type="pct"/>
                  <w:vMerge w:val="continue"/>
                  <w:vAlign w:val="center"/>
                </w:tcPr>
                <w:p w14:paraId="425537BC">
                  <w:pPr>
                    <w:jc w:val="center"/>
                    <w:rPr>
                      <w:color w:val="auto"/>
                      <w:highlight w:val="none"/>
                    </w:rPr>
                  </w:pPr>
                </w:p>
              </w:tc>
              <w:tc>
                <w:tcPr>
                  <w:tcW w:w="1003" w:type="pct"/>
                  <w:vAlign w:val="center"/>
                </w:tcPr>
                <w:p w14:paraId="54960DA7">
                  <w:pPr>
                    <w:jc w:val="center"/>
                    <w:rPr>
                      <w:color w:val="auto"/>
                      <w:highlight w:val="none"/>
                    </w:rPr>
                  </w:pPr>
                  <w:r>
                    <w:rPr>
                      <w:color w:val="auto"/>
                      <w:highlight w:val="none"/>
                    </w:rPr>
                    <w:t>0</w:t>
                  </w:r>
                </w:p>
              </w:tc>
            </w:tr>
            <w:tr w14:paraId="00D7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61" w:type="pct"/>
                  <w:vAlign w:val="center"/>
                </w:tcPr>
                <w:p w14:paraId="0804FD95">
                  <w:pPr>
                    <w:jc w:val="center"/>
                    <w:rPr>
                      <w:color w:val="auto"/>
                      <w:highlight w:val="none"/>
                    </w:rPr>
                  </w:pPr>
                  <w:r>
                    <w:rPr>
                      <w:color w:val="auto"/>
                      <w:highlight w:val="none"/>
                    </w:rPr>
                    <w:t>SS</w:t>
                  </w:r>
                </w:p>
              </w:tc>
              <w:tc>
                <w:tcPr>
                  <w:tcW w:w="1153" w:type="pct"/>
                  <w:vAlign w:val="center"/>
                </w:tcPr>
                <w:p w14:paraId="69B46ECA">
                  <w:pPr>
                    <w:jc w:val="center"/>
                    <w:rPr>
                      <w:color w:val="auto"/>
                      <w:highlight w:val="none"/>
                    </w:rPr>
                  </w:pPr>
                  <w:r>
                    <w:rPr>
                      <w:color w:val="auto"/>
                      <w:highlight w:val="none"/>
                    </w:rPr>
                    <w:t>179</w:t>
                  </w:r>
                </w:p>
              </w:tc>
              <w:tc>
                <w:tcPr>
                  <w:tcW w:w="1588" w:type="dxa"/>
                  <w:vAlign w:val="center"/>
                </w:tcPr>
                <w:p w14:paraId="705FA779">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0.0648</w:t>
                  </w:r>
                </w:p>
              </w:tc>
              <w:tc>
                <w:tcPr>
                  <w:tcW w:w="977" w:type="pct"/>
                  <w:vMerge w:val="continue"/>
                  <w:vAlign w:val="center"/>
                </w:tcPr>
                <w:p w14:paraId="11A73BD2">
                  <w:pPr>
                    <w:jc w:val="center"/>
                    <w:rPr>
                      <w:color w:val="auto"/>
                      <w:highlight w:val="none"/>
                    </w:rPr>
                  </w:pPr>
                </w:p>
              </w:tc>
              <w:tc>
                <w:tcPr>
                  <w:tcW w:w="1003" w:type="pct"/>
                  <w:vAlign w:val="center"/>
                </w:tcPr>
                <w:p w14:paraId="1A532BB4">
                  <w:pPr>
                    <w:jc w:val="center"/>
                    <w:rPr>
                      <w:color w:val="auto"/>
                      <w:highlight w:val="none"/>
                    </w:rPr>
                  </w:pPr>
                  <w:r>
                    <w:rPr>
                      <w:color w:val="auto"/>
                      <w:highlight w:val="none"/>
                    </w:rPr>
                    <w:t>0</w:t>
                  </w:r>
                </w:p>
              </w:tc>
            </w:tr>
            <w:tr w14:paraId="35C4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61" w:type="pct"/>
                  <w:vAlign w:val="center"/>
                </w:tcPr>
                <w:p w14:paraId="48292E27">
                  <w:pPr>
                    <w:jc w:val="center"/>
                    <w:rPr>
                      <w:color w:val="auto"/>
                      <w:highlight w:val="none"/>
                    </w:rPr>
                  </w:pPr>
                  <w:r>
                    <w:rPr>
                      <w:color w:val="auto"/>
                      <w:highlight w:val="none"/>
                    </w:rPr>
                    <w:t>氨氮</w:t>
                  </w:r>
                </w:p>
              </w:tc>
              <w:tc>
                <w:tcPr>
                  <w:tcW w:w="1153" w:type="pct"/>
                  <w:vAlign w:val="center"/>
                </w:tcPr>
                <w:p w14:paraId="33393560">
                  <w:pPr>
                    <w:jc w:val="center"/>
                    <w:rPr>
                      <w:color w:val="auto"/>
                      <w:highlight w:val="none"/>
                    </w:rPr>
                  </w:pPr>
                  <w:r>
                    <w:rPr>
                      <w:color w:val="auto"/>
                      <w:highlight w:val="none"/>
                    </w:rPr>
                    <w:t>37.7</w:t>
                  </w:r>
                </w:p>
              </w:tc>
              <w:tc>
                <w:tcPr>
                  <w:tcW w:w="1588" w:type="dxa"/>
                  <w:vAlign w:val="center"/>
                </w:tcPr>
                <w:p w14:paraId="350540A4">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0.0136</w:t>
                  </w:r>
                </w:p>
              </w:tc>
              <w:tc>
                <w:tcPr>
                  <w:tcW w:w="977" w:type="pct"/>
                  <w:vMerge w:val="continue"/>
                  <w:vAlign w:val="center"/>
                </w:tcPr>
                <w:p w14:paraId="1FF98D5D">
                  <w:pPr>
                    <w:jc w:val="center"/>
                    <w:rPr>
                      <w:color w:val="auto"/>
                      <w:highlight w:val="none"/>
                    </w:rPr>
                  </w:pPr>
                </w:p>
              </w:tc>
              <w:tc>
                <w:tcPr>
                  <w:tcW w:w="1003" w:type="pct"/>
                  <w:vAlign w:val="center"/>
                </w:tcPr>
                <w:p w14:paraId="32E8FE12">
                  <w:pPr>
                    <w:jc w:val="center"/>
                    <w:rPr>
                      <w:color w:val="auto"/>
                      <w:highlight w:val="none"/>
                    </w:rPr>
                  </w:pPr>
                  <w:r>
                    <w:rPr>
                      <w:color w:val="auto"/>
                      <w:highlight w:val="none"/>
                    </w:rPr>
                    <w:t>0</w:t>
                  </w:r>
                </w:p>
              </w:tc>
            </w:tr>
            <w:tr w14:paraId="667E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61" w:type="pct"/>
                  <w:vAlign w:val="center"/>
                </w:tcPr>
                <w:p w14:paraId="78ACAB89">
                  <w:pPr>
                    <w:jc w:val="center"/>
                    <w:rPr>
                      <w:color w:val="auto"/>
                      <w:highlight w:val="none"/>
                    </w:rPr>
                  </w:pPr>
                  <w:r>
                    <w:rPr>
                      <w:color w:val="auto"/>
                      <w:highlight w:val="none"/>
                    </w:rPr>
                    <w:t>总磷</w:t>
                  </w:r>
                </w:p>
              </w:tc>
              <w:tc>
                <w:tcPr>
                  <w:tcW w:w="1153" w:type="pct"/>
                  <w:vAlign w:val="center"/>
                </w:tcPr>
                <w:p w14:paraId="0EAAC8F1">
                  <w:pPr>
                    <w:jc w:val="center"/>
                    <w:rPr>
                      <w:color w:val="auto"/>
                      <w:highlight w:val="none"/>
                    </w:rPr>
                  </w:pPr>
                  <w:r>
                    <w:rPr>
                      <w:color w:val="auto"/>
                      <w:highlight w:val="none"/>
                    </w:rPr>
                    <w:t>4.28</w:t>
                  </w:r>
                </w:p>
              </w:tc>
              <w:tc>
                <w:tcPr>
                  <w:tcW w:w="1588" w:type="dxa"/>
                  <w:vAlign w:val="center"/>
                </w:tcPr>
                <w:p w14:paraId="71ABB6C6">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0.0015</w:t>
                  </w:r>
                </w:p>
              </w:tc>
              <w:tc>
                <w:tcPr>
                  <w:tcW w:w="977" w:type="pct"/>
                  <w:vMerge w:val="continue"/>
                  <w:vAlign w:val="center"/>
                </w:tcPr>
                <w:p w14:paraId="4AE2B2F5">
                  <w:pPr>
                    <w:jc w:val="center"/>
                    <w:rPr>
                      <w:color w:val="auto"/>
                      <w:highlight w:val="none"/>
                    </w:rPr>
                  </w:pPr>
                </w:p>
              </w:tc>
              <w:tc>
                <w:tcPr>
                  <w:tcW w:w="1003" w:type="pct"/>
                  <w:vAlign w:val="center"/>
                </w:tcPr>
                <w:p w14:paraId="737A375C">
                  <w:pPr>
                    <w:jc w:val="center"/>
                    <w:rPr>
                      <w:color w:val="auto"/>
                      <w:highlight w:val="none"/>
                    </w:rPr>
                  </w:pPr>
                  <w:r>
                    <w:rPr>
                      <w:color w:val="auto"/>
                      <w:highlight w:val="none"/>
                    </w:rPr>
                    <w:t>0</w:t>
                  </w:r>
                </w:p>
              </w:tc>
            </w:tr>
          </w:tbl>
          <w:p w14:paraId="12ACC301">
            <w:pPr>
              <w:pStyle w:val="59"/>
              <w:spacing w:before="2" w:line="360" w:lineRule="auto"/>
              <w:ind w:left="108" w:right="38" w:firstLine="597"/>
              <w:rPr>
                <w:color w:val="auto"/>
                <w:spacing w:val="0"/>
                <w:position w:val="0"/>
                <w:sz w:val="24"/>
                <w:szCs w:val="24"/>
                <w:highlight w:val="none"/>
                <w:u w:val="none" w:color="auto"/>
              </w:rPr>
            </w:pPr>
            <w:r>
              <w:rPr>
                <w:b/>
                <w:bCs/>
                <w:color w:val="auto"/>
                <w:spacing w:val="0"/>
                <w:position w:val="0"/>
                <w:sz w:val="24"/>
                <w:szCs w:val="24"/>
                <w:highlight w:val="none"/>
                <w:u w:val="none" w:color="auto"/>
              </w:rPr>
              <w:t>消防废水</w:t>
            </w:r>
            <w:r>
              <w:rPr>
                <w:color w:val="auto"/>
                <w:spacing w:val="0"/>
                <w:position w:val="0"/>
                <w:sz w:val="24"/>
                <w:szCs w:val="24"/>
                <w:highlight w:val="none"/>
                <w:u w:val="none" w:color="auto"/>
              </w:rPr>
              <w:t>：按照《烟花爆竹工程设计安全标准》（</w:t>
            </w:r>
            <w:r>
              <w:rPr>
                <w:rFonts w:ascii="Times New Roman" w:hAnsi="Times New Roman" w:eastAsia="Times New Roman" w:cs="Times New Roman"/>
                <w:color w:val="auto"/>
                <w:spacing w:val="0"/>
                <w:position w:val="0"/>
                <w:sz w:val="24"/>
                <w:szCs w:val="24"/>
                <w:highlight w:val="none"/>
                <w:u w:val="none" w:color="auto"/>
              </w:rPr>
              <w:t>GB50161-2022</w:t>
            </w:r>
            <w:r>
              <w:rPr>
                <w:color w:val="auto"/>
                <w:spacing w:val="0"/>
                <w:position w:val="0"/>
                <w:sz w:val="24"/>
                <w:szCs w:val="24"/>
                <w:highlight w:val="none"/>
                <w:u w:val="none" w:color="auto"/>
              </w:rPr>
              <w:t>）第</w:t>
            </w:r>
            <w:r>
              <w:rPr>
                <w:rFonts w:ascii="Times New Roman" w:hAnsi="Times New Roman" w:eastAsia="Times New Roman" w:cs="Times New Roman"/>
                <w:color w:val="auto"/>
                <w:spacing w:val="0"/>
                <w:position w:val="0"/>
                <w:sz w:val="24"/>
                <w:szCs w:val="24"/>
                <w:highlight w:val="none"/>
                <w:u w:val="none" w:color="auto"/>
              </w:rPr>
              <w:t>9.0.5</w:t>
            </w:r>
            <w:r>
              <w:rPr>
                <w:color w:val="auto"/>
                <w:spacing w:val="0"/>
                <w:position w:val="0"/>
                <w:sz w:val="24"/>
                <w:szCs w:val="24"/>
                <w:highlight w:val="none"/>
                <w:u w:val="none" w:color="auto"/>
              </w:rPr>
              <w:t>条要求，危险品仓库的室外消防用水量应符合现行国家标准《消防给水及消火栓系统技术规范》</w:t>
            </w:r>
            <w:r>
              <w:rPr>
                <w:rFonts w:ascii="Times New Roman" w:hAnsi="Times New Roman" w:eastAsia="Times New Roman" w:cs="Times New Roman"/>
                <w:color w:val="auto"/>
                <w:spacing w:val="0"/>
                <w:position w:val="0"/>
                <w:sz w:val="24"/>
                <w:szCs w:val="24"/>
                <w:highlight w:val="none"/>
                <w:u w:val="none" w:color="auto"/>
              </w:rPr>
              <w:t>(GB50974-2014)</w:t>
            </w:r>
            <w:r>
              <w:rPr>
                <w:color w:val="auto"/>
                <w:spacing w:val="0"/>
                <w:position w:val="0"/>
                <w:sz w:val="24"/>
                <w:szCs w:val="24"/>
                <w:highlight w:val="none"/>
                <w:u w:val="none" w:color="auto"/>
              </w:rPr>
              <w:t>中甲类厂房和仓库的规定</w:t>
            </w:r>
            <w:r>
              <w:rPr>
                <w:rFonts w:ascii="Times New Roman" w:hAnsi="Times New Roman" w:eastAsia="Times New Roman" w:cs="Times New Roman"/>
                <w:color w:val="auto"/>
                <w:spacing w:val="0"/>
                <w:position w:val="0"/>
                <w:sz w:val="24"/>
                <w:szCs w:val="24"/>
                <w:highlight w:val="none"/>
                <w:u w:val="none" w:color="auto"/>
              </w:rPr>
              <w:t>(</w:t>
            </w:r>
            <w:r>
              <w:rPr>
                <w:color w:val="auto"/>
                <w:spacing w:val="0"/>
                <w:position w:val="0"/>
                <w:sz w:val="24"/>
                <w:szCs w:val="24"/>
                <w:highlight w:val="none"/>
                <w:u w:val="none" w:color="auto"/>
              </w:rPr>
              <w:t>表</w:t>
            </w:r>
            <w:r>
              <w:rPr>
                <w:rFonts w:ascii="Times New Roman" w:hAnsi="Times New Roman" w:eastAsia="Times New Roman" w:cs="Times New Roman"/>
                <w:color w:val="auto"/>
                <w:spacing w:val="0"/>
                <w:position w:val="0"/>
                <w:sz w:val="24"/>
                <w:szCs w:val="24"/>
                <w:highlight w:val="none"/>
                <w:u w:val="none" w:color="auto"/>
              </w:rPr>
              <w:t>3.6.2</w:t>
            </w:r>
            <w:r>
              <w:rPr>
                <w:color w:val="auto"/>
                <w:spacing w:val="0"/>
                <w:position w:val="0"/>
                <w:sz w:val="24"/>
                <w:szCs w:val="24"/>
                <w:highlight w:val="none"/>
                <w:u w:val="none" w:color="auto"/>
              </w:rPr>
              <w:t>不同场所的火灾延续时间</w:t>
            </w:r>
            <w:r>
              <w:rPr>
                <w:rFonts w:ascii="Times New Roman" w:hAnsi="Times New Roman" w:eastAsia="Times New Roman" w:cs="Times New Roman"/>
                <w:color w:val="auto"/>
                <w:spacing w:val="0"/>
                <w:position w:val="0"/>
                <w:sz w:val="24"/>
                <w:szCs w:val="24"/>
                <w:highlight w:val="none"/>
                <w:u w:val="none" w:color="auto"/>
              </w:rPr>
              <w:t>)</w:t>
            </w:r>
            <w:r>
              <w:rPr>
                <w:color w:val="auto"/>
                <w:spacing w:val="0"/>
                <w:position w:val="0"/>
                <w:sz w:val="24"/>
                <w:szCs w:val="24"/>
                <w:highlight w:val="none"/>
                <w:u w:val="none" w:color="auto"/>
              </w:rPr>
              <w:t>，即</w:t>
            </w:r>
            <w:r>
              <w:rPr>
                <w:rFonts w:ascii="Times New Roman" w:hAnsi="Times New Roman" w:eastAsia="Times New Roman" w:cs="Times New Roman"/>
                <w:color w:val="auto"/>
                <w:spacing w:val="0"/>
                <w:position w:val="0"/>
                <w:sz w:val="24"/>
                <w:szCs w:val="24"/>
                <w:highlight w:val="none"/>
                <w:u w:val="none" w:color="auto"/>
              </w:rPr>
              <w:t>10L/S</w:t>
            </w:r>
            <w:r>
              <w:rPr>
                <w:color w:val="auto"/>
                <w:spacing w:val="0"/>
                <w:position w:val="0"/>
                <w:sz w:val="24"/>
                <w:szCs w:val="24"/>
                <w:highlight w:val="none"/>
                <w:u w:val="none" w:color="auto"/>
              </w:rPr>
              <w:t>，火灾延续时间按</w:t>
            </w:r>
            <w:r>
              <w:rPr>
                <w:rFonts w:ascii="Times New Roman" w:hAnsi="Times New Roman" w:eastAsia="Times New Roman" w:cs="Times New Roman"/>
                <w:color w:val="auto"/>
                <w:spacing w:val="0"/>
                <w:position w:val="0"/>
                <w:sz w:val="24"/>
                <w:szCs w:val="24"/>
                <w:highlight w:val="none"/>
                <w:u w:val="none" w:color="auto"/>
              </w:rPr>
              <w:t>3h</w:t>
            </w:r>
            <w:r>
              <w:rPr>
                <w:color w:val="auto"/>
                <w:spacing w:val="0"/>
                <w:position w:val="0"/>
                <w:sz w:val="24"/>
                <w:szCs w:val="24"/>
                <w:highlight w:val="none"/>
                <w:u w:val="none" w:color="auto"/>
              </w:rPr>
              <w:t>计，则</w:t>
            </w:r>
            <w:r>
              <w:rPr>
                <w:rFonts w:hint="eastAsia"/>
                <w:color w:val="auto"/>
                <w:spacing w:val="0"/>
                <w:position w:val="0"/>
                <w:sz w:val="24"/>
                <w:szCs w:val="24"/>
                <w:highlight w:val="none"/>
                <w:u w:val="none" w:color="auto"/>
                <w:lang w:val="en-US" w:eastAsia="zh-CN"/>
              </w:rPr>
              <w:t>地块一</w:t>
            </w:r>
            <w:r>
              <w:rPr>
                <w:color w:val="auto"/>
                <w:spacing w:val="0"/>
                <w:position w:val="0"/>
                <w:sz w:val="24"/>
                <w:szCs w:val="24"/>
                <w:highlight w:val="none"/>
                <w:u w:val="none" w:color="auto"/>
              </w:rPr>
              <w:t>消防用水量为</w:t>
            </w:r>
            <w:r>
              <w:rPr>
                <w:rFonts w:ascii="Times New Roman" w:hAnsi="Times New Roman" w:eastAsia="Times New Roman" w:cs="Times New Roman"/>
                <w:color w:val="auto"/>
                <w:spacing w:val="0"/>
                <w:position w:val="0"/>
                <w:sz w:val="24"/>
                <w:szCs w:val="24"/>
                <w:highlight w:val="none"/>
                <w:u w:val="none" w:color="auto"/>
              </w:rPr>
              <w:t>108m</w:t>
            </w:r>
            <w:r>
              <w:rPr>
                <w:rFonts w:ascii="Times New Roman" w:hAnsi="Times New Roman" w:eastAsia="Times New Roman" w:cs="Times New Roman"/>
                <w:color w:val="auto"/>
                <w:spacing w:val="0"/>
                <w:position w:val="0"/>
                <w:sz w:val="24"/>
                <w:szCs w:val="24"/>
                <w:highlight w:val="none"/>
                <w:u w:val="none" w:color="auto"/>
                <w:vertAlign w:val="superscript"/>
              </w:rPr>
              <w:t>3</w:t>
            </w:r>
            <w:r>
              <w:rPr>
                <w:rFonts w:hint="eastAsia" w:ascii="Times New Roman" w:hAnsi="Times New Roman" w:eastAsia="宋体" w:cs="Times New Roman"/>
                <w:color w:val="auto"/>
                <w:spacing w:val="0"/>
                <w:position w:val="0"/>
                <w:sz w:val="24"/>
                <w:szCs w:val="24"/>
                <w:highlight w:val="none"/>
                <w:u w:val="none" w:color="auto"/>
                <w:vertAlign w:val="baseline"/>
                <w:lang w:eastAsia="zh-CN"/>
              </w:rPr>
              <w:t>，</w:t>
            </w:r>
            <w:r>
              <w:rPr>
                <w:rFonts w:hint="eastAsia"/>
                <w:color w:val="auto"/>
                <w:spacing w:val="0"/>
                <w:position w:val="0"/>
                <w:sz w:val="24"/>
                <w:szCs w:val="24"/>
                <w:highlight w:val="none"/>
                <w:u w:val="none" w:color="auto"/>
                <w:lang w:val="en-US" w:eastAsia="zh-CN"/>
              </w:rPr>
              <w:t>地块二</w:t>
            </w:r>
            <w:r>
              <w:rPr>
                <w:color w:val="auto"/>
                <w:spacing w:val="0"/>
                <w:position w:val="0"/>
                <w:sz w:val="24"/>
                <w:szCs w:val="24"/>
                <w:highlight w:val="none"/>
                <w:u w:val="none" w:color="auto"/>
              </w:rPr>
              <w:t>消防用水量为</w:t>
            </w:r>
            <w:r>
              <w:rPr>
                <w:rFonts w:ascii="Times New Roman" w:hAnsi="Times New Roman" w:eastAsia="Times New Roman" w:cs="Times New Roman"/>
                <w:color w:val="auto"/>
                <w:spacing w:val="0"/>
                <w:position w:val="0"/>
                <w:sz w:val="24"/>
                <w:szCs w:val="24"/>
                <w:highlight w:val="none"/>
                <w:u w:val="none" w:color="auto"/>
              </w:rPr>
              <w:t>108m</w:t>
            </w:r>
            <w:r>
              <w:rPr>
                <w:rFonts w:ascii="Times New Roman" w:hAnsi="Times New Roman" w:eastAsia="Times New Roman" w:cs="Times New Roman"/>
                <w:color w:val="auto"/>
                <w:spacing w:val="0"/>
                <w:position w:val="0"/>
                <w:sz w:val="24"/>
                <w:szCs w:val="24"/>
                <w:highlight w:val="none"/>
                <w:u w:val="none" w:color="auto"/>
                <w:vertAlign w:val="superscript"/>
              </w:rPr>
              <w:t>3</w:t>
            </w:r>
            <w:r>
              <w:rPr>
                <w:rFonts w:hint="eastAsia" w:ascii="Times New Roman" w:hAnsi="Times New Roman" w:eastAsia="宋体" w:cs="Times New Roman"/>
                <w:color w:val="auto"/>
                <w:spacing w:val="0"/>
                <w:position w:val="0"/>
                <w:sz w:val="24"/>
                <w:szCs w:val="24"/>
                <w:highlight w:val="none"/>
                <w:u w:val="none" w:color="auto"/>
                <w:vertAlign w:val="baseline"/>
                <w:lang w:eastAsia="zh-CN"/>
              </w:rPr>
              <w:t>。</w:t>
            </w:r>
            <w:r>
              <w:rPr>
                <w:color w:val="auto"/>
                <w:spacing w:val="0"/>
                <w:position w:val="0"/>
                <w:sz w:val="24"/>
                <w:szCs w:val="24"/>
                <w:highlight w:val="none"/>
                <w:u w:val="none" w:color="auto"/>
              </w:rPr>
              <w:t>消防废水中有大量的硝态氮，其直接进入地表水体，会造成地表水严重污染，所以必须采取相应的防治措施，</w:t>
            </w:r>
            <w:r>
              <w:rPr>
                <w:rFonts w:hint="eastAsia"/>
                <w:color w:val="auto"/>
                <w:spacing w:val="0"/>
                <w:position w:val="0"/>
                <w:sz w:val="24"/>
                <w:szCs w:val="24"/>
                <w:highlight w:val="none"/>
                <w:u w:val="none" w:color="auto"/>
                <w:lang w:val="en-US" w:eastAsia="zh-CN"/>
              </w:rPr>
              <w:t>地块一设置</w:t>
            </w:r>
            <w:r>
              <w:rPr>
                <w:color w:val="auto"/>
                <w:spacing w:val="0"/>
                <w:position w:val="0"/>
                <w:sz w:val="24"/>
                <w:szCs w:val="24"/>
                <w:highlight w:val="none"/>
                <w:u w:val="none" w:color="auto"/>
              </w:rPr>
              <w:t>一个消防废水事故收集池（</w:t>
            </w:r>
            <w:r>
              <w:rPr>
                <w:rFonts w:ascii="Times New Roman" w:hAnsi="Times New Roman" w:eastAsia="Times New Roman" w:cs="Times New Roman"/>
                <w:color w:val="auto"/>
                <w:spacing w:val="0"/>
                <w:position w:val="0"/>
                <w:sz w:val="24"/>
                <w:szCs w:val="24"/>
                <w:highlight w:val="none"/>
                <w:u w:val="none" w:color="auto"/>
              </w:rPr>
              <w:t>1</w:t>
            </w:r>
            <w:r>
              <w:rPr>
                <w:rFonts w:hint="eastAsia" w:ascii="Times New Roman" w:hAnsi="Times New Roman" w:eastAsia="宋体" w:cs="Times New Roman"/>
                <w:color w:val="auto"/>
                <w:spacing w:val="0"/>
                <w:position w:val="0"/>
                <w:sz w:val="24"/>
                <w:szCs w:val="24"/>
                <w:highlight w:val="none"/>
                <w:u w:val="none" w:color="auto"/>
                <w:lang w:val="en-US" w:eastAsia="zh-CN"/>
              </w:rPr>
              <w:t>9</w:t>
            </w:r>
            <w:r>
              <w:rPr>
                <w:rFonts w:ascii="Times New Roman" w:hAnsi="Times New Roman" w:eastAsia="Times New Roman" w:cs="Times New Roman"/>
                <w:color w:val="auto"/>
                <w:spacing w:val="0"/>
                <w:position w:val="0"/>
                <w:sz w:val="24"/>
                <w:szCs w:val="24"/>
                <w:highlight w:val="none"/>
                <w:u w:val="none" w:color="auto"/>
              </w:rPr>
              <w:t>0m³</w:t>
            </w:r>
            <w:r>
              <w:rPr>
                <w:color w:val="auto"/>
                <w:spacing w:val="0"/>
                <w:position w:val="0"/>
                <w:sz w:val="24"/>
                <w:szCs w:val="24"/>
                <w:highlight w:val="none"/>
                <w:u w:val="none" w:color="auto"/>
              </w:rPr>
              <w:t>)</w:t>
            </w:r>
            <w:r>
              <w:rPr>
                <w:rFonts w:hint="eastAsia"/>
                <w:color w:val="auto"/>
                <w:spacing w:val="0"/>
                <w:position w:val="0"/>
                <w:sz w:val="24"/>
                <w:szCs w:val="24"/>
                <w:highlight w:val="none"/>
                <w:u w:val="none" w:color="auto"/>
                <w:lang w:val="en-US" w:eastAsia="zh-CN"/>
              </w:rPr>
              <w:t>能</w:t>
            </w:r>
            <w:r>
              <w:rPr>
                <w:color w:val="auto"/>
                <w:spacing w:val="0"/>
                <w:position w:val="0"/>
                <w:sz w:val="24"/>
                <w:szCs w:val="24"/>
                <w:highlight w:val="none"/>
                <w:u w:val="none" w:color="auto"/>
              </w:rPr>
              <w:t>做到消防废水不外排，</w:t>
            </w:r>
            <w:r>
              <w:rPr>
                <w:rFonts w:hint="eastAsia"/>
                <w:color w:val="auto"/>
                <w:spacing w:val="0"/>
                <w:position w:val="0"/>
                <w:sz w:val="24"/>
                <w:szCs w:val="24"/>
                <w:highlight w:val="none"/>
                <w:u w:val="none" w:color="auto"/>
                <w:lang w:val="en-US" w:eastAsia="zh-CN"/>
              </w:rPr>
              <w:t>地块二</w:t>
            </w:r>
            <w:r>
              <w:rPr>
                <w:color w:val="auto"/>
                <w:spacing w:val="0"/>
                <w:position w:val="0"/>
                <w:sz w:val="24"/>
                <w:szCs w:val="24"/>
                <w:highlight w:val="none"/>
                <w:u w:val="none" w:color="auto"/>
              </w:rPr>
              <w:t>设置一个消防废水事故收集池（</w:t>
            </w:r>
            <w:r>
              <w:rPr>
                <w:rFonts w:ascii="Times New Roman" w:hAnsi="Times New Roman" w:eastAsia="Times New Roman" w:cs="Times New Roman"/>
                <w:color w:val="auto"/>
                <w:spacing w:val="0"/>
                <w:position w:val="0"/>
                <w:sz w:val="24"/>
                <w:szCs w:val="24"/>
                <w:highlight w:val="none"/>
                <w:u w:val="none" w:color="auto"/>
              </w:rPr>
              <w:t>120m³</w:t>
            </w:r>
            <w:r>
              <w:rPr>
                <w:color w:val="auto"/>
                <w:spacing w:val="0"/>
                <w:position w:val="0"/>
                <w:sz w:val="24"/>
                <w:szCs w:val="24"/>
                <w:highlight w:val="none"/>
                <w:u w:val="none" w:color="auto"/>
              </w:rPr>
              <w:t>)做到消防废水不外排，</w:t>
            </w:r>
            <w:r>
              <w:rPr>
                <w:rFonts w:hint="eastAsia"/>
                <w:color w:val="auto"/>
                <w:spacing w:val="0"/>
                <w:position w:val="0"/>
                <w:sz w:val="24"/>
                <w:szCs w:val="24"/>
                <w:highlight w:val="none"/>
                <w:u w:val="none" w:color="auto"/>
                <w:lang w:val="en-US" w:eastAsia="zh-CN"/>
              </w:rPr>
              <w:t>事故池</w:t>
            </w:r>
            <w:r>
              <w:rPr>
                <w:color w:val="auto"/>
                <w:spacing w:val="0"/>
                <w:position w:val="0"/>
                <w:sz w:val="24"/>
                <w:szCs w:val="24"/>
                <w:highlight w:val="none"/>
                <w:u w:val="none" w:color="auto"/>
              </w:rPr>
              <w:t>与烟花爆竹仓库四周收集沟连接，接口处设置切换阀。收集后的消防废水暂时储存后</w:t>
            </w:r>
            <w:r>
              <w:rPr>
                <w:rFonts w:hint="eastAsia"/>
                <w:color w:val="auto"/>
                <w:spacing w:val="0"/>
                <w:position w:val="0"/>
                <w:sz w:val="24"/>
                <w:szCs w:val="24"/>
                <w:highlight w:val="none"/>
                <w:u w:val="none" w:color="auto"/>
                <w:lang w:val="en-US" w:eastAsia="zh-CN"/>
              </w:rPr>
              <w:t>委托有资质单位处置</w:t>
            </w:r>
            <w:r>
              <w:rPr>
                <w:color w:val="auto"/>
                <w:spacing w:val="0"/>
                <w:position w:val="0"/>
                <w:sz w:val="24"/>
                <w:szCs w:val="24"/>
                <w:highlight w:val="none"/>
                <w:u w:val="none" w:color="auto"/>
              </w:rPr>
              <w:t>。</w:t>
            </w:r>
          </w:p>
          <w:p w14:paraId="5B74B6DE">
            <w:pPr>
              <w:spacing w:line="360" w:lineRule="auto"/>
              <w:ind w:firstLine="480" w:firstLineChars="200"/>
              <w:rPr>
                <w:color w:val="auto"/>
                <w:sz w:val="24"/>
                <w:szCs w:val="24"/>
                <w:highlight w:val="none"/>
              </w:rPr>
            </w:pPr>
            <w:r>
              <w:rPr>
                <w:color w:val="auto"/>
                <w:sz w:val="24"/>
                <w:szCs w:val="24"/>
                <w:highlight w:val="none"/>
              </w:rPr>
              <w:t>项目水量平衡图见图</w:t>
            </w:r>
            <w:r>
              <w:rPr>
                <w:rFonts w:hint="eastAsia"/>
                <w:color w:val="auto"/>
                <w:sz w:val="24"/>
                <w:szCs w:val="24"/>
                <w:highlight w:val="none"/>
                <w:lang w:val="en-US" w:eastAsia="zh-CN"/>
              </w:rPr>
              <w:t>2</w:t>
            </w:r>
            <w:r>
              <w:rPr>
                <w:color w:val="auto"/>
                <w:sz w:val="24"/>
                <w:szCs w:val="24"/>
                <w:highlight w:val="none"/>
              </w:rPr>
              <w:t>-1。</w:t>
            </w:r>
          </w:p>
          <w:p w14:paraId="5E9352AB">
            <w:pPr>
              <w:spacing w:line="360" w:lineRule="auto"/>
              <w:ind w:firstLine="420" w:firstLineChars="200"/>
              <w:rPr>
                <w:color w:val="auto"/>
                <w:highlight w:val="none"/>
              </w:rPr>
            </w:pPr>
            <w:r>
              <w:rPr>
                <w:color w:val="auto"/>
                <w:highlight w:val="none"/>
              </w:rPr>
              <w:object>
                <v:shape id="_x0000_i1025" o:spt="75" type="#_x0000_t75" style="height:184.2pt;width:373.7pt;" o:ole="t" filled="f" o:preferrelative="t" stroked="f" coordsize="21600,21600">
                  <v:path/>
                  <v:fill on="f" focussize="0,0"/>
                  <v:stroke on="f"/>
                  <v:imagedata r:id="rId9" o:title=""/>
                  <o:lock v:ext="edit" aspectratio="f"/>
                  <w10:wrap type="none"/>
                  <w10:anchorlock/>
                </v:shape>
                <o:OLEObject Type="Embed" ProgID="Visio.Drawing.15" ShapeID="_x0000_i1025" DrawAspect="Content" ObjectID="_1468075725" r:id="rId8">
                  <o:LockedField>false</o:LockedField>
                </o:OLEObject>
              </w:object>
            </w:r>
          </w:p>
          <w:p w14:paraId="205293E9">
            <w:pPr>
              <w:spacing w:line="360" w:lineRule="auto"/>
              <w:jc w:val="center"/>
              <w:rPr>
                <w:rFonts w:hint="eastAsia" w:eastAsia="宋体"/>
                <w:color w:val="auto"/>
                <w:szCs w:val="21"/>
                <w:highlight w:val="none"/>
                <w:lang w:eastAsia="zh-CN"/>
              </w:rPr>
            </w:pPr>
            <w:r>
              <w:rPr>
                <w:b/>
                <w:bCs/>
                <w:color w:val="auto"/>
                <w:highlight w:val="none"/>
              </w:rPr>
              <w:t>图</w:t>
            </w:r>
            <w:r>
              <w:rPr>
                <w:rFonts w:hint="eastAsia"/>
                <w:b/>
                <w:bCs/>
                <w:color w:val="auto"/>
                <w:highlight w:val="none"/>
                <w:lang w:val="en-US" w:eastAsia="zh-CN"/>
              </w:rPr>
              <w:t>2</w:t>
            </w:r>
            <w:r>
              <w:rPr>
                <w:b/>
                <w:bCs/>
                <w:color w:val="auto"/>
                <w:highlight w:val="none"/>
              </w:rPr>
              <w:t>-1  项目运营期水量平衡图</w:t>
            </w:r>
            <w:r>
              <w:rPr>
                <w:rFonts w:hint="eastAsia"/>
                <w:b/>
                <w:bCs/>
                <w:color w:val="auto"/>
                <w:highlight w:val="none"/>
                <w:lang w:eastAsia="zh-CN"/>
              </w:rPr>
              <w:t>（</w:t>
            </w:r>
            <w:r>
              <w:rPr>
                <w:rFonts w:hint="eastAsia"/>
                <w:b/>
                <w:bCs/>
                <w:color w:val="auto"/>
                <w:highlight w:val="none"/>
                <w:lang w:val="en-US" w:eastAsia="zh-CN"/>
              </w:rPr>
              <w:t>m</w:t>
            </w:r>
            <w:r>
              <w:rPr>
                <w:rFonts w:hint="eastAsia"/>
                <w:b/>
                <w:bCs/>
                <w:color w:val="auto"/>
                <w:highlight w:val="none"/>
                <w:vertAlign w:val="superscript"/>
                <w:lang w:val="en-US" w:eastAsia="zh-CN"/>
              </w:rPr>
              <w:t>3</w:t>
            </w:r>
            <w:r>
              <w:rPr>
                <w:rFonts w:hint="eastAsia"/>
                <w:b/>
                <w:bCs/>
                <w:color w:val="auto"/>
                <w:highlight w:val="none"/>
                <w:lang w:val="en-US" w:eastAsia="zh-CN"/>
              </w:rPr>
              <w:t>/a</w:t>
            </w:r>
            <w:r>
              <w:rPr>
                <w:rFonts w:hint="eastAsia"/>
                <w:b/>
                <w:bCs/>
                <w:color w:val="auto"/>
                <w:highlight w:val="none"/>
                <w:lang w:eastAsia="zh-CN"/>
              </w:rPr>
              <w:t>）</w:t>
            </w:r>
          </w:p>
        </w:tc>
      </w:tr>
      <w:tr w14:paraId="5A2D4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vAlign w:val="center"/>
          </w:tcPr>
          <w:p w14:paraId="79F38AB6">
            <w:pPr>
              <w:spacing w:line="360" w:lineRule="auto"/>
              <w:jc w:val="center"/>
              <w:rPr>
                <w:color w:val="auto"/>
                <w:szCs w:val="21"/>
                <w:highlight w:val="none"/>
              </w:rPr>
            </w:pPr>
            <w:r>
              <w:rPr>
                <w:color w:val="auto"/>
                <w:szCs w:val="21"/>
                <w:highlight w:val="none"/>
              </w:rPr>
              <w:t>工艺流程和产排污环节</w:t>
            </w:r>
          </w:p>
        </w:tc>
        <w:tc>
          <w:tcPr>
            <w:tcW w:w="8047" w:type="dxa"/>
          </w:tcPr>
          <w:p w14:paraId="430F9249">
            <w:pPr>
              <w:spacing w:line="360" w:lineRule="auto"/>
              <w:ind w:firstLine="482" w:firstLineChars="200"/>
              <w:rPr>
                <w:b/>
                <w:bCs/>
                <w:color w:val="auto"/>
                <w:sz w:val="24"/>
                <w:szCs w:val="24"/>
                <w:highlight w:val="none"/>
              </w:rPr>
            </w:pPr>
            <w:r>
              <w:rPr>
                <w:rFonts w:hint="eastAsia"/>
                <w:b/>
                <w:bCs/>
                <w:color w:val="auto"/>
                <w:sz w:val="24"/>
                <w:szCs w:val="24"/>
                <w:highlight w:val="none"/>
              </w:rPr>
              <w:t>一、</w:t>
            </w:r>
            <w:r>
              <w:rPr>
                <w:b/>
                <w:bCs/>
                <w:color w:val="auto"/>
                <w:sz w:val="24"/>
                <w:szCs w:val="24"/>
                <w:highlight w:val="none"/>
              </w:rPr>
              <w:t>施工期</w:t>
            </w:r>
          </w:p>
          <w:p w14:paraId="133DABAA">
            <w:pPr>
              <w:spacing w:line="360" w:lineRule="auto"/>
              <w:ind w:firstLine="482" w:firstLineChars="200"/>
              <w:rPr>
                <w:b/>
                <w:bCs/>
                <w:color w:val="auto"/>
                <w:sz w:val="24"/>
                <w:szCs w:val="24"/>
                <w:highlight w:val="none"/>
              </w:rPr>
            </w:pPr>
            <w:r>
              <w:rPr>
                <w:b/>
                <w:bCs/>
                <w:color w:val="auto"/>
                <w:sz w:val="24"/>
                <w:szCs w:val="24"/>
                <w:highlight w:val="none"/>
              </w:rPr>
              <w:t>1、工艺及产污节点</w:t>
            </w:r>
          </w:p>
          <w:p w14:paraId="62D56491">
            <w:pPr>
              <w:spacing w:line="360" w:lineRule="auto"/>
              <w:ind w:firstLine="480" w:firstLineChars="200"/>
              <w:rPr>
                <w:color w:val="auto"/>
                <w:sz w:val="24"/>
                <w:szCs w:val="24"/>
                <w:highlight w:val="none"/>
              </w:rPr>
            </w:pPr>
            <w:r>
              <w:rPr>
                <w:color w:val="auto"/>
                <w:sz w:val="24"/>
                <w:szCs w:val="24"/>
                <w:highlight w:val="none"/>
              </w:rPr>
              <w:t>项目施工期主要进行主体工程、辅助工程、储运工程和环保工程的建设，从场地平整、地基处理，到建筑施工建设。项目施工期工艺流程及产污节点见图2-1所示。</w:t>
            </w:r>
          </w:p>
          <w:p w14:paraId="3FDC4DD5">
            <w:pPr>
              <w:spacing w:line="360" w:lineRule="auto"/>
              <w:jc w:val="center"/>
              <w:rPr>
                <w:b/>
                <w:bCs/>
                <w:color w:val="auto"/>
                <w:szCs w:val="21"/>
                <w:highlight w:val="none"/>
              </w:rPr>
            </w:pPr>
            <w:r>
              <w:rPr>
                <w:color w:val="auto"/>
                <w:highlight w:val="none"/>
              </w:rPr>
              <w:pict>
                <v:group id="组合 77" o:spid="_x0000_s2050" o:spt="203" style="position:absolute;left:0pt;margin-left:2.7pt;margin-top:1.35pt;height:147.4pt;width:392pt;mso-wrap-distance-bottom:0pt;mso-wrap-distance-left:9pt;mso-wrap-distance-right:9pt;mso-wrap-distance-top:0pt;z-index:251659264;mso-width-relative:page;mso-height-relative:page;" coordorigin="2900,421619" coordsize="7840,2948" o:gfxdata="UEsDBAoAAAAAAIdO4kAAAAAAAAAAAAAAAAAEAAAAZHJzL1BLAwQUAAAACACHTuJAPXJxO9YAAAAH&#10;AQAADwAAAGRycy9kb3ducmV2LnhtbE2OQUvDQBCF74L/YRnBm92kGtPGbIoU9VQEW0G8TZNpEpqd&#10;Ddlt0v57x5MeP97jvS9fnW2nRhp869hAPItAEZeuark28Ll7vVuA8gG5ws4xGbiQh1VxfZVjVrmJ&#10;P2jchlrJCPsMDTQh9JnWvmzIop+5nliygxssBsGh1tWAk4zbTs+j6FFbbFkeGuxp3VB53J6sgbcJ&#10;p+f7+GXcHA/ry/cuef/axGTM7U0cPYEKdA5/ZfjVF3UoxGnvTlx51RlIHqRoYJ6CkjRdLIX3wss0&#10;AV3k+r9/8QNQSwMEFAAAAAgAh07iQCEkzIiQBgAAxy8AAA4AAABkcnMvZTJvRG9jLnhtbO1aW2/c&#10;RBR+R+I/WH6n6/tl1U0VkrYgRbRSuTxPvPauJdtjZibZTZ8R8IR44gUEAgESUuGpbwjxa5ryMzhz&#10;s73ubrJNlW1TOQ8b2zMez5zzne9cZm7fWZaFcZoSmuNqYtq3LNNIqwRP82o2MT/5+N57kWlQhqop&#10;KnCVTsyzlJp39t595/aiHqcOnuNimhIDBqnoeFFPzDlj9Xg0osk8LRG9heu0gsYMkxIxuCWz0ZSg&#10;BYxeFiPHsoLRApNpTXCSUgpPD2WjqUYk2wyIsyxP0kOcnJRpxeSoJC0QgyXReV5Tc0/MNsvShD3I&#10;Mpoyo5iYsFImfuEjcH3Mf0d7t9F4RlA9zxM1BbTNFHprKlFewUeboQ4RQ8YJyV8YqswTginO2K0E&#10;lyO5ECERWIVt9WRzn+CTWqxlNl7M6kbooKie1K88bPLR6UNi5NOJGYamUaESNP787y+effu1AQ9A&#10;Oot6NoZO90n9qH5I1IOZvOMLXmak5P9hKcYS8OQHoR2BdM8mpus4cWArGadLZiTQwYvDyLOgQwI9&#10;7Ci0Y+gttJDMQVV8DCfm7dDsOXZgx7r1rhqBvy9fd2Iv4q0jPY0Rn20zuUUNCKWt2Oirie3RHNWp&#10;0AblElFic51GbD/98eyfXwx4IKQkOjUyo2MK4lsjsLWL1cK6YKloXBPK7qe4NPjFxCSAdQFBdHpE&#10;mZSK7sK/W+F7eVEISReVsQAx+1IPCIw4A+MBmZY1AIFWM9NAxQzYIWFEDElxkU/563wgSmbHBwUx&#10;ThG3KfGnlLDSjX/7ENG57CeaVLeiApVx5UiR8KtjPD0DgRIsDZTWyb0c3j9ClD1EBCwSNA6cxR7A&#10;T1ZgmD1WV6Yxx+Txuue8P2gcWk1jARYOK/v8BJHUNIoPK8BCbHscSEzceH7owA3pthx3W6qT8gDD&#10;gm1gxzoRl7w/K/RlRnD5GVDbPv8qNKEqgW9LGaqbAyaZB8gxSff3RTeggRqxo+pRnfDBpab2TxjO&#10;cqHEVjpKaIBobpW7gLanoX3+3VfnPzw5//lLw/V66DbY8n3MDV8/34jzCAhGGnXsiVHQWOPcdmxf&#10;mrRvCdZpLPqlYS6AdhFUuYRRUc+RArDGrkS1IJOVMaSxBK5vXdEUYC1rEM+Wx0vFE28x+IFUpB3c&#10;NOgDHKUz7EDf1xAH9ufEvi30Pc+NG+i7wmMN0JccNkD/zWP9YA30gytCP7C5i9WsL0YZoD9A/00N&#10;eJoUqMP6KgtqwvltWT+MbEgNNPRFeDRAf4D+mwp9qPqo7P/7p+ff/Pb8rz+f/fr0v39/5NdPfjdk&#10;2MLTDgh+DiqZylJ2sKxE8QDSAvgPaYDLHQXgvJo2TRBKiSZhAiLva4bg43XzBSMr8vpTnQepkoLn&#10;WNqQHDsW2XVrSI4LNstLCcK3bE4bKCMon83ZAa4qSJQxkanWtrly7Ds8QdltqozGDOXF3WpqsLMa&#10;6jKIELxQ6cqajELGUjzxV9nhrtJECG4vhI6o4GyGjsaHgM4V8OEHPqBPEK1jRxqAqljkWzA7jg8x&#10;iQEfZPf44BHgRfiAdpUIN7wARaaWWiAe3UQtYPuvRC2h6wP6FHRikd+11AIlIVWTUDanS526qqYK&#10;bwO18I2AaymuelBt60Kn9UfQsgoaddf1JtwRKR/iug4oUyjatWIR0rWKdqMQHAwnCYHEzSRR5BUv&#10;AEP9aMsS62txG+vrTa/LO3htfXxtYAHtq4rk8u1Yvw4sRLctvMMHvejB9SMgEGnint8Lw5VvCPzB&#10;O7w2fLirJt4PPD3h0C+PHq6KD9/yGhfgwSWAsWUGRQuBjH43E8PgAq7PBQABdF3AC/jobkisSUx0&#10;9LAFPjr+IghhZ7FhjV5MqVEB8QGgZUAF4VLYbc7BbfZCVHRr9WtQoQPHLVAhctK+V4k8u8k5PLkJ&#10;3bIGQE5kpL3N6Re2sgbWuD7WAB1ciI9uQZvjQ8UgG8JH3491GRvCx14ZG1q4un179SzCoO7d7VT7&#10;TZDZFm7hmVLqS27Xue12nRs4PWW7QQyOQeg7ukTflx3IWNllXneoQmQaw071bo5psBu6U81TV8l0&#10;LfTh2dWgH7tRu1Md9MKe4ZDGW3pC6cZC/5LUILwkNdBBoMZ5u2fBjWrbwmIna4itpsoEOxW9XBJ8&#10;iXQcjgw69ZnFIU7YXZwQNmFhhyy7oeDLHOsJvRDKk7KmaFu9OMFxAx0XyqbNaeIQJ9yk45zXQJaQ&#10;O4vz3aKWoM6i8wPk3XuRYbfn7/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8IAABbQ29udGVudF9UeXBlc10ueG1sUEsBAhQACgAAAAAAh07i&#10;QAAAAAAAAAAAAAAAAAYAAAAAAAAAAAAQAAAA4QcAAF9yZWxzL1BLAQIUABQAAAAIAIdO4kCKFGY8&#10;0QAAAJQBAAALAAAAAAAAAAEAIAAAAAUIAABfcmVscy8ucmVsc1BLAQIUAAoAAAAAAIdO4kAAAAAA&#10;AAAAAAAAAAAEAAAAAAAAAAAAEAAAAAAAAABkcnMvUEsBAhQAFAAAAAgAh07iQD1ycTvWAAAABwEA&#10;AA8AAAAAAAAAAQAgAAAAIgAAAGRycy9kb3ducmV2LnhtbFBLAQIUABQAAAAIAIdO4kAhJMyIkAYA&#10;AMcvAAAOAAAAAAAAAAEAIAAAACUBAABkcnMvZTJvRG9jLnhtbFBLBQYAAAAABgAGAFkBAAAnCgAA&#10;AAA=&#10;">
                  <o:lock v:ext="edit" aspectratio="f"/>
                  <v:rect id="矩形 32" o:spid="_x0000_s2051" o:spt="1" style="position:absolute;left:2900;top:421619;height:2948;width:7840;v-text-anchor:middle;" filled="f" stroked="t" coordsize="21600,21600" o:gfxdata="UEsDBAoAAAAAAIdO4kAAAAAAAAAAAAAAAAAEAAAAZHJzL1BLAwQUAAAACACHTuJA4z1n4sAAAADb&#10;AAAADwAAAGRycy9kb3ducmV2LnhtbEWPT2vCQBTE74V+h+UVehHdjZoiqRsPgtBLwfqH4u2RfSZp&#10;sm9jdhvtt+8WhB6HmfkNs1zdbCsG6n3tWEMyUSCIC2dqLjUc9pvxAoQPyAZbx6Thhzys8seHJWbG&#10;XfmDhl0oRYSwz1BDFUKXSemLiiz6ieuIo3d2vcUQZV9K0+M1wm0rp0q9SIs1x4UKO1pXVDS7b6th&#10;O5fNvBwdU/WefF7Sr01ay+Gk9fNTol5BBLqF//C9/WY0zKbw9yX+AJn/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PWfi&#10;wAAAANsAAAAPAAAAAAAAAAEAIAAAACIAAABkcnMvZG93bnJldi54bWxQSwECFAAUAAAACACHTuJA&#10;My8FnjsAAAA5AAAAEAAAAAAAAAABACAAAAAPAQAAZHJzL3NoYXBleG1sLnhtbFBLBQYAAAAABgAG&#10;AFsBAAC5AwAAAAA=&#10;">
                    <v:path/>
                    <v:fill on="f" focussize="0,0"/>
                    <v:stroke weight="2pt" color="#000000" joinstyle="round"/>
                    <v:imagedata o:title=""/>
                    <o:lock v:ext="edit" aspectratio="f"/>
                  </v:rect>
                  <v:shape id="文本框 34" o:spid="_x0000_s2052" o:spt="202" type="#_x0000_t202" style="position:absolute;left:2987;top:421944;height:507;width:1215;" fillcolor="#000000" filled="t" stroked="t" coordsize="21600,21600" o:gfxdata="UEsDBAoAAAAAAIdO4kAAAAAAAAAAAAAAAAAEAAAAZHJzL1BLAwQUAAAACACHTuJAKVGJ0LwAAADb&#10;AAAADwAAAGRycy9kb3ducmV2LnhtbEWPQYvCMBSE78L+h/CEvciaVhdZaqOHBUXwpKvg8dE822Ly&#10;UpJo9d9vBMHjMDPfMOXybo24kQ+tYwX5OANBXDndcq3g8Lf6+gERIrJG45gUPCjAcvExKLHQrucd&#10;3faxFgnCoUAFTYxdIWWoGrIYxq4jTt7ZeYsxSV9L7bFPcGvkJMtm0mLLaaHBjn4bqi77q1Vg1rPq&#10;uBvl/uQf9VZuVmZr1kelPod5NgcR6R7f4Vd7oxVMv+H5Jf0A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RidC8AAAA&#10;2wAAAA8AAAAAAAAAAQAgAAAAIgAAAGRycy9kb3ducmV2LnhtbFBLAQIUABQAAAAIAIdO4kAzLwWe&#10;OwAAADkAAAAQAAAAAAAAAAEAIAAAAAsBAABkcnMvc2hhcGV4bWwueG1sUEsFBgAAAAAGAAYAWwEA&#10;ALUDAAAAAA==&#10;">
                    <v:path/>
                    <v:fill on="t" color2="#FFFFFF" opacity="0f" focussize="0,0"/>
                    <v:stroke weight="0.5pt" color="#000000" joinstyle="round"/>
                    <v:imagedata o:title=""/>
                    <o:lock v:ext="edit" aspectratio="f"/>
                    <v:textbox>
                      <w:txbxContent>
                        <w:p w14:paraId="4E88D978">
                          <w:pPr>
                            <w:rPr>
                              <w:b/>
                              <w:bCs/>
                            </w:rPr>
                          </w:pPr>
                          <w:r>
                            <w:rPr>
                              <w:rFonts w:hint="eastAsia"/>
                              <w:b/>
                              <w:bCs/>
                            </w:rPr>
                            <w:t>场地平整</w:t>
                          </w:r>
                        </w:p>
                      </w:txbxContent>
                    </v:textbox>
                  </v:shape>
                  <v:shape id="文本框 35" o:spid="_x0000_s2053" o:spt="202" type="#_x0000_t202" style="position:absolute;left:4439;top:421938;height:507;width:1215;" fillcolor="#000000" filled="t" stroked="t" coordsize="21600,21600" o:gfxdata="UEsDBAoAAAAAAIdO4kAAAAAAAAAAAAAAAAAEAAAAZHJzL1BLAwQUAAAACACHTuJARh0sS7wAAADb&#10;AAAADwAAAGRycy9kb3ducmV2LnhtbEWPQYvCMBSE78L+h/CEvciaVllZaqOHBUXwpKvg8dE822Ly&#10;UpJo9d9vBMHjMDPfMOXybo24kQ+tYwX5OANBXDndcq3g8Lf6+gERIrJG45gUPCjAcvExKLHQrucd&#10;3faxFgnCoUAFTYxdIWWoGrIYxq4jTt7ZeYsxSV9L7bFPcGvkJMtm0mLLaaHBjn4bqi77q1Vg1rPq&#10;uBvl/uQf9VZuVmZr1kelPod5NgcR6R7f4Vd7oxVMv+H5Jf0A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dLEu8AAAA&#10;2wAAAA8AAAAAAAAAAQAgAAAAIgAAAGRycy9kb3ducmV2LnhtbFBLAQIUABQAAAAIAIdO4kAzLwWe&#10;OwAAADkAAAAQAAAAAAAAAAEAIAAAAAsBAABkcnMvc2hhcGV4bWwueG1sUEsFBgAAAAAGAAYAWwEA&#10;ALUDAAAAAA==&#10;">
                    <v:path/>
                    <v:fill on="t" color2="#FFFFFF" opacity="0f" focussize="0,0"/>
                    <v:stroke weight="0.5pt" color="#000000" joinstyle="round"/>
                    <v:imagedata o:title=""/>
                    <o:lock v:ext="edit" aspectratio="f"/>
                    <v:textbox>
                      <w:txbxContent>
                        <w:p w14:paraId="1196B4BF">
                          <w:pPr>
                            <w:rPr>
                              <w:b/>
                              <w:bCs/>
                            </w:rPr>
                          </w:pPr>
                          <w:r>
                            <w:rPr>
                              <w:rFonts w:hint="eastAsia"/>
                              <w:b/>
                              <w:bCs/>
                            </w:rPr>
                            <w:t>地基处理</w:t>
                          </w:r>
                        </w:p>
                      </w:txbxContent>
                    </v:textbox>
                  </v:shape>
                  <v:shape id="文本框 36" o:spid="_x0000_s2054" o:spt="202" type="#_x0000_t202" style="position:absolute;left:6140;top:421946;height:507;width:1215;" fillcolor="#000000" filled="t" stroked="t" coordsize="21600,21600" o:gfxdata="UEsDBAoAAAAAAIdO4kAAAAAAAAAAAAAAAAAEAAAAZHJzL1BLAwQUAAAACACHTuJAts+yPL0AAADb&#10;AAAADwAAAGRycy9kb3ducmV2LnhtbEWPzWrDMBCE74W+g9hCLiWR3YAJbpQcCgkBn5wfyHGxtrap&#10;tDKSmthvHxUKOQ4z8w2z3o7WiBv50DtWkC8yEMSN0z23Cs6n3XwFIkRkjcYxKZgowHbz+rLGUrs7&#10;13Q7xlYkCIcSFXQxDqWUoenIYli4gTh5385bjEn6VmqP9wS3Rn5kWSEt9pwWOhzoq6Pm5/hrFZh9&#10;0Vzq99xf/dRW8rAzldlflJq95dkniEhjfIb/2wetYFnA35f0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z7I8vQAA&#10;ANsAAAAPAAAAAAAAAAEAIAAAACIAAABkcnMvZG93bnJldi54bWxQSwECFAAUAAAACACHTuJAMy8F&#10;njsAAAA5AAAAEAAAAAAAAAABACAAAAAMAQAAZHJzL3NoYXBleG1sLnhtbFBLBQYAAAAABgAGAFsB&#10;AAC2AwAAAAA=&#10;">
                    <v:path/>
                    <v:fill on="t" color2="#FFFFFF" opacity="0f" focussize="0,0"/>
                    <v:stroke weight="0.5pt" color="#000000" joinstyle="round"/>
                    <v:imagedata o:title=""/>
                    <o:lock v:ext="edit" aspectratio="f"/>
                    <v:textbox>
                      <w:txbxContent>
                        <w:p w14:paraId="0CBC0503">
                          <w:r>
                            <w:rPr>
                              <w:rFonts w:hint="eastAsia"/>
                              <w:b/>
                              <w:bCs/>
                              <w:szCs w:val="21"/>
                            </w:rPr>
                            <w:t>建筑</w:t>
                          </w:r>
                          <w:r>
                            <w:rPr>
                              <w:b/>
                              <w:bCs/>
                              <w:szCs w:val="21"/>
                            </w:rPr>
                            <w:t>施工</w:t>
                          </w:r>
                        </w:p>
                      </w:txbxContent>
                    </v:textbox>
                  </v:shape>
                  <v:shape id="文本框 37" o:spid="_x0000_s2055" o:spt="202" type="#_x0000_t202" style="position:absolute;left:7812;top:421941;height:507;width:1215;" fillcolor="#000000" filled="t" stroked="t" coordsize="21600,21600" o:gfxdata="UEsDBAoAAAAAAIdO4kAAAAAAAAAAAAAAAAAEAAAAZHJzL1BLAwQUAAAACACHTuJA2YMXp7wAAADb&#10;AAAADwAAAGRycy9kb3ducmV2LnhtbEWPzYvCMBTE78L+D+EteBFNq6BLNe1hQRE8+QV7fDTPtpi8&#10;lCTrx3+/WRA8DjPzG2ZVPawRN/Khc6wgn2QgiGunO24UnI7r8ReIEJE1Gsek4EkBqvJjsMJCuzvv&#10;6XaIjUgQDgUqaGPsCylD3ZLFMHE9cfIuzluMSfpGao/3BLdGTrNsLi12nBZa7Om7pfp6+LUKzGZe&#10;n/ej3P/4Z7OT27XZmc1ZqeFnni1BRHrEd/jV3moFswX8f0k/QJ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DF6e8AAAA&#10;2wAAAA8AAAAAAAAAAQAgAAAAIgAAAGRycy9kb3ducmV2LnhtbFBLAQIUABQAAAAIAIdO4kAzLwWe&#10;OwAAADkAAAAQAAAAAAAAAAEAIAAAAAsBAABkcnMvc2hhcGV4bWwueG1sUEsFBgAAAAAGAAYAWwEA&#10;ALUDAAAAAA==&#10;">
                    <v:path/>
                    <v:fill on="t" color2="#FFFFFF" opacity="0f" focussize="0,0"/>
                    <v:stroke weight="0.5pt" color="#000000" joinstyle="round"/>
                    <v:imagedata o:title=""/>
                    <o:lock v:ext="edit" aspectratio="f"/>
                    <v:textbox>
                      <w:txbxContent>
                        <w:p w14:paraId="771F110A">
                          <w:pPr>
                            <w:rPr>
                              <w:b/>
                              <w:bCs/>
                            </w:rPr>
                          </w:pPr>
                          <w:r>
                            <w:rPr>
                              <w:rFonts w:hint="eastAsia"/>
                              <w:b/>
                              <w:bCs/>
                            </w:rPr>
                            <w:t>装修工程</w:t>
                          </w:r>
                        </w:p>
                      </w:txbxContent>
                    </v:textbox>
                  </v:shape>
                  <v:shape id="直接箭头连接符 38" o:spid="_x0000_s2056" o:spt="32" type="#_x0000_t32" style="position:absolute;left:4202;top:422192;flip:y;height:6;width:237;" filled="f" stroked="t" coordsize="21600,21600" o:gfxdata="UEsDBAoAAAAAAIdO4kAAAAAAAAAAAAAAAAAEAAAAZHJzL1BLAwQUAAAACACHTuJAyHP5GLoAAADb&#10;AAAADwAAAGRycy9kb3ducmV2LnhtbEVPTWsCMRC9F/wPYYTeamJtRVajB4sgtJeqIN6GzbhZ3UzW&#10;JLrbf98cCj0+3vdi1btGPCjE2rOG8UiBIC69qbnScNhvXmYgYkI22HgmDT8UYbUcPC2wML7jb3rs&#10;UiVyCMcCNdiU2kLKWFpyGEe+Jc7c2QeHKcNQSROwy+Guka9KTaXDmnODxZbWlsrr7u40HL/U6b33&#10;wV5Otzf7WX9Ux4vrtH4ejtUcRKI+/Yv/3FujYZLH5i/5B8jl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c/kYugAAANsA&#10;AAAPAAAAAAAAAAEAIAAAACIAAABkcnMvZG93bnJldi54bWxQSwECFAAUAAAACACHTuJAMy8FnjsA&#10;AAA5AAAAEAAAAAAAAAABACAAAAAJAQAAZHJzL3NoYXBleG1sLnhtbFBLBQYAAAAABgAGAFsBAACz&#10;AwAAAAA=&#10;">
                    <v:path arrowok="t"/>
                    <v:fill on="f" focussize="0,0"/>
                    <v:stroke color="#000000" endarrow="open"/>
                    <v:imagedata o:title=""/>
                    <o:lock v:ext="edit" aspectratio="f"/>
                  </v:shape>
                  <v:shape id="直接箭头连接符 39" o:spid="_x0000_s2057" o:spt="32" type="#_x0000_t32" style="position:absolute;left:5654;top:422183;flip:y;height:9;width:509;" filled="f" stroked="t" coordsize="21600,21600" o:gfxdata="UEsDBAoAAAAAAIdO4kAAAAAAAAAAAAAAAAAEAAAAZHJzL1BLAwQUAAAACACHTuJApz9cg74AAADb&#10;AAAADwAAAGRycy9kb3ducmV2LnhtbEWPQWsCMRSE7wX/Q3hCbzVRW2lXowdFKLSXakG8PTavm9XN&#10;y5qk7vbfN4WCx2FmvmEWq9414koh1p41jEcKBHHpTc2Vhs/99uEZREzIBhvPpOGHIqyWg7sFFsZ3&#10;/EHXXapEhnAsUINNqS2kjKUlh3HkW+LsffngMGUZKmkCdhnuGjlRaiYd1pwXLLa0tlSed99Ow+Fd&#10;HZ96H+zpeHm0b/WmOpxcp/X9cKzmIBL16Rb+b78aDdMX+Pu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9cg74A&#10;AADbAAAADwAAAAAAAAABACAAAAAiAAAAZHJzL2Rvd25yZXYueG1sUEsBAhQAFAAAAAgAh07iQDMv&#10;BZ47AAAAOQAAABAAAAAAAAAAAQAgAAAADQEAAGRycy9zaGFwZXhtbC54bWxQSwUGAAAAAAYABgBb&#10;AQAAtwMAAAAA&#10;">
                    <v:path arrowok="t"/>
                    <v:fill on="f" focussize="0,0"/>
                    <v:stroke color="#000000" endarrow="open"/>
                    <v:imagedata o:title=""/>
                    <o:lock v:ext="edit" aspectratio="f"/>
                  </v:shape>
                  <v:shape id="直接箭头连接符 40" o:spid="_x0000_s2058" o:spt="32" type="#_x0000_t32" style="position:absolute;left:7355;top:422195;flip:y;height:5;width:457;" filled="f" stroked="t" coordsize="21600,21600" o:gfxdata="UEsDBAoAAAAAAIdO4kAAAAAAAAAAAAAAAAAEAAAAZHJzL1BLAwQUAAAACACHTuJAbgOGY7oAAADb&#10;AAAADwAAAGRycy9kb3ducmV2LnhtbEVPTWsCMRC9F/wPYYTeamLRIqvRg1IotBetIN6GzbhZ3Uy2&#10;Sequ/94cBI+P971Y9a4RVwqx9qxhPFIgiEtvaq407H8/32YgYkI22HgmDTeKsFoOXhZYGN/xlq67&#10;VIkcwrFADTaltpAylpYcxpFviTN38sFhyjBU0gTscrhr5LtSH9JhzbnBYktrS+Vl9+80HH7Ucdr7&#10;YM/Hv4n9rjfV4ew6rV+HYzUHkahPT/HD/WU0TPL6/CX/ALm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A4ZjugAAANsA&#10;AAAPAAAAAAAAAAEAIAAAACIAAABkcnMvZG93bnJldi54bWxQSwECFAAUAAAACACHTuJAMy8FnjsA&#10;AAA5AAAAEAAAAAAAAAABACAAAAAJAQAAZHJzL3NoYXBleG1sLnhtbFBLBQYAAAAABgAGAFsBAACz&#10;AwAAAAA=&#10;">
                    <v:path arrowok="t"/>
                    <v:fill on="f" focussize="0,0"/>
                    <v:stroke color="#000000" endarrow="open"/>
                    <v:imagedata o:title=""/>
                    <o:lock v:ext="edit" aspectratio="f"/>
                  </v:shape>
                  <v:line id="直接连接符 41" o:spid="_x0000_s2059" o:spt="20" style="position:absolute;left:3327;top:423097;height:0;width:3872;"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path arrowok="t"/>
                    <v:fill on="f" focussize="0,0"/>
                    <v:stroke color="#000000"/>
                    <v:imagedata o:title=""/>
                    <o:lock v:ext="edit" aspectratio="f"/>
                  </v:line>
                  <v:shape id="直接箭头连接符 42" o:spid="_x0000_s2060" o:spt="32" type="#_x0000_t32" style="position:absolute;left:3586;top:422451;flip:x;height:659;width:9;" filled="f" stroked="t" coordsize="21600,21600" o:gfxdata="UEsDBAoAAAAAAIdO4kAAAAAAAAAAAAAAAAAEAAAAZHJzL1BLAwQUAAAACACHTuJA8Z29j70AAADb&#10;AAAADwAAAGRycy9kb3ducmV2LnhtbEWPQWsCMRSE7wX/Q3gFbzVRVGQ1eqgUCvZSFcTbY/O6Wbt5&#10;2Sapu/33jSB4HGbmG2a16V0jrhRi7VnDeKRAEJfe1FxpOB7eXhYgYkI22HgmDX8UYbMePK2wML7j&#10;T7ruUyUyhGOBGmxKbSFlLC05jCPfEmfvyweHKctQSROwy3DXyIlSc+mw5rxgsaVXS+X3/tdpOH2o&#10;86z3wV7OP1O7q7fV6eI6rYfPY7UEkahPj/C9/W40TCdw+5J/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nb2PvQAA&#10;ANsAAAAPAAAAAAAAAAEAIAAAACIAAABkcnMvZG93bnJldi54bWxQSwECFAAUAAAACACHTuJAMy8F&#10;njsAAAA5AAAAEAAAAAAAAAABACAAAAAMAQAAZHJzL3NoYXBleG1sLnhtbFBLBQYAAAAABgAGAFsB&#10;AAC2AwAAAAA=&#10;">
                    <v:path arrowok="t"/>
                    <v:fill on="f" focussize="0,0"/>
                    <v:stroke color="#000000" endarrow="open"/>
                    <v:imagedata o:title=""/>
                    <o:lock v:ext="edit" aspectratio="f"/>
                  </v:shape>
                  <v:shape id="直接箭头连接符 43" o:spid="_x0000_s2061" o:spt="32" type="#_x0000_t32" style="position:absolute;left:5045;top:422445;flip:x;height:638;width:2;" filled="f" stroked="t" coordsize="21600,21600" o:gfxdata="UEsDBAoAAAAAAIdO4kAAAAAAAAAAAAAAAAAEAAAAZHJzL1BLAwQUAAAACACHTuJAntEYFL4AAADb&#10;AAAADwAAAGRycy9kb3ducmV2LnhtbEWPT2sCMRTE74LfITyhN020KmVr9FApFNqLf0C8PTavm7Wb&#10;l22SuttvbwoFj8PM/IZZbXrXiCuFWHvWMJ0oEMSlNzVXGo6H1/ETiJiQDTaeScMvRdish4MVFsZ3&#10;vKPrPlUiQzgWqMGm1BZSxtKSwzjxLXH2Pn1wmLIMlTQBuwx3jZwptZQOa84LFlt6sVR+7X+chtOH&#10;Oi96H+zl/D237/W2Ol1cp/XDaKqeQSTq0z38334zGuaP8Pcl/w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EYFL4A&#10;AADbAAAADwAAAAAAAAABACAAAAAiAAAAZHJzL2Rvd25yZXYueG1sUEsBAhQAFAAAAAgAh07iQDMv&#10;BZ47AAAAOQAAABAAAAAAAAAAAQAgAAAADQEAAGRycy9zaGFwZXhtbC54bWxQSwUGAAAAAAYABgBb&#10;AQAAtwMAAAAA&#10;">
                    <v:path arrowok="t"/>
                    <v:fill on="f" focussize="0,0"/>
                    <v:stroke color="#000000" endarrow="open"/>
                    <v:imagedata o:title=""/>
                    <o:lock v:ext="edit" aspectratio="f"/>
                  </v:shape>
                  <v:shape id="直接箭头连接符 44" o:spid="_x0000_s2062" o:spt="32" type="#_x0000_t32" style="position:absolute;left:6748;top:422453;height:657;width:2;" filled="f" stroked="t" coordsize="21600,21600" o:gfxdata="UEsDBAoAAAAAAIdO4kAAAAAAAAAAAAAAAAAEAAAAZHJzL1BLAwQUAAAACACHTuJAoNOBf7wAAADb&#10;AAAADwAAAGRycy9kb3ducmV2LnhtbEWPUWvCQBCE3wv9D8cW+tZcDGmR6OmDIBiwlKo/YMmtSTC3&#10;F3Nr1H/fKwg+DjPzDTNf3lynRhpC69nAJElBEVfetlwbOOzXH1NQQZAtdp7JwJ0CLBevL3MsrL/y&#10;L407qVWEcCjQQCPSF1qHqiGHIfE9cfSOfnAoUQ61tgNeI9x1OkvTL+2w5bjQYE+rhqrT7uIMZOVZ&#10;7uttKeOPfH6fXbbNy74y5v1tks5ACd3kGX60N9ZAnsP/l/gD9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TgX+8AAAA&#10;2wAAAA8AAAAAAAAAAQAgAAAAIgAAAGRycy9kb3ducmV2LnhtbFBLAQIUABQAAAAIAIdO4kAzLwWe&#10;OwAAADkAAAAQAAAAAAAAAAEAIAAAAAsBAABkcnMvc2hhcGV4bWwueG1sUEsFBgAAAAAGAAYAWwEA&#10;ALUDAAAAAA==&#10;">
                    <v:path arrowok="t"/>
                    <v:fill on="f" focussize="0,0"/>
                    <v:stroke color="#000000" endarrow="open"/>
                    <v:imagedata o:title=""/>
                    <o:lock v:ext="edit" aspectratio="f"/>
                  </v:shape>
                  <v:shape id="直接箭头连接符 45" o:spid="_x0000_s2063" o:spt="32" type="#_x0000_t32" style="position:absolute;left:8414;top:422448;flip:x;height:648;width:6;" filled="f" stroked="t" coordsize="21600,21600" o:gfxdata="UEsDBAoAAAAAAIdO4kAAAAAAAAAAAAAAAAAEAAAAZHJzL1BLAwQUAAAACACHTuJAfnQl+70AAADb&#10;AAAADwAAAGRycy9kb3ducmV2LnhtbEWPQWsCMRSE74L/IbyCN00UlbI1eqgUhHqpCuLtsXndrN28&#10;bJPUXf+9KRR6HGbmG2a16V0jbhRi7VnDdKJAEJfe1FxpOB3fxs8gYkI22HgmDXeKsFkPByssjO/4&#10;g26HVIkM4VigBptSW0gZS0sO48S3xNn79MFhyjJU0gTsMtw1cqbUUjqsOS9YbOnVUvl1+HEaznt1&#10;WfQ+2Ovle27f6211vrpO69HTVL2ASNSn//Bfe2c0zBfw+yX/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X7vQAA&#10;ANsAAAAPAAAAAAAAAAEAIAAAACIAAABkcnMvZG93bnJldi54bWxQSwECFAAUAAAACACHTuJAMy8F&#10;njsAAAA5AAAAEAAAAAAAAAABACAAAAAMAQAAZHJzL3NoYXBleG1sLnhtbFBLBQYAAAAABgAGAFsB&#10;AAC2AwAAAAA=&#10;">
                    <v:path arrowok="t"/>
                    <v:fill on="f" focussize="0,0"/>
                    <v:stroke color="#000000" endarrow="open"/>
                    <v:imagedata o:title=""/>
                    <o:lock v:ext="edit" aspectratio="f"/>
                  </v:shape>
                  <v:shape id="直接箭头连接符 46" o:spid="_x0000_s2064" o:spt="32" type="#_x0000_t32" style="position:absolute;left:5590;top:423096;height:518;width:0;" filled="f" stroked="t" coordsize="21600,21600" o:gfxdata="UEsDBAoAAAAAAIdO4kAAAAAAAAAAAAAAAAAEAAAAZHJzL1BLAwQUAAAACACHTuJAP026k7sAAADb&#10;AAAADwAAAGRycy9kb3ducmV2LnhtbEWPwYrCQBBE7wv+w9DC3taJQUWiowdBMKAsuvsBTaZNgpme&#10;mOmN+vfOguCxqKpX1HJ9d43qqQu1ZwPjUQKKuPC25tLA78/2aw4qCLLFxjMZeFCA9WrwscTM+hsf&#10;qT9JqSKEQ4YGKpE20zoUFTkMI98SR+/sO4cSZVdq2+Etwl2j0ySZaYc1x4UKW9pUVFxOf85Aml/l&#10;sd3n0n/L9HB16X6St4Uxn8NxsgAldJd3+NXeWQOTGfx/iT9Ar5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026k7sAAADb&#10;AAAADwAAAAAAAAABACAAAAAiAAAAZHJzL2Rvd25yZXYueG1sUEsBAhQAFAAAAAgAh07iQDMvBZ47&#10;AAAAOQAAABAAAAAAAAAAAQAgAAAACgEAAGRycy9zaGFwZXhtbC54bWxQSwUGAAAAAAYABgBbAQAA&#10;tAMAAAAA&#10;">
                    <v:path arrowok="t"/>
                    <v:fill on="f" focussize="0,0"/>
                    <v:stroke color="#000000" endarrow="open"/>
                    <v:imagedata o:title=""/>
                    <o:lock v:ext="edit" aspectratio="f"/>
                  </v:shape>
                  <v:shape id="文本框 52" o:spid="_x0000_s2065" o:spt="202" type="#_x0000_t202" style="position:absolute;left:3439;top:423626;height:588;width:3698;" fillcolor="#000000" filled="t" stroked="t" coordsize="21600,21600" o:gfxdata="UEsDBAoAAAAAAIdO4kAAAAAAAAAAAAAAAAAEAAAAZHJzL1BLAwQUAAAACACHTuJAFCtRn70AAADb&#10;AAAADwAAAGRycy9kb3ducmV2LnhtbEWPwWrDMBBE74H+g9hCL6GRHagpbmQfCgkBn+LW0ONibWwT&#10;aWUkNYn/vioUehxm5g2zq+/WiCv5MDlWkG8yEMS90xMPCj4/9s+vIEJE1mgck4KFAtTVw2qHpXY3&#10;PtG1jYNIEA4lKhhjnEspQz+SxbBxM3Hyzs5bjEn6QWqPtwS3Rm6zrJAWJ04LI870PlJ/ab+tAnMo&#10;+u60zv2XX4ZGHvemMYdOqafHPHsDEeke/8N/7aNW8LKF3y/pB8j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K1GfvQAA&#10;ANsAAAAPAAAAAAAAAAEAIAAAACIAAABkcnMvZG93bnJldi54bWxQSwECFAAUAAAACACHTuJAMy8F&#10;njsAAAA5AAAAEAAAAAAAAAABACAAAAAMAQAAZHJzL3NoYXBleG1sLnhtbFBLBQYAAAAABgAGAFsB&#10;AAC2AwAAAAA=&#10;">
                    <v:path/>
                    <v:fill on="t" color2="#FFFFFF" opacity="0f" focussize="0,0"/>
                    <v:stroke weight="0.5pt" color="#000000" joinstyle="round"/>
                    <v:imagedata o:title=""/>
                    <o:lock v:ext="edit" aspectratio="f"/>
                    <v:textbox>
                      <w:txbxContent>
                        <w:p w14:paraId="04F511EB">
                          <w:pPr>
                            <w:rPr>
                              <w:b/>
                              <w:bCs/>
                            </w:rPr>
                          </w:pPr>
                          <w:r>
                            <w:rPr>
                              <w:rFonts w:hint="eastAsia"/>
                              <w:b/>
                              <w:bCs/>
                            </w:rPr>
                            <w:t>扬尘、废气、噪声、废水、建筑垃圾</w:t>
                          </w:r>
                        </w:p>
                      </w:txbxContent>
                    </v:textbox>
                  </v:shape>
                  <v:shape id="文本框 72" o:spid="_x0000_s2066" o:spt="202" type="#_x0000_t202" style="position:absolute;left:9389;top:421963;height:507;width:1215;" fillcolor="#000000" filled="t" stroked="t" coordsize="21600,21600" o:gfxdata="UEsDBAoAAAAAAIdO4kAAAAAAAAAAAAAAAAAEAAAAZHJzL1BLAwQUAAAACACHTuJAX54N/70AAADb&#10;AAAADwAAAGRycy9kb3ducmV2LnhtbEWPwWrDMBBE74H+g9hCL6WRnYNb3Mg+FBICPsWtocfF2tgm&#10;0spIahL/fVUo5DjMzBtmW9+sERfyYXKsIF9nIIh7pyceFHx97l7eQISIrNE4JgULBairh9UWS+2u&#10;fKRLGweRIBxKVDDGOJdShn4ki2HtZuLknZy3GJP0g9QerwlujdxkWSEtTpwWRpzpY6T+3P5YBWZf&#10;9N3xOffffhkaediZxuw7pZ4e8+wdRKRbvIf/2wet4HUDf1/SD5D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ng3/vQAA&#10;ANsAAAAPAAAAAAAAAAEAIAAAACIAAABkcnMvZG93bnJldi54bWxQSwECFAAUAAAACACHTuJAMy8F&#10;njsAAAA5AAAAEAAAAAAAAAABACAAAAAMAQAAZHJzL3NoYXBleG1sLnhtbFBLBQYAAAAABgAGAFsB&#10;AAC2AwAAAAA=&#10;">
                    <v:path/>
                    <v:fill on="t" color2="#FFFFFF" opacity="0f" focussize="0,0"/>
                    <v:stroke weight="0.5pt" color="#000000" joinstyle="round"/>
                    <v:imagedata o:title=""/>
                    <o:lock v:ext="edit" aspectratio="f"/>
                    <v:textbox>
                      <w:txbxContent>
                        <w:p w14:paraId="4914ED8A">
                          <w:pPr>
                            <w:rPr>
                              <w:b/>
                              <w:bCs/>
                            </w:rPr>
                          </w:pPr>
                          <w:r>
                            <w:rPr>
                              <w:rFonts w:hint="eastAsia"/>
                              <w:b/>
                              <w:bCs/>
                            </w:rPr>
                            <w:t>投入使用</w:t>
                          </w:r>
                        </w:p>
                      </w:txbxContent>
                    </v:textbox>
                  </v:shape>
                  <v:shape id="直接箭头连接符 74" o:spid="_x0000_s2067" o:spt="32" type="#_x0000_t32" style="position:absolute;left:9027;top:422195;height:22;width:362;" filled="f" stroked="t" coordsize="21600,21600" o:gfxdata="UEsDBAoAAAAAAIdO4kAAAAAAAAAAAAAAAAAEAAAAZHJzL1BLAwQUAAAACACHTuJAbr9LwrwAAADb&#10;AAAADwAAAGRycy9kb3ducmV2LnhtbEWPUWvCQBCE3wv+h2MF3+rFYFuJnj4IggGL1PoDltyaBHN7&#10;MbdG/fdeoeDjMDPfMIvV3TWqpy7Ung1Mxgko4sLbmksDx9/N+wxUEGSLjWcy8KAAq+XgbYGZ9Tf+&#10;of4gpYoQDhkaqETaTOtQVOQwjH1LHL2T7xxKlF2pbYe3CHeNTpPkUzusOS5U2NK6ouJ8uDoDaX6R&#10;x2aXS7+Xj++LS3fTvC2MGQ0nyRyU0F1e4f/21hr4msLfl/gD9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S8K8AAAA&#10;2wAAAA8AAAAAAAAAAQAgAAAAIgAAAGRycy9kb3ducmV2LnhtbFBLAQIUABQAAAAIAIdO4kAzLwWe&#10;OwAAADkAAAAQAAAAAAAAAAEAIAAAAAsBAABkcnMvc2hhcGV4bWwueG1sUEsFBgAAAAAGAAYAWwEA&#10;ALUDAAAAAA==&#10;">
                    <v:path arrowok="t"/>
                    <v:fill on="f" focussize="0,0"/>
                    <v:stroke color="#000000" endarrow="open"/>
                    <v:imagedata o:title=""/>
                    <o:lock v:ext="edit" aspectratio="f"/>
                  </v:shape>
                  <v:shape id="文本框 76" o:spid="_x0000_s2068" o:spt="202" type="#_x0000_t202" style="position:absolute;left:7471;top:423106;height:506;width:2360;" fillcolor="#000000" filled="t" stroked="t" coordsize="21600,21600" o:gfxdata="UEsDBAoAAAAAAIdO4kAAAAAAAAAAAAAAAAAEAAAAZHJzL1BLAwQUAAAACACHTuJAIKUL/LsAAADb&#10;AAAADwAAAGRycy9kb3ducmV2LnhtbEWPS6vCMBSE9xf8D+EIbkTTuqhSjS4ERXDlC1wemmNbTE5K&#10;El//3ly4cJfDzHzDLFZva8STfGgdK8jHGQjiyumWawXn02Y0AxEiskbjmBR8KMBq2ftZYKndiw/0&#10;PMZaJAiHEhU0MXallKFqyGIYu444eTfnLcYkfS21x1eCWyMnWVZIiy2nhQY7WjdU3Y8Pq8Bsi+py&#10;GOb+6j/1Xu42Zm+2F6UG/Tybg4j0jv/hv/ZOK5gW8Psl/QC5/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UL/LsAAADb&#10;AAAADwAAAAAAAAABACAAAAAiAAAAZHJzL2Rvd25yZXYueG1sUEsBAhQAFAAAAAgAh07iQDMvBZ47&#10;AAAAOQAAABAAAAAAAAAAAQAgAAAACgEAAGRycy9zaGFwZXhtbC54bWxQSwUGAAAAAAYABgBbAQAA&#10;tAMAAAAA&#10;">
                    <v:path/>
                    <v:fill on="t" color2="#FFFFFF" opacity="0f" focussize="0,0"/>
                    <v:stroke weight="0.5pt" color="#000000" joinstyle="round"/>
                    <v:imagedata o:title=""/>
                    <o:lock v:ext="edit" aspectratio="f"/>
                    <v:textbox>
                      <w:txbxContent>
                        <w:p w14:paraId="411BFA74">
                          <w:r>
                            <w:rPr>
                              <w:rFonts w:hint="eastAsia"/>
                              <w:b/>
                              <w:bCs/>
                            </w:rPr>
                            <w:t>噪声、废气、装修垃圾</w:t>
                          </w:r>
                        </w:p>
                      </w:txbxContent>
                    </v:textbox>
                  </v:shape>
                  <w10:wrap type="square"/>
                </v:group>
              </w:pict>
            </w:r>
            <w:r>
              <w:rPr>
                <w:b/>
                <w:bCs/>
                <w:color w:val="auto"/>
                <w:szCs w:val="21"/>
                <w:highlight w:val="none"/>
              </w:rPr>
              <w:t>2-</w:t>
            </w:r>
            <w:r>
              <w:rPr>
                <w:rFonts w:hint="eastAsia"/>
                <w:b/>
                <w:bCs/>
                <w:color w:val="auto"/>
                <w:szCs w:val="21"/>
                <w:highlight w:val="none"/>
                <w:lang w:val="en-US" w:eastAsia="zh-CN"/>
              </w:rPr>
              <w:t>2</w:t>
            </w:r>
            <w:r>
              <w:rPr>
                <w:b/>
                <w:bCs/>
                <w:color w:val="auto"/>
                <w:szCs w:val="21"/>
                <w:highlight w:val="none"/>
              </w:rPr>
              <w:t xml:space="preserve">  项目施工期工艺流程及产污节点图</w:t>
            </w:r>
          </w:p>
          <w:p w14:paraId="62EB87B3">
            <w:pPr>
              <w:spacing w:line="360" w:lineRule="auto"/>
              <w:ind w:firstLine="480" w:firstLineChars="200"/>
              <w:rPr>
                <w:color w:val="auto"/>
                <w:sz w:val="24"/>
                <w:szCs w:val="24"/>
                <w:highlight w:val="none"/>
              </w:rPr>
            </w:pPr>
            <w:r>
              <w:rPr>
                <w:color w:val="auto"/>
                <w:sz w:val="24"/>
                <w:szCs w:val="24"/>
                <w:highlight w:val="none"/>
              </w:rPr>
              <w:t>本项目施工期约为</w:t>
            </w:r>
            <w:r>
              <w:rPr>
                <w:rFonts w:hint="eastAsia"/>
                <w:color w:val="auto"/>
                <w:sz w:val="24"/>
                <w:szCs w:val="24"/>
                <w:highlight w:val="none"/>
                <w:lang w:val="en-US" w:eastAsia="zh-CN"/>
              </w:rPr>
              <w:t>12</w:t>
            </w:r>
            <w:r>
              <w:rPr>
                <w:color w:val="auto"/>
                <w:sz w:val="24"/>
                <w:szCs w:val="24"/>
                <w:highlight w:val="none"/>
              </w:rPr>
              <w:t>个月，施工期平均每天的施工人数约为15人。</w:t>
            </w:r>
          </w:p>
          <w:p w14:paraId="7682FF45">
            <w:pPr>
              <w:spacing w:line="360" w:lineRule="auto"/>
              <w:ind w:firstLine="480" w:firstLineChars="200"/>
              <w:rPr>
                <w:color w:val="auto"/>
                <w:sz w:val="24"/>
                <w:szCs w:val="24"/>
                <w:highlight w:val="none"/>
              </w:rPr>
            </w:pPr>
            <w:r>
              <w:rPr>
                <w:color w:val="auto"/>
                <w:sz w:val="24"/>
                <w:szCs w:val="24"/>
                <w:highlight w:val="none"/>
              </w:rPr>
              <w:t>本项目施工期间主要污染物包括运输车辆扬尘、挖土填方扬尘、施工机械噪声及运输车辆尾气、施工废水、机械设备车辆冲洗水、初期雨水、建筑垃圾等。项目施工使用商品混凝土，施工场地不设置混凝土搅拌站。</w:t>
            </w:r>
          </w:p>
          <w:p w14:paraId="558AEBA0">
            <w:pPr>
              <w:spacing w:line="360" w:lineRule="auto"/>
              <w:ind w:firstLine="482" w:firstLineChars="200"/>
              <w:rPr>
                <w:color w:val="auto"/>
                <w:sz w:val="24"/>
                <w:szCs w:val="24"/>
                <w:highlight w:val="none"/>
              </w:rPr>
            </w:pPr>
            <w:r>
              <w:rPr>
                <w:b/>
                <w:bCs/>
                <w:color w:val="auto"/>
                <w:sz w:val="24"/>
                <w:szCs w:val="24"/>
                <w:highlight w:val="none"/>
              </w:rPr>
              <w:t>（1）场地平整：</w:t>
            </w:r>
            <w:r>
              <w:rPr>
                <w:color w:val="auto"/>
                <w:sz w:val="24"/>
                <w:szCs w:val="24"/>
                <w:highlight w:val="none"/>
              </w:rPr>
              <w:t>主要是对项目区地面进行清理平整工作。项目区现场</w:t>
            </w:r>
            <w:r>
              <w:rPr>
                <w:rFonts w:hint="eastAsia"/>
                <w:color w:val="auto"/>
                <w:sz w:val="24"/>
                <w:szCs w:val="24"/>
                <w:highlight w:val="none"/>
              </w:rPr>
              <w:t>已进行简单的场地平整</w:t>
            </w:r>
            <w:r>
              <w:rPr>
                <w:color w:val="auto"/>
                <w:sz w:val="24"/>
                <w:szCs w:val="24"/>
                <w:highlight w:val="none"/>
              </w:rPr>
              <w:t>。本次施工建设剥离的地表土层主要是黏土。在场地平整过程中，主要产生施工扬尘、噪声、建筑垃圾以及施工机械清洗废水。</w:t>
            </w:r>
          </w:p>
          <w:p w14:paraId="09942048">
            <w:pPr>
              <w:spacing w:line="360" w:lineRule="auto"/>
              <w:ind w:firstLine="482" w:firstLineChars="200"/>
              <w:rPr>
                <w:color w:val="auto"/>
                <w:sz w:val="24"/>
                <w:szCs w:val="24"/>
                <w:highlight w:val="none"/>
              </w:rPr>
            </w:pPr>
            <w:r>
              <w:rPr>
                <w:b/>
                <w:bCs/>
                <w:color w:val="auto"/>
                <w:sz w:val="24"/>
                <w:szCs w:val="24"/>
                <w:highlight w:val="none"/>
              </w:rPr>
              <w:t>（2）地基处理：</w:t>
            </w:r>
            <w:r>
              <w:rPr>
                <w:color w:val="auto"/>
                <w:sz w:val="24"/>
                <w:szCs w:val="24"/>
                <w:highlight w:val="none"/>
              </w:rPr>
              <w:t>地基处理一般是指用于改善</w:t>
            </w:r>
            <w:r>
              <w:rPr>
                <w:rFonts w:hint="eastAsia"/>
                <w:color w:val="auto"/>
                <w:sz w:val="24"/>
                <w:szCs w:val="24"/>
                <w:highlight w:val="none"/>
                <w:lang w:eastAsia="zh-CN"/>
              </w:rPr>
              <w:t>支撑</w:t>
            </w:r>
            <w:r>
              <w:rPr>
                <w:color w:val="auto"/>
                <w:sz w:val="24"/>
                <w:szCs w:val="24"/>
                <w:highlight w:val="none"/>
              </w:rPr>
              <w:t>建筑物的地基（土或岩石）的承载能力或改善其变形性质或渗透性质而采取的工程技术措施，项目地基处理主要是进行地基夯实及地面混凝土硬化处理，在该过程中会产生噪声、粉尘、建筑垃圾、施工废水等污染物。</w:t>
            </w:r>
          </w:p>
          <w:p w14:paraId="0565B070">
            <w:pPr>
              <w:spacing w:line="360" w:lineRule="auto"/>
              <w:ind w:firstLine="482" w:firstLineChars="200"/>
              <w:rPr>
                <w:color w:val="auto"/>
                <w:sz w:val="24"/>
                <w:szCs w:val="24"/>
                <w:highlight w:val="none"/>
              </w:rPr>
            </w:pPr>
            <w:r>
              <w:rPr>
                <w:b/>
                <w:bCs/>
                <w:color w:val="auto"/>
                <w:sz w:val="24"/>
                <w:szCs w:val="24"/>
                <w:highlight w:val="none"/>
              </w:rPr>
              <w:t>（3）</w:t>
            </w:r>
            <w:r>
              <w:rPr>
                <w:rFonts w:hint="eastAsia"/>
                <w:b/>
                <w:bCs/>
                <w:color w:val="auto"/>
                <w:sz w:val="24"/>
                <w:szCs w:val="24"/>
                <w:highlight w:val="none"/>
              </w:rPr>
              <w:t>建筑</w:t>
            </w:r>
            <w:r>
              <w:rPr>
                <w:b/>
                <w:bCs/>
                <w:color w:val="auto"/>
                <w:sz w:val="24"/>
                <w:szCs w:val="24"/>
                <w:highlight w:val="none"/>
              </w:rPr>
              <w:t>施工：</w:t>
            </w:r>
            <w:r>
              <w:rPr>
                <w:rFonts w:hint="eastAsia"/>
                <w:color w:val="auto"/>
                <w:sz w:val="24"/>
                <w:szCs w:val="24"/>
                <w:highlight w:val="none"/>
              </w:rPr>
              <w:t>建筑</w:t>
            </w:r>
            <w:r>
              <w:rPr>
                <w:color w:val="auto"/>
                <w:sz w:val="24"/>
                <w:szCs w:val="24"/>
                <w:highlight w:val="none"/>
              </w:rPr>
              <w:t>施工主要是烟花爆竹存储仓、值班室、值班宿舍、生活区的建设工作，根据建筑施工图对项目建设内容进行施工，该过程主要产生噪声、扬尘、建筑垃圾、施工废水等。</w:t>
            </w:r>
          </w:p>
          <w:p w14:paraId="5E66267F">
            <w:pPr>
              <w:pStyle w:val="4"/>
              <w:spacing w:before="0" w:after="0" w:line="360" w:lineRule="auto"/>
              <w:ind w:left="0" w:firstLine="482" w:firstLineChars="200"/>
              <w:rPr>
                <w:rFonts w:eastAsia="宋体"/>
                <w:b w:val="0"/>
                <w:bCs w:val="0"/>
                <w:color w:val="auto"/>
                <w:kern w:val="2"/>
                <w:sz w:val="24"/>
                <w:szCs w:val="24"/>
                <w:highlight w:val="none"/>
              </w:rPr>
            </w:pPr>
            <w:r>
              <w:rPr>
                <w:rFonts w:hint="eastAsia" w:eastAsia="宋体"/>
                <w:color w:val="auto"/>
                <w:kern w:val="2"/>
                <w:sz w:val="24"/>
                <w:szCs w:val="24"/>
                <w:highlight w:val="none"/>
              </w:rPr>
              <w:t>（4）装饰工程：</w:t>
            </w:r>
            <w:r>
              <w:rPr>
                <w:rFonts w:hint="eastAsia" w:eastAsia="宋体"/>
                <w:b w:val="0"/>
                <w:bCs w:val="0"/>
                <w:color w:val="auto"/>
                <w:kern w:val="2"/>
                <w:sz w:val="24"/>
                <w:szCs w:val="24"/>
                <w:highlight w:val="none"/>
              </w:rPr>
              <w:t>在对构筑物的室内外进行装修时（如表面粉刷、油漆、喷涂、裱糊等），钻机、电锤、切割机等产生噪声，喷涂产生废气，废弃物料。</w:t>
            </w:r>
          </w:p>
          <w:p w14:paraId="2DB272FA">
            <w:pPr>
              <w:spacing w:line="360" w:lineRule="auto"/>
              <w:ind w:firstLine="482" w:firstLineChars="200"/>
              <w:rPr>
                <w:b/>
                <w:bCs/>
                <w:color w:val="auto"/>
                <w:sz w:val="24"/>
                <w:szCs w:val="24"/>
                <w:highlight w:val="none"/>
              </w:rPr>
            </w:pPr>
            <w:r>
              <w:rPr>
                <w:b/>
                <w:bCs/>
                <w:color w:val="auto"/>
                <w:sz w:val="24"/>
                <w:szCs w:val="24"/>
                <w:highlight w:val="none"/>
              </w:rPr>
              <w:t>二、运营期</w:t>
            </w:r>
          </w:p>
          <w:p w14:paraId="0C580907">
            <w:pPr>
              <w:spacing w:line="360" w:lineRule="auto"/>
              <w:ind w:firstLine="482" w:firstLineChars="200"/>
              <w:rPr>
                <w:b/>
                <w:bCs/>
                <w:color w:val="auto"/>
                <w:sz w:val="24"/>
                <w:szCs w:val="24"/>
                <w:highlight w:val="none"/>
              </w:rPr>
            </w:pPr>
            <w:r>
              <w:rPr>
                <w:b/>
                <w:bCs/>
                <w:color w:val="auto"/>
                <w:sz w:val="24"/>
                <w:szCs w:val="24"/>
                <w:highlight w:val="none"/>
              </w:rPr>
              <w:t>1、工艺流程及产污节点</w:t>
            </w:r>
          </w:p>
          <w:p w14:paraId="3998D3D5">
            <w:pPr>
              <w:spacing w:line="360" w:lineRule="auto"/>
              <w:ind w:firstLine="480" w:firstLineChars="200"/>
              <w:rPr>
                <w:color w:val="auto"/>
                <w:sz w:val="24"/>
                <w:szCs w:val="24"/>
                <w:highlight w:val="none"/>
              </w:rPr>
            </w:pPr>
            <w:r>
              <w:rPr>
                <w:rFonts w:hint="eastAsia"/>
                <w:color w:val="auto"/>
                <w:sz w:val="24"/>
                <w:szCs w:val="24"/>
                <w:highlight w:val="none"/>
                <w:lang w:val="en-US" w:eastAsia="zh-CN"/>
              </w:rPr>
              <w:t>扩建</w:t>
            </w:r>
            <w:r>
              <w:rPr>
                <w:color w:val="auto"/>
                <w:sz w:val="24"/>
                <w:szCs w:val="24"/>
                <w:highlight w:val="none"/>
              </w:rPr>
              <w:t>项目运营期不进行烟花爆竹的生产活动，主要污染物为工作人员生活污水、</w:t>
            </w:r>
            <w:r>
              <w:rPr>
                <w:rFonts w:hint="eastAsia"/>
                <w:color w:val="auto"/>
                <w:sz w:val="24"/>
                <w:szCs w:val="24"/>
                <w:highlight w:val="none"/>
                <w:lang w:val="en-US" w:eastAsia="zh-CN"/>
              </w:rPr>
              <w:t>展厅清洁废水、展厅参观人员生活污水、</w:t>
            </w:r>
            <w:r>
              <w:rPr>
                <w:color w:val="auto"/>
                <w:sz w:val="24"/>
                <w:szCs w:val="24"/>
                <w:highlight w:val="none"/>
              </w:rPr>
              <w:t>生活垃圾、输车辆的尾气、道路扬尘及噪声和储存过程中的过期或残损的烟花爆竹。</w:t>
            </w:r>
            <w:r>
              <w:rPr>
                <w:rFonts w:hint="eastAsia"/>
                <w:color w:val="auto"/>
                <w:sz w:val="24"/>
                <w:szCs w:val="24"/>
                <w:highlight w:val="none"/>
                <w:lang w:val="en-US" w:eastAsia="zh-CN"/>
              </w:rPr>
              <w:t>扩建</w:t>
            </w:r>
            <w:r>
              <w:rPr>
                <w:color w:val="auto"/>
                <w:sz w:val="24"/>
                <w:szCs w:val="24"/>
                <w:highlight w:val="none"/>
              </w:rPr>
              <w:t>项目运营期运行工艺流程及产污节点见图2-2所示。</w:t>
            </w:r>
          </w:p>
          <w:p w14:paraId="30F48069">
            <w:pPr>
              <w:spacing w:line="360" w:lineRule="auto"/>
              <w:jc w:val="center"/>
              <w:rPr>
                <w:b/>
                <w:bCs/>
                <w:color w:val="auto"/>
                <w:szCs w:val="21"/>
                <w:highlight w:val="none"/>
              </w:rPr>
            </w:pPr>
            <w:r>
              <w:rPr>
                <w:b/>
                <w:bCs/>
                <w:color w:val="auto"/>
                <w:szCs w:val="21"/>
                <w:highlight w:val="none"/>
              </w:rPr>
              <w:object>
                <v:shape id="_x0000_i1026" o:spt="75" type="#_x0000_t75" style="height:290.05pt;width:385.05pt;" o:ole="t" filled="f" o:preferrelative="t" stroked="f" coordsize="21600,21600">
                  <v:path/>
                  <v:fill on="f" focussize="0,0"/>
                  <v:stroke on="f"/>
                  <v:imagedata r:id="rId11" o:title=""/>
                  <o:lock v:ext="edit" aspectratio="f"/>
                  <w10:wrap type="none"/>
                  <w10:anchorlock/>
                </v:shape>
                <o:OLEObject Type="Embed" ProgID="Visio.Drawing.15" ShapeID="_x0000_i1026" DrawAspect="Content" ObjectID="_1468075726" r:id="rId10">
                  <o:LockedField>false</o:LockedField>
                </o:OLEObject>
              </w:object>
            </w:r>
          </w:p>
          <w:p w14:paraId="701DA104">
            <w:pPr>
              <w:spacing w:line="360" w:lineRule="auto"/>
              <w:ind w:firstLine="422" w:firstLineChars="200"/>
              <w:jc w:val="center"/>
              <w:rPr>
                <w:color w:val="auto"/>
                <w:sz w:val="24"/>
                <w:szCs w:val="24"/>
                <w:highlight w:val="none"/>
              </w:rPr>
            </w:pPr>
            <w:r>
              <w:rPr>
                <w:b/>
                <w:bCs/>
                <w:color w:val="auto"/>
                <w:szCs w:val="21"/>
                <w:highlight w:val="none"/>
              </w:rPr>
              <w:t>图2-</w:t>
            </w:r>
            <w:r>
              <w:rPr>
                <w:rFonts w:hint="eastAsia"/>
                <w:b/>
                <w:bCs/>
                <w:color w:val="auto"/>
                <w:szCs w:val="21"/>
                <w:highlight w:val="none"/>
                <w:lang w:val="en-US" w:eastAsia="zh-CN"/>
              </w:rPr>
              <w:t>3</w:t>
            </w:r>
            <w:r>
              <w:rPr>
                <w:b/>
                <w:bCs/>
                <w:color w:val="auto"/>
                <w:szCs w:val="21"/>
                <w:highlight w:val="none"/>
              </w:rPr>
              <w:t xml:space="preserve">  </w:t>
            </w:r>
            <w:r>
              <w:rPr>
                <w:rFonts w:hint="eastAsia"/>
                <w:b/>
                <w:bCs/>
                <w:color w:val="auto"/>
                <w:szCs w:val="21"/>
                <w:highlight w:val="none"/>
                <w:lang w:val="en-US" w:eastAsia="zh-CN"/>
              </w:rPr>
              <w:t>扩建</w:t>
            </w:r>
            <w:r>
              <w:rPr>
                <w:b/>
                <w:bCs/>
                <w:color w:val="auto"/>
                <w:szCs w:val="21"/>
                <w:highlight w:val="none"/>
              </w:rPr>
              <w:t>项目运营期工艺流程及产污节点图</w:t>
            </w:r>
          </w:p>
          <w:p w14:paraId="113D2F09">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lang w:val="en-US" w:eastAsia="zh-CN"/>
              </w:rPr>
              <w:t>仓库</w:t>
            </w:r>
          </w:p>
          <w:p w14:paraId="78A31AAD">
            <w:pPr>
              <w:spacing w:line="360" w:lineRule="auto"/>
              <w:ind w:firstLine="480" w:firstLineChars="200"/>
              <w:rPr>
                <w:color w:val="auto"/>
                <w:sz w:val="24"/>
                <w:szCs w:val="24"/>
                <w:highlight w:val="none"/>
              </w:rPr>
            </w:pPr>
            <w:r>
              <w:rPr>
                <w:color w:val="auto"/>
                <w:sz w:val="24"/>
                <w:szCs w:val="24"/>
                <w:highlight w:val="none"/>
              </w:rPr>
              <w:t>建设单位从浏阳市东风烟花制造厂订购烟花爆竹后，运送烟花爆竹的专用车辆进入库区，</w:t>
            </w:r>
            <w:r>
              <w:rPr>
                <w:rFonts w:hint="eastAsia"/>
                <w:color w:val="auto"/>
                <w:sz w:val="24"/>
                <w:szCs w:val="24"/>
                <w:highlight w:val="none"/>
                <w:lang w:val="en-US" w:eastAsia="zh-CN"/>
              </w:rPr>
              <w:t>C、D</w:t>
            </w:r>
            <w:r>
              <w:rPr>
                <w:rFonts w:hint="default" w:ascii="Times New Roman" w:hAnsi="Times New Roman" w:eastAsia="宋体" w:cs="Times New Roman"/>
                <w:color w:val="auto"/>
                <w:sz w:val="24"/>
                <w:szCs w:val="24"/>
                <w:highlight w:val="none"/>
              </w:rPr>
              <w:t>级成品</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主要为</w:t>
            </w:r>
            <w:r>
              <w:rPr>
                <w:rFonts w:hint="eastAsia" w:ascii="Times New Roman" w:hAnsi="Times New Roman" w:eastAsia="宋体" w:cs="Times New Roman"/>
                <w:color w:val="auto"/>
                <w:sz w:val="24"/>
                <w:szCs w:val="24"/>
                <w:highlight w:val="none"/>
                <w:lang w:val="en-US" w:eastAsia="zh-CN"/>
              </w:rPr>
              <w:t>个人燃放</w:t>
            </w:r>
            <w:r>
              <w:rPr>
                <w:rFonts w:hint="default" w:ascii="Times New Roman" w:hAnsi="Times New Roman" w:eastAsia="宋体" w:cs="Times New Roman"/>
                <w:color w:val="auto"/>
                <w:sz w:val="24"/>
                <w:szCs w:val="24"/>
                <w:highlight w:val="none"/>
                <w:lang w:val="en-US" w:eastAsia="zh-CN"/>
              </w:rPr>
              <w:t>火炮类20000kg/a，</w:t>
            </w:r>
            <w:r>
              <w:rPr>
                <w:rFonts w:hint="eastAsia" w:ascii="Times New Roman" w:hAnsi="Times New Roman" w:eastAsia="宋体" w:cs="Times New Roman"/>
                <w:color w:val="auto"/>
                <w:sz w:val="24"/>
                <w:szCs w:val="24"/>
                <w:highlight w:val="none"/>
                <w:lang w:val="en-US" w:eastAsia="zh-CN"/>
              </w:rPr>
              <w:t>个人燃放</w:t>
            </w:r>
            <w:r>
              <w:rPr>
                <w:rFonts w:hint="default" w:ascii="Times New Roman" w:hAnsi="Times New Roman" w:eastAsia="宋体" w:cs="Times New Roman"/>
                <w:color w:val="auto"/>
                <w:sz w:val="24"/>
                <w:szCs w:val="24"/>
                <w:highlight w:val="none"/>
                <w:lang w:val="en-US" w:eastAsia="zh-CN"/>
              </w:rPr>
              <w:t>烟花类20000kg/a</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进入扩建地块一1.3级仓库，A、B</w:t>
            </w:r>
            <w:r>
              <w:rPr>
                <w:rFonts w:hint="default" w:ascii="Times New Roman" w:hAnsi="Times New Roman" w:eastAsia="宋体" w:cs="Times New Roman"/>
                <w:color w:val="auto"/>
                <w:sz w:val="24"/>
                <w:szCs w:val="24"/>
                <w:highlight w:val="none"/>
              </w:rPr>
              <w:t>级成品</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主要为</w:t>
            </w:r>
            <w:r>
              <w:rPr>
                <w:rFonts w:hint="eastAsia" w:ascii="Times New Roman" w:hAnsi="Times New Roman" w:eastAsia="宋体" w:cs="Times New Roman"/>
                <w:color w:val="auto"/>
                <w:sz w:val="24"/>
                <w:szCs w:val="24"/>
                <w:highlight w:val="none"/>
                <w:lang w:val="en-US" w:eastAsia="zh-CN"/>
              </w:rPr>
              <w:t>专业燃放</w:t>
            </w:r>
            <w:r>
              <w:rPr>
                <w:rFonts w:hint="default" w:ascii="Times New Roman" w:hAnsi="Times New Roman" w:eastAsia="宋体" w:cs="Times New Roman"/>
                <w:color w:val="auto"/>
                <w:sz w:val="24"/>
                <w:szCs w:val="24"/>
                <w:highlight w:val="none"/>
                <w:lang w:val="en-US" w:eastAsia="zh-CN"/>
              </w:rPr>
              <w:t>烟花类</w:t>
            </w: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0000kg/a</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进入扩建地块二1.1</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级仓库。库区</w:t>
            </w:r>
            <w:r>
              <w:rPr>
                <w:color w:val="auto"/>
                <w:sz w:val="24"/>
                <w:szCs w:val="24"/>
                <w:highlight w:val="none"/>
              </w:rPr>
              <w:t>由专人（安全员或库管员）引导，按指定路线行驶、按规定地点停放，并熄火</w:t>
            </w:r>
            <w:r>
              <w:rPr>
                <w:rFonts w:hint="eastAsia"/>
                <w:color w:val="auto"/>
                <w:sz w:val="24"/>
                <w:szCs w:val="24"/>
                <w:highlight w:val="none"/>
                <w:lang w:eastAsia="zh-CN"/>
              </w:rPr>
              <w:t>（</w:t>
            </w:r>
            <w:r>
              <w:rPr>
                <w:rFonts w:hint="eastAsia"/>
                <w:color w:val="auto"/>
                <w:sz w:val="24"/>
                <w:szCs w:val="24"/>
                <w:highlight w:val="none"/>
                <w:lang w:val="en-US" w:eastAsia="zh-CN"/>
              </w:rPr>
              <w:t>此运输过程产生的突发事件均由</w:t>
            </w:r>
            <w:r>
              <w:rPr>
                <w:color w:val="auto"/>
                <w:sz w:val="24"/>
                <w:szCs w:val="24"/>
                <w:highlight w:val="none"/>
              </w:rPr>
              <w:t>浏阳市东风烟花制造厂</w:t>
            </w:r>
            <w:r>
              <w:rPr>
                <w:rFonts w:hint="eastAsia"/>
                <w:color w:val="auto"/>
                <w:sz w:val="24"/>
                <w:szCs w:val="24"/>
                <w:highlight w:val="none"/>
                <w:lang w:val="en-US" w:eastAsia="zh-CN"/>
              </w:rPr>
              <w:t>承担</w:t>
            </w:r>
            <w:r>
              <w:rPr>
                <w:rFonts w:hint="eastAsia"/>
                <w:color w:val="auto"/>
                <w:sz w:val="24"/>
                <w:szCs w:val="24"/>
                <w:highlight w:val="none"/>
                <w:lang w:eastAsia="zh-CN"/>
              </w:rPr>
              <w:t>）</w:t>
            </w:r>
            <w:r>
              <w:rPr>
                <w:color w:val="auto"/>
                <w:sz w:val="24"/>
                <w:szCs w:val="24"/>
                <w:highlight w:val="none"/>
              </w:rPr>
              <w:t>。经过培训的搬运工采用手推车将烟花爆竹搬运至仓库，并按规定进行堆垛码放。在库期间加强管理，定期盘点，及时补货。</w:t>
            </w:r>
          </w:p>
          <w:p w14:paraId="5DEE0704">
            <w:pPr>
              <w:spacing w:line="360" w:lineRule="auto"/>
              <w:ind w:firstLine="480" w:firstLineChars="200"/>
              <w:rPr>
                <w:color w:val="auto"/>
                <w:sz w:val="24"/>
                <w:szCs w:val="24"/>
                <w:highlight w:val="none"/>
              </w:rPr>
            </w:pPr>
            <w:r>
              <w:rPr>
                <w:color w:val="auto"/>
                <w:sz w:val="24"/>
                <w:szCs w:val="24"/>
                <w:highlight w:val="none"/>
              </w:rPr>
              <w:t>在客户下单后，配送烟花爆竹的专用车辆进入库区，由专人（安全员或库管员）引导，按指定路线行驶、按规定地点停放，并熄火。经过培训的搬运工再将烟花爆竹从仓库内搬运至配送车辆上，装车完毕，应在专人引导驶出库区。到达具有零售资质的经营户地址后，由经过培训的配送工分发给经营户</w:t>
            </w:r>
            <w:r>
              <w:rPr>
                <w:rFonts w:hint="eastAsia"/>
                <w:color w:val="auto"/>
                <w:sz w:val="24"/>
                <w:szCs w:val="24"/>
                <w:highlight w:val="none"/>
                <w:lang w:eastAsia="zh-CN"/>
              </w:rPr>
              <w:t>（</w:t>
            </w:r>
            <w:r>
              <w:rPr>
                <w:rFonts w:hint="eastAsia"/>
                <w:color w:val="auto"/>
                <w:sz w:val="24"/>
                <w:szCs w:val="24"/>
                <w:highlight w:val="none"/>
                <w:lang w:val="en-US" w:eastAsia="zh-CN"/>
              </w:rPr>
              <w:t>此运输过程产生的突发事件均由建设单位承担</w:t>
            </w:r>
            <w:r>
              <w:rPr>
                <w:rFonts w:hint="eastAsia"/>
                <w:color w:val="auto"/>
                <w:sz w:val="24"/>
                <w:szCs w:val="24"/>
                <w:highlight w:val="none"/>
                <w:lang w:eastAsia="zh-CN"/>
              </w:rPr>
              <w:t>）</w:t>
            </w:r>
            <w:r>
              <w:rPr>
                <w:color w:val="auto"/>
                <w:sz w:val="24"/>
                <w:szCs w:val="24"/>
                <w:highlight w:val="none"/>
              </w:rPr>
              <w:t>。</w:t>
            </w:r>
          </w:p>
          <w:p w14:paraId="70A13DC4">
            <w:pPr>
              <w:spacing w:line="360" w:lineRule="auto"/>
              <w:ind w:firstLine="480" w:firstLineChars="200"/>
              <w:rPr>
                <w:color w:val="auto"/>
                <w:sz w:val="24"/>
                <w:szCs w:val="24"/>
                <w:highlight w:val="none"/>
              </w:rPr>
            </w:pPr>
            <w:r>
              <w:rPr>
                <w:color w:val="auto"/>
                <w:sz w:val="24"/>
                <w:szCs w:val="24"/>
                <w:highlight w:val="none"/>
              </w:rPr>
              <w:t>整个过程中主要污染物为运输车辆尾气及道路扬尘、交通噪声及破损或生产过期的烟花爆竹。本项目仓库仅进行成品烟花爆竹的存储，不从事生产活动，不进行散装烟花爆竹储存及生产原材料化学品的储存。物料进货时并非一次购入其最大设计储存量，而是根据要求调整，因此仓库内物料的储存量不会超过设计最大储存量。办公生活区工作人员会产生生活废水、生活垃圾。</w:t>
            </w:r>
          </w:p>
          <w:p w14:paraId="05F73274">
            <w:pPr>
              <w:pStyle w:val="30"/>
              <w:jc w:val="left"/>
              <w:rPr>
                <w:rFonts w:hint="default" w:eastAsia="宋体"/>
                <w:color w:val="auto"/>
                <w:sz w:val="24"/>
                <w:szCs w:val="24"/>
                <w:highlight w:val="none"/>
                <w:lang w:val="en-US" w:eastAsia="zh-CN"/>
              </w:rPr>
            </w:pP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2</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展厅参观</w:t>
            </w:r>
          </w:p>
          <w:p w14:paraId="4989E170">
            <w:pPr>
              <w:pStyle w:val="32"/>
              <w:rPr>
                <w:color w:val="auto"/>
                <w:highlight w:val="none"/>
              </w:rPr>
            </w:pPr>
            <w:r>
              <w:rPr>
                <w:rFonts w:hint="eastAsia"/>
                <w:color w:val="auto"/>
                <w:sz w:val="24"/>
                <w:szCs w:val="24"/>
                <w:highlight w:val="none"/>
                <w:lang w:val="en-US" w:eastAsia="zh-CN"/>
              </w:rPr>
              <w:t>扩建项目在地块三建设1栋面积为2213.29</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vertAlign w:val="baseline"/>
                <w:lang w:eastAsia="zh-CN"/>
              </w:rPr>
              <w:t>，</w:t>
            </w:r>
            <w:r>
              <w:rPr>
                <w:rFonts w:hint="eastAsia" w:ascii="Times New Roman" w:hAnsi="Times New Roman" w:eastAsia="宋体" w:cs="Times New Roman"/>
                <w:color w:val="auto"/>
                <w:sz w:val="24"/>
                <w:szCs w:val="24"/>
                <w:highlight w:val="none"/>
                <w:vertAlign w:val="baseline"/>
                <w:lang w:val="en-US" w:eastAsia="zh-CN"/>
              </w:rPr>
              <w:t>展厅使用</w:t>
            </w:r>
            <w:r>
              <w:rPr>
                <w:color w:val="auto"/>
                <w:spacing w:val="7"/>
                <w:sz w:val="24"/>
                <w:szCs w:val="24"/>
                <w:highlight w:val="none"/>
              </w:rPr>
              <w:t>无药样品</w:t>
            </w:r>
            <w:r>
              <w:rPr>
                <w:rFonts w:hint="eastAsia"/>
                <w:color w:val="auto"/>
                <w:spacing w:val="7"/>
                <w:sz w:val="24"/>
                <w:szCs w:val="24"/>
                <w:highlight w:val="none"/>
                <w:lang w:val="en-US" w:eastAsia="zh-CN"/>
              </w:rPr>
              <w:t>进行展示，主要是客户到场采购可在展厅进行参观。客户均不在厂内吃住，此过程中产生的污染物主要是参观人员废水及展厅清洁废水。</w:t>
            </w:r>
          </w:p>
        </w:tc>
      </w:tr>
      <w:tr w14:paraId="016B1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28" w:type="dxa"/>
            <w:vAlign w:val="center"/>
          </w:tcPr>
          <w:p w14:paraId="5BCBA854">
            <w:pPr>
              <w:spacing w:line="360" w:lineRule="auto"/>
              <w:jc w:val="center"/>
              <w:rPr>
                <w:color w:val="auto"/>
                <w:szCs w:val="21"/>
                <w:highlight w:val="none"/>
              </w:rPr>
            </w:pPr>
            <w:r>
              <w:rPr>
                <w:color w:val="auto"/>
                <w:szCs w:val="21"/>
                <w:highlight w:val="none"/>
              </w:rPr>
              <w:t>与项目有关的原有环境污染问题</w:t>
            </w:r>
          </w:p>
        </w:tc>
        <w:tc>
          <w:tcPr>
            <w:tcW w:w="8047" w:type="dxa"/>
            <w:vAlign w:val="center"/>
          </w:tcPr>
          <w:p w14:paraId="40F6F411">
            <w:pPr>
              <w:spacing w:line="360" w:lineRule="auto"/>
              <w:ind w:firstLine="482" w:firstLineChars="200"/>
              <w:rPr>
                <w:b/>
                <w:color w:val="auto"/>
                <w:sz w:val="24"/>
                <w:szCs w:val="24"/>
                <w:highlight w:val="none"/>
              </w:rPr>
            </w:pPr>
            <w:r>
              <w:rPr>
                <w:b/>
                <w:color w:val="auto"/>
                <w:sz w:val="24"/>
                <w:szCs w:val="24"/>
                <w:highlight w:val="none"/>
              </w:rPr>
              <w:t>1、现有项目概况</w:t>
            </w:r>
          </w:p>
          <w:p w14:paraId="3E1C23AE">
            <w:pPr>
              <w:spacing w:line="360" w:lineRule="auto"/>
              <w:ind w:firstLine="480"/>
              <w:rPr>
                <w:rFonts w:hint="default"/>
                <w:b/>
                <w:bCs/>
                <w:color w:val="auto"/>
                <w:sz w:val="24"/>
                <w:szCs w:val="24"/>
                <w:highlight w:val="none"/>
                <w:lang w:val="en-US"/>
              </w:rPr>
            </w:pPr>
            <w:r>
              <w:rPr>
                <w:color w:val="auto"/>
                <w:sz w:val="24"/>
                <w:szCs w:val="24"/>
                <w:highlight w:val="none"/>
              </w:rPr>
              <w:t>现有项目总投资</w:t>
            </w:r>
            <w:r>
              <w:rPr>
                <w:rFonts w:hint="eastAsia"/>
                <w:color w:val="auto"/>
                <w:sz w:val="24"/>
                <w:szCs w:val="24"/>
                <w:highlight w:val="none"/>
                <w:lang w:val="en-US" w:eastAsia="zh-CN"/>
              </w:rPr>
              <w:t>15</w:t>
            </w:r>
            <w:r>
              <w:rPr>
                <w:color w:val="auto"/>
                <w:sz w:val="24"/>
                <w:szCs w:val="24"/>
                <w:highlight w:val="none"/>
              </w:rPr>
              <w:t>00万元，</w:t>
            </w:r>
            <w:r>
              <w:rPr>
                <w:rFonts w:hint="default" w:ascii="Times New Roman" w:hAnsi="Times New Roman" w:eastAsia="宋体" w:cs="Times New Roman"/>
                <w:color w:val="auto"/>
                <w:sz w:val="24"/>
                <w:szCs w:val="24"/>
                <w:highlight w:val="none"/>
              </w:rPr>
              <w:t>总占地26666.67m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vertAlign w:val="baseline"/>
                <w:lang w:eastAsia="zh-CN"/>
              </w:rPr>
              <w:t>，</w:t>
            </w:r>
            <w:r>
              <w:rPr>
                <w:rFonts w:hint="eastAsia" w:ascii="Times New Roman" w:hAnsi="Times New Roman" w:eastAsia="宋体" w:cs="Times New Roman"/>
                <w:color w:val="auto"/>
                <w:sz w:val="24"/>
                <w:szCs w:val="24"/>
                <w:highlight w:val="none"/>
                <w:vertAlign w:val="baseline"/>
                <w:lang w:val="en-US" w:eastAsia="zh-CN"/>
              </w:rPr>
              <w:t>建设</w:t>
            </w:r>
            <w:r>
              <w:rPr>
                <w:rFonts w:hint="default" w:ascii="Times New Roman" w:hAnsi="Times New Roman" w:eastAsia="宋体" w:cs="Times New Roman"/>
                <w:color w:val="auto"/>
                <w:sz w:val="24"/>
                <w:szCs w:val="24"/>
                <w:highlight w:val="none"/>
              </w:rPr>
              <w:t>3栋仓库，用于储存在节气前从厂家购买的C、D级成品及《烟花爆竹工程设计安全规范》允许存放的其它品种的烟花爆竹</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主要为火炮类20000kg/a，烟花类20000kg/a，小产品20000kg/a</w:t>
            </w:r>
            <w:r>
              <w:rPr>
                <w:rFonts w:hint="default" w:ascii="Times New Roman" w:hAnsi="Times New Roman" w:eastAsia="宋体" w:cs="Times New Roman"/>
                <w:color w:val="auto"/>
                <w:sz w:val="24"/>
                <w:szCs w:val="24"/>
                <w:highlight w:val="none"/>
                <w:lang w:eastAsia="zh-CN"/>
              </w:rPr>
              <w:t>）</w:t>
            </w:r>
            <w:r>
              <w:rPr>
                <w:rFonts w:hint="eastAsia" w:eastAsia="宋体"/>
                <w:color w:val="auto"/>
                <w:sz w:val="24"/>
                <w:szCs w:val="24"/>
                <w:highlight w:val="none"/>
                <w:lang w:eastAsia="zh-CN"/>
              </w:rPr>
              <w:t>，</w:t>
            </w:r>
            <w:r>
              <w:rPr>
                <w:rFonts w:hint="default" w:ascii="Times New Roman" w:hAnsi="Times New Roman" w:eastAsia="宋体" w:cs="Times New Roman"/>
                <w:color w:val="auto"/>
                <w:sz w:val="24"/>
                <w:szCs w:val="24"/>
                <w:highlight w:val="none"/>
              </w:rPr>
              <w:t>危险等级为1.3级，设计</w:t>
            </w:r>
            <w:r>
              <w:rPr>
                <w:rFonts w:hint="default" w:ascii="Times New Roman" w:hAnsi="Times New Roman" w:eastAsia="宋体"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rPr>
              <w:t>存储计算药量60000kg，</w:t>
            </w:r>
            <w:r>
              <w:rPr>
                <w:rFonts w:hint="eastAsia" w:ascii="宋体" w:hAnsi="宋体" w:eastAsia="宋体" w:cs="宋体"/>
                <w:color w:val="auto"/>
                <w:sz w:val="24"/>
                <w:szCs w:val="24"/>
                <w:highlight w:val="none"/>
                <w:lang w:val="en-US" w:eastAsia="zh-CN"/>
              </w:rPr>
              <w:t>2021年10月15日开工建设，2021年12月30日建设完成。</w:t>
            </w:r>
          </w:p>
          <w:p w14:paraId="39B0F8CA">
            <w:pPr>
              <w:spacing w:line="360" w:lineRule="auto"/>
              <w:ind w:firstLine="482" w:firstLineChars="200"/>
              <w:rPr>
                <w:b/>
                <w:color w:val="auto"/>
                <w:sz w:val="24"/>
                <w:szCs w:val="24"/>
                <w:highlight w:val="none"/>
              </w:rPr>
            </w:pPr>
            <w:r>
              <w:rPr>
                <w:b/>
                <w:color w:val="auto"/>
                <w:sz w:val="24"/>
                <w:szCs w:val="24"/>
                <w:highlight w:val="none"/>
              </w:rPr>
              <w:t>2、现有项目环保手续办理情况</w:t>
            </w:r>
          </w:p>
          <w:p w14:paraId="31721258">
            <w:pPr>
              <w:spacing w:line="360" w:lineRule="auto"/>
              <w:ind w:firstLine="480"/>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lang w:val="en-US" w:eastAsia="zh-CN"/>
              </w:rPr>
              <w:t>建设单位于</w:t>
            </w:r>
            <w:r>
              <w:rPr>
                <w:rFonts w:hint="default" w:ascii="Times New Roman" w:hAnsi="Times New Roman" w:cs="Times New Roman"/>
                <w:color w:val="auto"/>
                <w:sz w:val="24"/>
                <w:szCs w:val="24"/>
                <w:highlight w:val="none"/>
              </w:rPr>
              <w:t>2020年6月16日取得了寻甸县发展和改革局出具的投资备案证，项目代码：2020-530129-51-03-046337。20</w:t>
            </w:r>
            <w:r>
              <w:rPr>
                <w:rFonts w:hint="default" w:ascii="Times New Roman" w:hAnsi="Times New Roman" w:cs="Times New Roman"/>
                <w:color w:val="auto"/>
                <w:sz w:val="24"/>
                <w:szCs w:val="24"/>
                <w:highlight w:val="none"/>
                <w:lang w:val="en-US" w:eastAsia="zh-CN"/>
              </w:rPr>
              <w:t>21</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月编制了《</w:t>
            </w:r>
            <w:r>
              <w:rPr>
                <w:rFonts w:hint="default" w:ascii="Times New Roman" w:hAnsi="Times New Roman" w:eastAsia="宋体" w:cs="Times New Roman"/>
                <w:color w:val="auto"/>
                <w:spacing w:val="0"/>
                <w:sz w:val="24"/>
                <w:szCs w:val="24"/>
                <w:highlight w:val="none"/>
              </w:rPr>
              <w:t>昆明优竹商贸有限公司烟花爆竹存储仓库新建项目</w:t>
            </w:r>
            <w:r>
              <w:rPr>
                <w:rFonts w:hint="default" w:ascii="Times New Roman" w:hAnsi="Times New Roman" w:cs="Times New Roman"/>
                <w:color w:val="auto"/>
                <w:sz w:val="24"/>
                <w:szCs w:val="24"/>
                <w:highlight w:val="none"/>
              </w:rPr>
              <w:t>环境影响报告表》，并于</w:t>
            </w:r>
            <w:r>
              <w:rPr>
                <w:rFonts w:hint="default" w:ascii="Times New Roman" w:hAnsi="Times New Roman" w:eastAsia="宋体" w:cs="Times New Roman"/>
                <w:color w:val="auto"/>
                <w:spacing w:val="0"/>
                <w:sz w:val="24"/>
                <w:szCs w:val="24"/>
                <w:highlight w:val="none"/>
              </w:rPr>
              <w:t>20</w:t>
            </w:r>
            <w:r>
              <w:rPr>
                <w:rFonts w:hint="default" w:ascii="Times New Roman" w:hAnsi="Times New Roman" w:eastAsia="宋体" w:cs="Times New Roman"/>
                <w:color w:val="auto"/>
                <w:spacing w:val="0"/>
                <w:sz w:val="24"/>
                <w:szCs w:val="24"/>
                <w:highlight w:val="none"/>
                <w:lang w:val="en-US" w:eastAsia="zh-CN"/>
              </w:rPr>
              <w:t>21</w:t>
            </w:r>
            <w:r>
              <w:rPr>
                <w:rFonts w:hint="default" w:ascii="Times New Roman" w:hAnsi="Times New Roman" w:eastAsia="宋体" w:cs="Times New Roman"/>
                <w:color w:val="auto"/>
                <w:spacing w:val="0"/>
                <w:sz w:val="24"/>
                <w:szCs w:val="24"/>
                <w:highlight w:val="none"/>
              </w:rPr>
              <w:t>年</w:t>
            </w:r>
            <w:r>
              <w:rPr>
                <w:rFonts w:hint="default" w:ascii="Times New Roman" w:hAnsi="Times New Roman" w:eastAsia="宋体" w:cs="Times New Roman"/>
                <w:color w:val="auto"/>
                <w:spacing w:val="0"/>
                <w:sz w:val="24"/>
                <w:szCs w:val="24"/>
                <w:highlight w:val="none"/>
                <w:lang w:val="en-US" w:eastAsia="zh-CN"/>
              </w:rPr>
              <w:t>10</w:t>
            </w:r>
            <w:r>
              <w:rPr>
                <w:rFonts w:hint="default" w:ascii="Times New Roman" w:hAnsi="Times New Roman" w:eastAsia="宋体" w:cs="Times New Roman"/>
                <w:color w:val="auto"/>
                <w:spacing w:val="0"/>
                <w:sz w:val="24"/>
                <w:szCs w:val="24"/>
                <w:highlight w:val="none"/>
              </w:rPr>
              <w:t>月</w:t>
            </w:r>
            <w:r>
              <w:rPr>
                <w:rFonts w:hint="default" w:ascii="Times New Roman" w:hAnsi="Times New Roman" w:eastAsia="宋体" w:cs="Times New Roman"/>
                <w:color w:val="auto"/>
                <w:spacing w:val="0"/>
                <w:sz w:val="24"/>
                <w:szCs w:val="24"/>
                <w:highlight w:val="none"/>
                <w:lang w:val="en-US" w:eastAsia="zh-CN"/>
              </w:rPr>
              <w:t>9</w:t>
            </w:r>
            <w:r>
              <w:rPr>
                <w:rFonts w:hint="default" w:ascii="Times New Roman" w:hAnsi="Times New Roman" w:eastAsia="宋体" w:cs="Times New Roman"/>
                <w:color w:val="auto"/>
                <w:spacing w:val="0"/>
                <w:sz w:val="24"/>
                <w:szCs w:val="24"/>
                <w:highlight w:val="none"/>
              </w:rPr>
              <w:t>日取得</w:t>
            </w:r>
            <w:r>
              <w:rPr>
                <w:rFonts w:hint="default" w:ascii="Times New Roman" w:hAnsi="Times New Roman" w:eastAsia="宋体" w:cs="Times New Roman"/>
                <w:color w:val="auto"/>
                <w:spacing w:val="0"/>
                <w:sz w:val="24"/>
                <w:szCs w:val="24"/>
                <w:highlight w:val="none"/>
                <w:lang w:val="en-US" w:eastAsia="zh-CN"/>
              </w:rPr>
              <w:t>昆明市生态环境</w:t>
            </w:r>
            <w:r>
              <w:rPr>
                <w:rFonts w:hint="default" w:ascii="Times New Roman" w:hAnsi="Times New Roman" w:eastAsia="宋体" w:cs="Times New Roman"/>
                <w:color w:val="auto"/>
                <w:spacing w:val="0"/>
                <w:sz w:val="24"/>
                <w:szCs w:val="24"/>
                <w:highlight w:val="none"/>
              </w:rPr>
              <w:t>局</w:t>
            </w:r>
            <w:r>
              <w:rPr>
                <w:rFonts w:hint="default" w:ascii="Times New Roman" w:hAnsi="Times New Roman" w:eastAsia="宋体" w:cs="Times New Roman"/>
                <w:color w:val="auto"/>
                <w:spacing w:val="0"/>
                <w:sz w:val="24"/>
                <w:szCs w:val="24"/>
                <w:highlight w:val="none"/>
                <w:lang w:val="en-US" w:eastAsia="zh-CN"/>
              </w:rPr>
              <w:t>寻甸分局</w:t>
            </w:r>
            <w:r>
              <w:rPr>
                <w:rFonts w:hint="default" w:ascii="Times New Roman" w:hAnsi="Times New Roman" w:eastAsia="宋体" w:cs="Times New Roman"/>
                <w:color w:val="auto"/>
                <w:spacing w:val="0"/>
                <w:sz w:val="24"/>
                <w:szCs w:val="24"/>
                <w:highlight w:val="none"/>
              </w:rPr>
              <w:t>《</w:t>
            </w:r>
            <w:r>
              <w:rPr>
                <w:rFonts w:hint="default" w:ascii="Times New Roman" w:hAnsi="Times New Roman" w:eastAsia="宋体" w:cs="Times New Roman"/>
                <w:color w:val="auto"/>
                <w:spacing w:val="0"/>
                <w:sz w:val="24"/>
                <w:szCs w:val="24"/>
                <w:highlight w:val="none"/>
                <w:lang w:val="en-US" w:eastAsia="zh-CN"/>
              </w:rPr>
              <w:t>昆明市</w:t>
            </w:r>
            <w:r>
              <w:rPr>
                <w:rFonts w:hint="default" w:ascii="Times New Roman" w:hAnsi="Times New Roman" w:eastAsia="宋体" w:cs="Times New Roman"/>
                <w:color w:val="auto"/>
                <w:spacing w:val="0"/>
                <w:sz w:val="24"/>
                <w:szCs w:val="24"/>
                <w:highlight w:val="none"/>
              </w:rPr>
              <w:t>生态环境局</w:t>
            </w:r>
            <w:r>
              <w:rPr>
                <w:rFonts w:hint="default" w:ascii="Times New Roman" w:hAnsi="Times New Roman" w:eastAsia="宋体" w:cs="Times New Roman"/>
                <w:color w:val="auto"/>
                <w:spacing w:val="0"/>
                <w:sz w:val="24"/>
                <w:szCs w:val="24"/>
                <w:highlight w:val="none"/>
                <w:lang w:val="en-US" w:eastAsia="zh-CN"/>
              </w:rPr>
              <w:t>寻甸分局</w:t>
            </w:r>
            <w:r>
              <w:rPr>
                <w:rFonts w:hint="default" w:ascii="Times New Roman" w:hAnsi="Times New Roman" w:eastAsia="宋体" w:cs="Times New Roman"/>
                <w:color w:val="auto"/>
                <w:spacing w:val="0"/>
                <w:sz w:val="24"/>
                <w:szCs w:val="24"/>
                <w:highlight w:val="none"/>
              </w:rPr>
              <w:t>关于昆明优竹商贸有限公司烟花爆竹存储仓库新建项目环境影响报告</w:t>
            </w:r>
            <w:r>
              <w:rPr>
                <w:rFonts w:hint="default" w:ascii="Times New Roman" w:hAnsi="Times New Roman" w:eastAsia="宋体" w:cs="Times New Roman"/>
                <w:color w:val="auto"/>
                <w:spacing w:val="0"/>
                <w:sz w:val="24"/>
                <w:szCs w:val="24"/>
                <w:highlight w:val="none"/>
                <w:lang w:val="en-US" w:eastAsia="zh-CN"/>
              </w:rPr>
              <w:t>表</w:t>
            </w:r>
            <w:r>
              <w:rPr>
                <w:rFonts w:hint="default" w:ascii="Times New Roman" w:hAnsi="Times New Roman" w:eastAsia="宋体" w:cs="Times New Roman"/>
                <w:color w:val="auto"/>
                <w:spacing w:val="0"/>
                <w:sz w:val="24"/>
                <w:szCs w:val="24"/>
                <w:highlight w:val="none"/>
              </w:rPr>
              <w:t>》的批复，批复文号：</w:t>
            </w:r>
            <w:r>
              <w:rPr>
                <w:rFonts w:hint="default" w:ascii="Times New Roman" w:hAnsi="Times New Roman" w:eastAsia="宋体" w:cs="Times New Roman"/>
                <w:color w:val="auto"/>
                <w:spacing w:val="0"/>
                <w:sz w:val="24"/>
                <w:szCs w:val="24"/>
                <w:highlight w:val="none"/>
                <w:lang w:val="en-US" w:eastAsia="zh-CN"/>
              </w:rPr>
              <w:t>昆生</w:t>
            </w:r>
            <w:r>
              <w:rPr>
                <w:rFonts w:hint="default" w:ascii="Times New Roman" w:hAnsi="Times New Roman" w:eastAsia="宋体" w:cs="Times New Roman"/>
                <w:color w:val="auto"/>
                <w:spacing w:val="0"/>
                <w:sz w:val="24"/>
                <w:szCs w:val="24"/>
                <w:highlight w:val="none"/>
              </w:rPr>
              <w:t>环</w:t>
            </w:r>
            <w:r>
              <w:rPr>
                <w:rFonts w:hint="default" w:ascii="Times New Roman" w:hAnsi="Times New Roman" w:eastAsia="宋体" w:cs="Times New Roman"/>
                <w:color w:val="auto"/>
                <w:spacing w:val="0"/>
                <w:sz w:val="24"/>
                <w:szCs w:val="24"/>
                <w:highlight w:val="none"/>
                <w:lang w:val="en-US" w:eastAsia="zh-CN"/>
              </w:rPr>
              <w:t>寻</w:t>
            </w:r>
            <w:r>
              <w:rPr>
                <w:rFonts w:hint="default" w:ascii="Times New Roman" w:hAnsi="Times New Roman" w:eastAsia="宋体" w:cs="Times New Roman"/>
                <w:color w:val="auto"/>
                <w:spacing w:val="0"/>
                <w:sz w:val="24"/>
                <w:szCs w:val="24"/>
                <w:highlight w:val="none"/>
              </w:rPr>
              <w:t>[20</w:t>
            </w:r>
            <w:r>
              <w:rPr>
                <w:rFonts w:hint="default" w:ascii="Times New Roman" w:hAnsi="Times New Roman" w:eastAsia="宋体" w:cs="Times New Roman"/>
                <w:color w:val="auto"/>
                <w:spacing w:val="0"/>
                <w:sz w:val="24"/>
                <w:szCs w:val="24"/>
                <w:highlight w:val="none"/>
                <w:lang w:val="en-US" w:eastAsia="zh-CN"/>
              </w:rPr>
              <w:t>21</w:t>
            </w:r>
            <w:r>
              <w:rPr>
                <w:rFonts w:hint="default" w:ascii="Times New Roman" w:hAnsi="Times New Roman" w:eastAsia="宋体" w:cs="Times New Roman"/>
                <w:color w:val="auto"/>
                <w:spacing w:val="0"/>
                <w:sz w:val="24"/>
                <w:szCs w:val="24"/>
                <w:highlight w:val="none"/>
              </w:rPr>
              <w:t>]</w:t>
            </w:r>
            <w:r>
              <w:rPr>
                <w:rFonts w:hint="default" w:ascii="Times New Roman" w:hAnsi="Times New Roman" w:eastAsia="宋体" w:cs="Times New Roman"/>
                <w:color w:val="auto"/>
                <w:spacing w:val="0"/>
                <w:sz w:val="24"/>
                <w:szCs w:val="24"/>
                <w:highlight w:val="none"/>
                <w:lang w:val="en-US" w:eastAsia="zh-CN"/>
              </w:rPr>
              <w:t>182</w:t>
            </w:r>
            <w:r>
              <w:rPr>
                <w:rFonts w:hint="default" w:ascii="Times New Roman" w:hAnsi="Times New Roman" w:eastAsia="宋体" w:cs="Times New Roman"/>
                <w:color w:val="auto"/>
                <w:spacing w:val="0"/>
                <w:sz w:val="24"/>
                <w:szCs w:val="24"/>
                <w:highlight w:val="none"/>
              </w:rPr>
              <w:t>号。</w:t>
            </w:r>
            <w:r>
              <w:rPr>
                <w:rFonts w:hint="default" w:ascii="Times New Roman" w:hAnsi="Times New Roman" w:cs="Times New Roman"/>
                <w:color w:val="auto"/>
                <w:sz w:val="24"/>
                <w:szCs w:val="24"/>
                <w:highlight w:val="none"/>
              </w:rPr>
              <w:t>现有项目总投资</w:t>
            </w:r>
            <w:r>
              <w:rPr>
                <w:rFonts w:hint="default"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00万元，</w:t>
            </w:r>
            <w:r>
              <w:rPr>
                <w:rFonts w:hint="default" w:ascii="Times New Roman" w:hAnsi="Times New Roman" w:eastAsia="宋体" w:cs="Times New Roman"/>
                <w:color w:val="auto"/>
                <w:sz w:val="24"/>
                <w:szCs w:val="24"/>
                <w:highlight w:val="none"/>
              </w:rPr>
              <w:t>设计</w:t>
            </w:r>
            <w:r>
              <w:rPr>
                <w:rFonts w:hint="default" w:ascii="Times New Roman" w:hAnsi="Times New Roman" w:eastAsia="宋体"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rPr>
              <w:t>存储计算药量60000kg</w:t>
            </w:r>
            <w:r>
              <w:rPr>
                <w:rFonts w:hint="default" w:ascii="Times New Roman" w:hAnsi="Times New Roman" w:cs="Times New Roman"/>
                <w:color w:val="auto"/>
                <w:sz w:val="24"/>
                <w:szCs w:val="24"/>
                <w:highlight w:val="none"/>
              </w:rPr>
              <w:t>。</w:t>
            </w:r>
          </w:p>
          <w:p w14:paraId="6C44CBDA">
            <w:pPr>
              <w:pStyle w:val="61"/>
              <w:spacing w:before="0" w:after="0" w:line="240" w:lineRule="auto"/>
              <w:ind w:left="105" w:leftChars="50" w:right="105" w:rightChars="50"/>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color w:val="auto"/>
                <w:sz w:val="21"/>
                <w:szCs w:val="21"/>
                <w:highlight w:val="none"/>
              </w:rPr>
              <w:t>表2-</w:t>
            </w:r>
            <w:r>
              <w:rPr>
                <w:rFonts w:hint="eastAsia" w:ascii="Times New Roman" w:hAnsi="Times New Roman" w:eastAsia="宋体" w:cs="Times New Roman"/>
                <w:b/>
                <w:color w:val="auto"/>
                <w:sz w:val="21"/>
                <w:szCs w:val="21"/>
                <w:highlight w:val="none"/>
                <w:lang w:val="en-US" w:eastAsia="zh-CN"/>
              </w:rPr>
              <w:t>11</w:t>
            </w:r>
            <w:r>
              <w:rPr>
                <w:rFonts w:ascii="Times New Roman" w:hAnsi="Times New Roman" w:eastAsia="宋体" w:cs="Times New Roman"/>
                <w:b/>
                <w:color w:val="auto"/>
                <w:sz w:val="21"/>
                <w:szCs w:val="21"/>
                <w:highlight w:val="none"/>
              </w:rPr>
              <w:t xml:space="preserve">  现有项目环评验收办理情况一览表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752"/>
              <w:gridCol w:w="1747"/>
              <w:gridCol w:w="3528"/>
            </w:tblGrid>
            <w:tr w14:paraId="0128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37117864">
                  <w:pPr>
                    <w:jc w:val="center"/>
                    <w:rPr>
                      <w:b/>
                      <w:color w:val="auto"/>
                      <w:szCs w:val="21"/>
                      <w:highlight w:val="none"/>
                    </w:rPr>
                  </w:pPr>
                  <w:r>
                    <w:rPr>
                      <w:b/>
                      <w:color w:val="auto"/>
                      <w:szCs w:val="21"/>
                      <w:highlight w:val="none"/>
                    </w:rPr>
                    <w:t>序号</w:t>
                  </w:r>
                </w:p>
              </w:tc>
              <w:tc>
                <w:tcPr>
                  <w:tcW w:w="1752" w:type="dxa"/>
                  <w:noWrap w:val="0"/>
                  <w:vAlign w:val="center"/>
                </w:tcPr>
                <w:p w14:paraId="7AEEF73E">
                  <w:pPr>
                    <w:jc w:val="center"/>
                    <w:rPr>
                      <w:b/>
                      <w:color w:val="auto"/>
                      <w:szCs w:val="21"/>
                      <w:highlight w:val="none"/>
                    </w:rPr>
                  </w:pPr>
                  <w:r>
                    <w:rPr>
                      <w:b/>
                      <w:color w:val="auto"/>
                      <w:szCs w:val="21"/>
                      <w:highlight w:val="none"/>
                    </w:rPr>
                    <w:t>建设单位</w:t>
                  </w:r>
                </w:p>
              </w:tc>
              <w:tc>
                <w:tcPr>
                  <w:tcW w:w="1747" w:type="dxa"/>
                  <w:noWrap w:val="0"/>
                  <w:vAlign w:val="center"/>
                </w:tcPr>
                <w:p w14:paraId="72221049">
                  <w:pPr>
                    <w:jc w:val="center"/>
                    <w:rPr>
                      <w:b/>
                      <w:color w:val="auto"/>
                      <w:szCs w:val="21"/>
                      <w:highlight w:val="none"/>
                    </w:rPr>
                  </w:pPr>
                  <w:r>
                    <w:rPr>
                      <w:b/>
                      <w:color w:val="auto"/>
                      <w:szCs w:val="21"/>
                      <w:highlight w:val="none"/>
                    </w:rPr>
                    <w:t>类别</w:t>
                  </w:r>
                </w:p>
              </w:tc>
              <w:tc>
                <w:tcPr>
                  <w:tcW w:w="3528" w:type="dxa"/>
                  <w:noWrap w:val="0"/>
                  <w:vAlign w:val="center"/>
                </w:tcPr>
                <w:p w14:paraId="477BBA17">
                  <w:pPr>
                    <w:jc w:val="center"/>
                    <w:rPr>
                      <w:b/>
                      <w:color w:val="auto"/>
                      <w:szCs w:val="21"/>
                      <w:highlight w:val="none"/>
                    </w:rPr>
                  </w:pPr>
                  <w:r>
                    <w:rPr>
                      <w:b/>
                      <w:color w:val="auto"/>
                      <w:szCs w:val="21"/>
                      <w:highlight w:val="none"/>
                    </w:rPr>
                    <w:t>详情</w:t>
                  </w:r>
                </w:p>
              </w:tc>
            </w:tr>
            <w:tr w14:paraId="53DE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67" w:type="dxa"/>
                  <w:noWrap w:val="0"/>
                  <w:vAlign w:val="center"/>
                </w:tcPr>
                <w:p w14:paraId="2E0D93CF">
                  <w:pPr>
                    <w:jc w:val="center"/>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t>1</w:t>
                  </w:r>
                </w:p>
              </w:tc>
              <w:tc>
                <w:tcPr>
                  <w:tcW w:w="1752" w:type="dxa"/>
                  <w:noWrap w:val="0"/>
                  <w:vAlign w:val="center"/>
                </w:tcPr>
                <w:p w14:paraId="273511F0">
                  <w:pPr>
                    <w:jc w:val="center"/>
                    <w:rPr>
                      <w:b w:val="0"/>
                      <w:bCs/>
                      <w:color w:val="auto"/>
                      <w:sz w:val="21"/>
                      <w:szCs w:val="21"/>
                      <w:highlight w:val="none"/>
                    </w:rPr>
                  </w:pPr>
                  <w:r>
                    <w:rPr>
                      <w:rFonts w:hint="default" w:ascii="Times New Roman" w:hAnsi="Times New Roman" w:eastAsia="宋体" w:cs="Times New Roman"/>
                      <w:b w:val="0"/>
                      <w:bCs/>
                      <w:color w:val="auto"/>
                      <w:spacing w:val="0"/>
                      <w:sz w:val="21"/>
                      <w:szCs w:val="21"/>
                      <w:highlight w:val="none"/>
                    </w:rPr>
                    <w:t>昆明优竹商贸有限公司</w:t>
                  </w:r>
                </w:p>
              </w:tc>
              <w:tc>
                <w:tcPr>
                  <w:tcW w:w="1747" w:type="dxa"/>
                  <w:noWrap w:val="0"/>
                  <w:vAlign w:val="center"/>
                </w:tcPr>
                <w:p w14:paraId="74CF12FD">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投资备案证</w:t>
                  </w:r>
                </w:p>
              </w:tc>
              <w:tc>
                <w:tcPr>
                  <w:tcW w:w="3528" w:type="dxa"/>
                  <w:noWrap w:val="0"/>
                  <w:vAlign w:val="center"/>
                </w:tcPr>
                <w:p w14:paraId="1D37F5D4">
                  <w:pPr>
                    <w:jc w:val="center"/>
                    <w:rPr>
                      <w:b w:val="0"/>
                      <w:bCs/>
                      <w:color w:val="auto"/>
                      <w:sz w:val="21"/>
                      <w:szCs w:val="21"/>
                      <w:highlight w:val="none"/>
                    </w:rPr>
                  </w:pPr>
                  <w:r>
                    <w:rPr>
                      <w:rFonts w:hint="default" w:ascii="Times New Roman" w:hAnsi="Times New Roman" w:cs="Times New Roman"/>
                      <w:b w:val="0"/>
                      <w:bCs/>
                      <w:color w:val="auto"/>
                      <w:sz w:val="21"/>
                      <w:szCs w:val="21"/>
                      <w:highlight w:val="none"/>
                    </w:rPr>
                    <w:t>2020年6月16日取得了寻甸县发展和改革局出具的投资备案证，项目代码：2020-530129-51-03-046337。</w:t>
                  </w:r>
                </w:p>
              </w:tc>
            </w:tr>
            <w:tr w14:paraId="1527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6E3DC307">
                  <w:pPr>
                    <w:jc w:val="center"/>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2</w:t>
                  </w:r>
                </w:p>
              </w:tc>
              <w:tc>
                <w:tcPr>
                  <w:tcW w:w="1752" w:type="dxa"/>
                  <w:noWrap w:val="0"/>
                  <w:vAlign w:val="center"/>
                </w:tcPr>
                <w:p w14:paraId="6473F478">
                  <w:pPr>
                    <w:jc w:val="center"/>
                    <w:rPr>
                      <w:b w:val="0"/>
                      <w:bCs/>
                      <w:color w:val="auto"/>
                      <w:sz w:val="21"/>
                      <w:szCs w:val="21"/>
                      <w:highlight w:val="none"/>
                    </w:rPr>
                  </w:pPr>
                  <w:r>
                    <w:rPr>
                      <w:rFonts w:hint="default" w:ascii="Times New Roman" w:hAnsi="Times New Roman" w:eastAsia="宋体" w:cs="Times New Roman"/>
                      <w:b w:val="0"/>
                      <w:bCs/>
                      <w:color w:val="auto"/>
                      <w:spacing w:val="0"/>
                      <w:sz w:val="21"/>
                      <w:szCs w:val="21"/>
                      <w:highlight w:val="none"/>
                    </w:rPr>
                    <w:t>昆明优竹商贸有限公司</w:t>
                  </w:r>
                </w:p>
              </w:tc>
              <w:tc>
                <w:tcPr>
                  <w:tcW w:w="1747" w:type="dxa"/>
                  <w:noWrap w:val="0"/>
                  <w:vAlign w:val="center"/>
                </w:tcPr>
                <w:p w14:paraId="1C78D085">
                  <w:pPr>
                    <w:jc w:val="center"/>
                    <w:rPr>
                      <w:b w:val="0"/>
                      <w:bCs/>
                      <w:color w:val="auto"/>
                      <w:sz w:val="21"/>
                      <w:szCs w:val="21"/>
                      <w:highlight w:val="none"/>
                    </w:rPr>
                  </w:pPr>
                  <w:r>
                    <w:rPr>
                      <w:b w:val="0"/>
                      <w:bCs/>
                      <w:color w:val="auto"/>
                      <w:sz w:val="21"/>
                      <w:szCs w:val="21"/>
                      <w:highlight w:val="none"/>
                    </w:rPr>
                    <w:t>办理环评</w:t>
                  </w:r>
                </w:p>
              </w:tc>
              <w:tc>
                <w:tcPr>
                  <w:tcW w:w="3528" w:type="dxa"/>
                  <w:noWrap w:val="0"/>
                  <w:vAlign w:val="center"/>
                </w:tcPr>
                <w:p w14:paraId="0FB9A387">
                  <w:pPr>
                    <w:jc w:val="center"/>
                    <w:rPr>
                      <w:rFonts w:hint="eastAsia" w:eastAsia="宋体"/>
                      <w:b w:val="0"/>
                      <w:bCs/>
                      <w:color w:val="auto"/>
                      <w:sz w:val="21"/>
                      <w:szCs w:val="21"/>
                      <w:highlight w:val="none"/>
                      <w:lang w:eastAsia="zh-CN"/>
                    </w:rPr>
                  </w:pPr>
                  <w:r>
                    <w:rPr>
                      <w:b w:val="0"/>
                      <w:bCs/>
                      <w:color w:val="auto"/>
                      <w:sz w:val="21"/>
                      <w:szCs w:val="21"/>
                      <w:highlight w:val="none"/>
                    </w:rPr>
                    <w:t>20</w:t>
                  </w:r>
                  <w:r>
                    <w:rPr>
                      <w:rFonts w:hint="eastAsia"/>
                      <w:b w:val="0"/>
                      <w:bCs/>
                      <w:color w:val="auto"/>
                      <w:sz w:val="21"/>
                      <w:szCs w:val="21"/>
                      <w:highlight w:val="none"/>
                      <w:lang w:val="en-US" w:eastAsia="zh-CN"/>
                    </w:rPr>
                    <w:t>21</w:t>
                  </w:r>
                  <w:r>
                    <w:rPr>
                      <w:b w:val="0"/>
                      <w:bCs/>
                      <w:color w:val="auto"/>
                      <w:sz w:val="21"/>
                      <w:szCs w:val="21"/>
                      <w:highlight w:val="none"/>
                    </w:rPr>
                    <w:t>年</w:t>
                  </w:r>
                  <w:r>
                    <w:rPr>
                      <w:rFonts w:hint="eastAsia"/>
                      <w:b w:val="0"/>
                      <w:bCs/>
                      <w:color w:val="auto"/>
                      <w:sz w:val="21"/>
                      <w:szCs w:val="21"/>
                      <w:highlight w:val="none"/>
                      <w:lang w:val="en-US" w:eastAsia="zh-CN"/>
                    </w:rPr>
                    <w:t>3</w:t>
                  </w:r>
                  <w:r>
                    <w:rPr>
                      <w:b w:val="0"/>
                      <w:bCs/>
                      <w:color w:val="auto"/>
                      <w:sz w:val="21"/>
                      <w:szCs w:val="21"/>
                      <w:highlight w:val="none"/>
                    </w:rPr>
                    <w:t>月编制了《</w:t>
                  </w:r>
                  <w:r>
                    <w:rPr>
                      <w:rFonts w:hint="default" w:ascii="Times New Roman" w:hAnsi="Times New Roman" w:eastAsia="宋体" w:cs="Times New Roman"/>
                      <w:b w:val="0"/>
                      <w:bCs/>
                      <w:color w:val="auto"/>
                      <w:spacing w:val="0"/>
                      <w:sz w:val="21"/>
                      <w:szCs w:val="21"/>
                      <w:highlight w:val="none"/>
                    </w:rPr>
                    <w:t>昆明优竹商贸有限公司烟花爆竹存储仓库新建项目</w:t>
                  </w:r>
                  <w:r>
                    <w:rPr>
                      <w:b w:val="0"/>
                      <w:bCs/>
                      <w:color w:val="auto"/>
                      <w:sz w:val="21"/>
                      <w:szCs w:val="21"/>
                      <w:highlight w:val="none"/>
                    </w:rPr>
                    <w:t>环境影响报告表》，并于</w:t>
                  </w:r>
                  <w:r>
                    <w:rPr>
                      <w:rFonts w:hint="default" w:ascii="Times New Roman" w:hAnsi="Times New Roman" w:eastAsia="宋体" w:cs="Times New Roman"/>
                      <w:b w:val="0"/>
                      <w:bCs/>
                      <w:color w:val="auto"/>
                      <w:spacing w:val="0"/>
                      <w:sz w:val="21"/>
                      <w:szCs w:val="21"/>
                      <w:highlight w:val="none"/>
                    </w:rPr>
                    <w:t>20</w:t>
                  </w:r>
                  <w:r>
                    <w:rPr>
                      <w:rFonts w:hint="default" w:ascii="Times New Roman" w:hAnsi="Times New Roman" w:eastAsia="宋体" w:cs="Times New Roman"/>
                      <w:b w:val="0"/>
                      <w:bCs/>
                      <w:color w:val="auto"/>
                      <w:spacing w:val="0"/>
                      <w:sz w:val="21"/>
                      <w:szCs w:val="21"/>
                      <w:highlight w:val="none"/>
                      <w:lang w:val="en-US" w:eastAsia="zh-CN"/>
                    </w:rPr>
                    <w:t>2</w:t>
                  </w:r>
                  <w:r>
                    <w:rPr>
                      <w:rFonts w:hint="eastAsia" w:ascii="Times New Roman" w:hAnsi="Times New Roman" w:eastAsia="宋体" w:cs="Times New Roman"/>
                      <w:b w:val="0"/>
                      <w:bCs/>
                      <w:color w:val="auto"/>
                      <w:spacing w:val="0"/>
                      <w:sz w:val="21"/>
                      <w:szCs w:val="21"/>
                      <w:highlight w:val="none"/>
                      <w:lang w:val="en-US" w:eastAsia="zh-CN"/>
                    </w:rPr>
                    <w:t>1</w:t>
                  </w:r>
                  <w:r>
                    <w:rPr>
                      <w:rFonts w:hint="default" w:ascii="Times New Roman" w:hAnsi="Times New Roman" w:eastAsia="宋体" w:cs="Times New Roman"/>
                      <w:b w:val="0"/>
                      <w:bCs/>
                      <w:color w:val="auto"/>
                      <w:spacing w:val="0"/>
                      <w:sz w:val="21"/>
                      <w:szCs w:val="21"/>
                      <w:highlight w:val="none"/>
                    </w:rPr>
                    <w:t>年</w:t>
                  </w:r>
                  <w:r>
                    <w:rPr>
                      <w:rFonts w:hint="default" w:ascii="Times New Roman" w:hAnsi="Times New Roman" w:eastAsia="宋体" w:cs="Times New Roman"/>
                      <w:b w:val="0"/>
                      <w:bCs/>
                      <w:color w:val="auto"/>
                      <w:spacing w:val="0"/>
                      <w:sz w:val="21"/>
                      <w:szCs w:val="21"/>
                      <w:highlight w:val="none"/>
                      <w:lang w:val="en-US" w:eastAsia="zh-CN"/>
                    </w:rPr>
                    <w:t>10</w:t>
                  </w:r>
                  <w:r>
                    <w:rPr>
                      <w:rFonts w:hint="default" w:ascii="Times New Roman" w:hAnsi="Times New Roman" w:eastAsia="宋体" w:cs="Times New Roman"/>
                      <w:b w:val="0"/>
                      <w:bCs/>
                      <w:color w:val="auto"/>
                      <w:spacing w:val="0"/>
                      <w:sz w:val="21"/>
                      <w:szCs w:val="21"/>
                      <w:highlight w:val="none"/>
                    </w:rPr>
                    <w:t>月</w:t>
                  </w:r>
                  <w:r>
                    <w:rPr>
                      <w:rFonts w:hint="eastAsia" w:ascii="Times New Roman" w:hAnsi="Times New Roman" w:eastAsia="宋体" w:cs="Times New Roman"/>
                      <w:b w:val="0"/>
                      <w:bCs/>
                      <w:color w:val="auto"/>
                      <w:spacing w:val="0"/>
                      <w:sz w:val="21"/>
                      <w:szCs w:val="21"/>
                      <w:highlight w:val="none"/>
                      <w:lang w:val="en-US" w:eastAsia="zh-CN"/>
                    </w:rPr>
                    <w:t>9</w:t>
                  </w:r>
                  <w:r>
                    <w:rPr>
                      <w:rFonts w:hint="default" w:ascii="Times New Roman" w:hAnsi="Times New Roman" w:eastAsia="宋体" w:cs="Times New Roman"/>
                      <w:b w:val="0"/>
                      <w:bCs/>
                      <w:color w:val="auto"/>
                      <w:spacing w:val="0"/>
                      <w:sz w:val="21"/>
                      <w:szCs w:val="21"/>
                      <w:highlight w:val="none"/>
                    </w:rPr>
                    <w:t>日取得</w:t>
                  </w:r>
                  <w:r>
                    <w:rPr>
                      <w:rFonts w:hint="default" w:ascii="Times New Roman" w:hAnsi="Times New Roman" w:eastAsia="宋体" w:cs="Times New Roman"/>
                      <w:b w:val="0"/>
                      <w:bCs/>
                      <w:color w:val="auto"/>
                      <w:spacing w:val="0"/>
                      <w:sz w:val="21"/>
                      <w:szCs w:val="21"/>
                      <w:highlight w:val="none"/>
                      <w:lang w:val="en-US" w:eastAsia="zh-CN"/>
                    </w:rPr>
                    <w:t>昆明市生态环境</w:t>
                  </w:r>
                  <w:r>
                    <w:rPr>
                      <w:rFonts w:hint="default" w:ascii="Times New Roman" w:hAnsi="Times New Roman" w:eastAsia="宋体" w:cs="Times New Roman"/>
                      <w:b w:val="0"/>
                      <w:bCs/>
                      <w:color w:val="auto"/>
                      <w:spacing w:val="0"/>
                      <w:sz w:val="21"/>
                      <w:szCs w:val="21"/>
                      <w:highlight w:val="none"/>
                    </w:rPr>
                    <w:t>局</w:t>
                  </w:r>
                  <w:r>
                    <w:rPr>
                      <w:rFonts w:hint="eastAsia" w:ascii="Times New Roman" w:hAnsi="Times New Roman" w:eastAsia="宋体" w:cs="Times New Roman"/>
                      <w:b w:val="0"/>
                      <w:bCs/>
                      <w:color w:val="auto"/>
                      <w:spacing w:val="0"/>
                      <w:sz w:val="21"/>
                      <w:szCs w:val="21"/>
                      <w:highlight w:val="none"/>
                      <w:lang w:val="en-US" w:eastAsia="zh-CN"/>
                    </w:rPr>
                    <w:t>寻甸分局</w:t>
                  </w:r>
                  <w:r>
                    <w:rPr>
                      <w:rFonts w:hint="default" w:ascii="Times New Roman" w:hAnsi="Times New Roman" w:eastAsia="宋体" w:cs="Times New Roman"/>
                      <w:b w:val="0"/>
                      <w:bCs/>
                      <w:color w:val="auto"/>
                      <w:spacing w:val="0"/>
                      <w:sz w:val="21"/>
                      <w:szCs w:val="21"/>
                      <w:highlight w:val="none"/>
                    </w:rPr>
                    <w:t>《</w:t>
                  </w:r>
                  <w:r>
                    <w:rPr>
                      <w:rFonts w:hint="default" w:ascii="Times New Roman" w:hAnsi="Times New Roman" w:eastAsia="宋体" w:cs="Times New Roman"/>
                      <w:b w:val="0"/>
                      <w:bCs/>
                      <w:color w:val="auto"/>
                      <w:spacing w:val="0"/>
                      <w:sz w:val="21"/>
                      <w:szCs w:val="21"/>
                      <w:highlight w:val="none"/>
                      <w:lang w:val="en-US" w:eastAsia="zh-CN"/>
                    </w:rPr>
                    <w:t>昆明市</w:t>
                  </w:r>
                  <w:r>
                    <w:rPr>
                      <w:rFonts w:hint="default" w:ascii="Times New Roman" w:hAnsi="Times New Roman" w:eastAsia="宋体" w:cs="Times New Roman"/>
                      <w:b w:val="0"/>
                      <w:bCs/>
                      <w:color w:val="auto"/>
                      <w:spacing w:val="0"/>
                      <w:sz w:val="21"/>
                      <w:szCs w:val="21"/>
                      <w:highlight w:val="none"/>
                    </w:rPr>
                    <w:t>生态环境局</w:t>
                  </w:r>
                  <w:r>
                    <w:rPr>
                      <w:rFonts w:hint="eastAsia" w:ascii="Times New Roman" w:hAnsi="Times New Roman" w:eastAsia="宋体" w:cs="Times New Roman"/>
                      <w:b w:val="0"/>
                      <w:bCs/>
                      <w:color w:val="auto"/>
                      <w:spacing w:val="0"/>
                      <w:sz w:val="21"/>
                      <w:szCs w:val="21"/>
                      <w:highlight w:val="none"/>
                      <w:lang w:val="en-US" w:eastAsia="zh-CN"/>
                    </w:rPr>
                    <w:t>寻甸分局</w:t>
                  </w:r>
                  <w:r>
                    <w:rPr>
                      <w:rFonts w:hint="default" w:ascii="Times New Roman" w:hAnsi="Times New Roman" w:eastAsia="宋体" w:cs="Times New Roman"/>
                      <w:b w:val="0"/>
                      <w:bCs/>
                      <w:color w:val="auto"/>
                      <w:spacing w:val="0"/>
                      <w:sz w:val="21"/>
                      <w:szCs w:val="21"/>
                      <w:highlight w:val="none"/>
                    </w:rPr>
                    <w:t>关于昆明优竹商贸有限公司烟花爆竹存储仓库新建项目环境影响报告</w:t>
                  </w:r>
                  <w:r>
                    <w:rPr>
                      <w:rFonts w:hint="default" w:ascii="Times New Roman" w:hAnsi="Times New Roman" w:eastAsia="宋体" w:cs="Times New Roman"/>
                      <w:b w:val="0"/>
                      <w:bCs/>
                      <w:color w:val="auto"/>
                      <w:spacing w:val="0"/>
                      <w:sz w:val="21"/>
                      <w:szCs w:val="21"/>
                      <w:highlight w:val="none"/>
                      <w:lang w:val="en-US" w:eastAsia="zh-CN"/>
                    </w:rPr>
                    <w:t>表</w:t>
                  </w:r>
                  <w:r>
                    <w:rPr>
                      <w:rFonts w:hint="default" w:ascii="Times New Roman" w:hAnsi="Times New Roman" w:eastAsia="宋体" w:cs="Times New Roman"/>
                      <w:b w:val="0"/>
                      <w:bCs/>
                      <w:color w:val="auto"/>
                      <w:spacing w:val="0"/>
                      <w:sz w:val="21"/>
                      <w:szCs w:val="21"/>
                      <w:highlight w:val="none"/>
                    </w:rPr>
                    <w:t>》的批复，批复文号：</w:t>
                  </w:r>
                  <w:r>
                    <w:rPr>
                      <w:rFonts w:hint="default" w:ascii="Times New Roman" w:hAnsi="Times New Roman" w:eastAsia="宋体" w:cs="Times New Roman"/>
                      <w:b w:val="0"/>
                      <w:bCs/>
                      <w:color w:val="auto"/>
                      <w:spacing w:val="0"/>
                      <w:sz w:val="21"/>
                      <w:szCs w:val="21"/>
                      <w:highlight w:val="none"/>
                      <w:lang w:val="en-US" w:eastAsia="zh-CN"/>
                    </w:rPr>
                    <w:t>昆生</w:t>
                  </w:r>
                  <w:r>
                    <w:rPr>
                      <w:rFonts w:hint="default" w:ascii="Times New Roman" w:hAnsi="Times New Roman" w:eastAsia="宋体" w:cs="Times New Roman"/>
                      <w:b w:val="0"/>
                      <w:bCs/>
                      <w:color w:val="auto"/>
                      <w:spacing w:val="0"/>
                      <w:sz w:val="21"/>
                      <w:szCs w:val="21"/>
                      <w:highlight w:val="none"/>
                    </w:rPr>
                    <w:t>环</w:t>
                  </w:r>
                  <w:r>
                    <w:rPr>
                      <w:rFonts w:hint="eastAsia" w:ascii="Times New Roman" w:hAnsi="Times New Roman" w:eastAsia="宋体" w:cs="Times New Roman"/>
                      <w:b w:val="0"/>
                      <w:bCs/>
                      <w:color w:val="auto"/>
                      <w:spacing w:val="0"/>
                      <w:sz w:val="21"/>
                      <w:szCs w:val="21"/>
                      <w:highlight w:val="none"/>
                      <w:lang w:val="en-US" w:eastAsia="zh-CN"/>
                    </w:rPr>
                    <w:t>寻</w:t>
                  </w:r>
                  <w:r>
                    <w:rPr>
                      <w:rFonts w:hint="default" w:ascii="Times New Roman" w:hAnsi="Times New Roman" w:eastAsia="宋体" w:cs="Times New Roman"/>
                      <w:b w:val="0"/>
                      <w:bCs/>
                      <w:color w:val="auto"/>
                      <w:spacing w:val="0"/>
                      <w:sz w:val="21"/>
                      <w:szCs w:val="21"/>
                      <w:highlight w:val="none"/>
                    </w:rPr>
                    <w:t>[20</w:t>
                  </w:r>
                  <w:r>
                    <w:rPr>
                      <w:rFonts w:hint="default" w:ascii="Times New Roman" w:hAnsi="Times New Roman" w:eastAsia="宋体" w:cs="Times New Roman"/>
                      <w:b w:val="0"/>
                      <w:bCs/>
                      <w:color w:val="auto"/>
                      <w:spacing w:val="0"/>
                      <w:sz w:val="21"/>
                      <w:szCs w:val="21"/>
                      <w:highlight w:val="none"/>
                      <w:lang w:val="en-US" w:eastAsia="zh-CN"/>
                    </w:rPr>
                    <w:t>2</w:t>
                  </w:r>
                  <w:r>
                    <w:rPr>
                      <w:rFonts w:hint="eastAsia" w:ascii="Times New Roman" w:hAnsi="Times New Roman" w:eastAsia="宋体" w:cs="Times New Roman"/>
                      <w:b w:val="0"/>
                      <w:bCs/>
                      <w:color w:val="auto"/>
                      <w:spacing w:val="0"/>
                      <w:sz w:val="21"/>
                      <w:szCs w:val="21"/>
                      <w:highlight w:val="none"/>
                      <w:lang w:val="en-US" w:eastAsia="zh-CN"/>
                    </w:rPr>
                    <w:t>1</w:t>
                  </w:r>
                  <w:r>
                    <w:rPr>
                      <w:rFonts w:hint="default" w:ascii="Times New Roman" w:hAnsi="Times New Roman" w:eastAsia="宋体" w:cs="Times New Roman"/>
                      <w:b w:val="0"/>
                      <w:bCs/>
                      <w:color w:val="auto"/>
                      <w:spacing w:val="0"/>
                      <w:sz w:val="21"/>
                      <w:szCs w:val="21"/>
                      <w:highlight w:val="none"/>
                    </w:rPr>
                    <w:t>]</w:t>
                  </w:r>
                  <w:r>
                    <w:rPr>
                      <w:rFonts w:hint="eastAsia" w:ascii="Times New Roman" w:hAnsi="Times New Roman" w:eastAsia="宋体" w:cs="Times New Roman"/>
                      <w:b w:val="0"/>
                      <w:bCs/>
                      <w:color w:val="auto"/>
                      <w:spacing w:val="0"/>
                      <w:sz w:val="21"/>
                      <w:szCs w:val="21"/>
                      <w:highlight w:val="none"/>
                      <w:lang w:val="en-US" w:eastAsia="zh-CN"/>
                    </w:rPr>
                    <w:t>182</w:t>
                  </w:r>
                  <w:r>
                    <w:rPr>
                      <w:rFonts w:hint="default" w:ascii="Times New Roman" w:hAnsi="Times New Roman" w:eastAsia="宋体" w:cs="Times New Roman"/>
                      <w:b w:val="0"/>
                      <w:bCs/>
                      <w:color w:val="auto"/>
                      <w:spacing w:val="0"/>
                      <w:sz w:val="21"/>
                      <w:szCs w:val="21"/>
                      <w:highlight w:val="none"/>
                    </w:rPr>
                    <w:t>号。</w:t>
                  </w:r>
                  <w:r>
                    <w:rPr>
                      <w:rFonts w:hint="eastAsia" w:cs="Times New Roman"/>
                      <w:b w:val="0"/>
                      <w:bCs/>
                      <w:color w:val="auto"/>
                      <w:spacing w:val="0"/>
                      <w:sz w:val="21"/>
                      <w:szCs w:val="21"/>
                      <w:highlight w:val="none"/>
                      <w:lang w:eastAsia="zh-CN"/>
                    </w:rPr>
                    <w:t>（</w:t>
                  </w:r>
                  <w:r>
                    <w:rPr>
                      <w:rFonts w:hint="eastAsia" w:cs="Times New Roman"/>
                      <w:b w:val="0"/>
                      <w:bCs/>
                      <w:color w:val="auto"/>
                      <w:spacing w:val="0"/>
                      <w:sz w:val="21"/>
                      <w:szCs w:val="21"/>
                      <w:highlight w:val="none"/>
                      <w:lang w:val="en-US" w:eastAsia="zh-CN"/>
                    </w:rPr>
                    <w:t>附件19</w:t>
                  </w:r>
                  <w:r>
                    <w:rPr>
                      <w:rFonts w:hint="eastAsia" w:cs="Times New Roman"/>
                      <w:b w:val="0"/>
                      <w:bCs/>
                      <w:color w:val="auto"/>
                      <w:spacing w:val="0"/>
                      <w:sz w:val="21"/>
                      <w:szCs w:val="21"/>
                      <w:highlight w:val="none"/>
                      <w:lang w:eastAsia="zh-CN"/>
                    </w:rPr>
                    <w:t>）</w:t>
                  </w:r>
                </w:p>
              </w:tc>
            </w:tr>
            <w:tr w14:paraId="52C4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7850A581">
                  <w:pPr>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3</w:t>
                  </w:r>
                </w:p>
              </w:tc>
              <w:tc>
                <w:tcPr>
                  <w:tcW w:w="1752" w:type="dxa"/>
                  <w:noWrap w:val="0"/>
                  <w:vAlign w:val="center"/>
                </w:tcPr>
                <w:p w14:paraId="3F3A7CFC">
                  <w:pPr>
                    <w:jc w:val="center"/>
                    <w:rPr>
                      <w:rFonts w:hint="default" w:ascii="Times New Roman" w:hAnsi="Times New Roman" w:eastAsia="宋体" w:cs="Times New Roman"/>
                      <w:b w:val="0"/>
                      <w:bCs/>
                      <w:color w:val="auto"/>
                      <w:spacing w:val="0"/>
                      <w:sz w:val="21"/>
                      <w:szCs w:val="21"/>
                      <w:highlight w:val="none"/>
                    </w:rPr>
                  </w:pPr>
                  <w:r>
                    <w:rPr>
                      <w:rFonts w:hint="default" w:ascii="Times New Roman" w:hAnsi="Times New Roman" w:eastAsia="宋体" w:cs="Times New Roman"/>
                      <w:color w:val="auto"/>
                      <w:spacing w:val="0"/>
                      <w:sz w:val="21"/>
                      <w:szCs w:val="21"/>
                      <w:highlight w:val="none"/>
                    </w:rPr>
                    <w:t>昆明优竹商贸有限公司</w:t>
                  </w:r>
                </w:p>
              </w:tc>
              <w:tc>
                <w:tcPr>
                  <w:tcW w:w="1747" w:type="dxa"/>
                  <w:noWrap w:val="0"/>
                  <w:vAlign w:val="center"/>
                </w:tcPr>
                <w:p w14:paraId="72685938">
                  <w:pPr>
                    <w:jc w:val="center"/>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t>应急预案</w:t>
                  </w:r>
                </w:p>
              </w:tc>
              <w:tc>
                <w:tcPr>
                  <w:tcW w:w="3528" w:type="dxa"/>
                  <w:noWrap w:val="0"/>
                  <w:vAlign w:val="center"/>
                </w:tcPr>
                <w:p w14:paraId="28C19E1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2026年4月</w:t>
                  </w:r>
                  <w:r>
                    <w:rPr>
                      <w:b w:val="0"/>
                      <w:bCs/>
                      <w:color w:val="auto"/>
                      <w:sz w:val="21"/>
                      <w:szCs w:val="21"/>
                      <w:highlight w:val="none"/>
                    </w:rPr>
                    <w:t>编制了《</w:t>
                  </w:r>
                  <w:bookmarkStart w:id="36" w:name="OLE_LINK2"/>
                  <w:r>
                    <w:rPr>
                      <w:rFonts w:hint="eastAsia" w:ascii="Times New Roman" w:hAnsi="Times New Roman" w:eastAsia="宋体" w:cs="Times New Roman"/>
                      <w:b w:val="0"/>
                      <w:bCs/>
                      <w:color w:val="auto"/>
                      <w:sz w:val="21"/>
                      <w:szCs w:val="21"/>
                      <w:highlight w:val="none"/>
                      <w:lang w:val="en-US" w:eastAsia="zh-CN"/>
                    </w:rPr>
                    <w:t>昆明优竹商贸有限公司</w:t>
                  </w:r>
                  <w:bookmarkEnd w:id="36"/>
                  <w:r>
                    <w:rPr>
                      <w:rFonts w:hint="default" w:ascii="Times New Roman" w:hAnsi="Times New Roman" w:eastAsia="宋体" w:cs="Times New Roman"/>
                      <w:b w:val="0"/>
                      <w:bCs/>
                      <w:color w:val="auto"/>
                      <w:sz w:val="21"/>
                      <w:szCs w:val="21"/>
                      <w:highlight w:val="none"/>
                      <w:lang w:val="en-US" w:eastAsia="zh-CN"/>
                    </w:rPr>
                    <w:t>突发环境事件应急预案</w:t>
                  </w:r>
                  <w:r>
                    <w:rPr>
                      <w:rFonts w:hint="eastAsia" w:ascii="Times New Roman" w:hAnsi="Times New Roman" w:eastAsia="宋体" w:cs="Times New Roman"/>
                      <w:b w:val="0"/>
                      <w:bCs/>
                      <w:color w:val="auto"/>
                      <w:sz w:val="21"/>
                      <w:szCs w:val="21"/>
                      <w:highlight w:val="none"/>
                      <w:lang w:val="en-US" w:eastAsia="zh-CN"/>
                    </w:rPr>
                    <w:t>》，备案编号为530-129-2026-024-L。（附件</w:t>
                  </w:r>
                  <w:r>
                    <w:rPr>
                      <w:rFonts w:hint="eastAsia" w:cs="Times New Roman"/>
                      <w:b w:val="0"/>
                      <w:bCs/>
                      <w:color w:val="auto"/>
                      <w:sz w:val="21"/>
                      <w:szCs w:val="21"/>
                      <w:highlight w:val="none"/>
                      <w:lang w:val="en-US" w:eastAsia="zh-CN"/>
                    </w:rPr>
                    <w:t>20</w:t>
                  </w:r>
                  <w:r>
                    <w:rPr>
                      <w:rFonts w:hint="eastAsia" w:ascii="Times New Roman" w:hAnsi="Times New Roman" w:eastAsia="宋体" w:cs="Times New Roman"/>
                      <w:b w:val="0"/>
                      <w:bCs/>
                      <w:color w:val="auto"/>
                      <w:sz w:val="21"/>
                      <w:szCs w:val="21"/>
                      <w:highlight w:val="none"/>
                      <w:lang w:val="en-US" w:eastAsia="zh-CN"/>
                    </w:rPr>
                    <w:t>）</w:t>
                  </w:r>
                </w:p>
              </w:tc>
            </w:tr>
            <w:tr w14:paraId="59DB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7CDEB779">
                  <w:pPr>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4</w:t>
                  </w:r>
                </w:p>
              </w:tc>
              <w:tc>
                <w:tcPr>
                  <w:tcW w:w="1752" w:type="dxa"/>
                  <w:noWrap w:val="0"/>
                  <w:vAlign w:val="center"/>
                </w:tcPr>
                <w:p w14:paraId="64F7212E">
                  <w:pPr>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昆明优竹商贸有限公司</w:t>
                  </w:r>
                </w:p>
              </w:tc>
              <w:tc>
                <w:tcPr>
                  <w:tcW w:w="1747" w:type="dxa"/>
                  <w:noWrap w:val="0"/>
                  <w:vAlign w:val="center"/>
                </w:tcPr>
                <w:p w14:paraId="783298EB">
                  <w:pPr>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排污登记</w:t>
                  </w:r>
                </w:p>
              </w:tc>
              <w:tc>
                <w:tcPr>
                  <w:tcW w:w="3528" w:type="dxa"/>
                  <w:noWrap w:val="0"/>
                  <w:vAlign w:val="center"/>
                </w:tcPr>
                <w:p w14:paraId="40E0305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eastAsia="宋体"/>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2026年4月9日完成</w:t>
                  </w:r>
                  <w:r>
                    <w:rPr>
                      <w:rFonts w:hint="default" w:ascii="Times New Roman" w:hAnsi="Times New Roman" w:cs="Times New Roman"/>
                      <w:b w:val="0"/>
                      <w:bCs/>
                      <w:color w:val="auto"/>
                      <w:sz w:val="21"/>
                      <w:szCs w:val="21"/>
                      <w:highlight w:val="none"/>
                      <w:lang w:val="en-US" w:eastAsia="zh-CN"/>
                    </w:rPr>
                    <w:t>昆明优竹商贸有限公司</w:t>
                  </w:r>
                  <w:r>
                    <w:rPr>
                      <w:rFonts w:hint="eastAsia" w:ascii="Times New Roman" w:hAnsi="Times New Roman" w:cs="Times New Roman"/>
                      <w:b w:val="0"/>
                      <w:bCs/>
                      <w:color w:val="auto"/>
                      <w:sz w:val="21"/>
                      <w:szCs w:val="21"/>
                      <w:highlight w:val="none"/>
                      <w:lang w:val="en-US" w:eastAsia="zh-CN"/>
                    </w:rPr>
                    <w:t>排污登记，编号：91530129MA6K5LXW20001Y。</w:t>
                  </w:r>
                  <w:r>
                    <w:rPr>
                      <w:rFonts w:hint="eastAsia" w:ascii="Times New Roman" w:hAnsi="Times New Roman" w:eastAsia="宋体" w:cs="Times New Roman"/>
                      <w:b w:val="0"/>
                      <w:bCs/>
                      <w:color w:val="auto"/>
                      <w:sz w:val="21"/>
                      <w:szCs w:val="21"/>
                      <w:highlight w:val="none"/>
                      <w:lang w:val="en-US" w:eastAsia="zh-CN"/>
                    </w:rPr>
                    <w:t>（附件</w:t>
                  </w:r>
                  <w:r>
                    <w:rPr>
                      <w:rFonts w:hint="eastAsia" w:cs="Times New Roman"/>
                      <w:b w:val="0"/>
                      <w:bCs/>
                      <w:color w:val="auto"/>
                      <w:sz w:val="21"/>
                      <w:szCs w:val="21"/>
                      <w:highlight w:val="none"/>
                      <w:lang w:val="en-US" w:eastAsia="zh-CN"/>
                    </w:rPr>
                    <w:t>18</w:t>
                  </w:r>
                  <w:r>
                    <w:rPr>
                      <w:rFonts w:hint="eastAsia" w:ascii="Times New Roman" w:hAnsi="Times New Roman" w:eastAsia="宋体" w:cs="Times New Roman"/>
                      <w:b w:val="0"/>
                      <w:bCs/>
                      <w:color w:val="auto"/>
                      <w:sz w:val="21"/>
                      <w:szCs w:val="21"/>
                      <w:highlight w:val="none"/>
                      <w:lang w:val="en-US" w:eastAsia="zh-CN"/>
                    </w:rPr>
                    <w:t>）</w:t>
                  </w:r>
                </w:p>
              </w:tc>
            </w:tr>
            <w:tr w14:paraId="602C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1FBD25FD">
                  <w:pPr>
                    <w:jc w:val="center"/>
                    <w:rPr>
                      <w:rFonts w:hint="eastAsia" w:eastAsia="宋体"/>
                      <w:color w:val="auto"/>
                      <w:szCs w:val="21"/>
                      <w:highlight w:val="none"/>
                      <w:lang w:eastAsia="zh-CN"/>
                    </w:rPr>
                  </w:pPr>
                  <w:r>
                    <w:rPr>
                      <w:rFonts w:hint="eastAsia"/>
                      <w:color w:val="auto"/>
                      <w:szCs w:val="21"/>
                      <w:highlight w:val="none"/>
                      <w:lang w:val="en-US" w:eastAsia="zh-CN"/>
                    </w:rPr>
                    <w:t>5</w:t>
                  </w:r>
                </w:p>
              </w:tc>
              <w:tc>
                <w:tcPr>
                  <w:tcW w:w="1752" w:type="dxa"/>
                  <w:noWrap w:val="0"/>
                  <w:vAlign w:val="center"/>
                </w:tcPr>
                <w:p w14:paraId="7D225E02">
                  <w:pPr>
                    <w:jc w:val="center"/>
                    <w:rPr>
                      <w:color w:val="auto"/>
                      <w:sz w:val="21"/>
                      <w:szCs w:val="21"/>
                      <w:highlight w:val="none"/>
                    </w:rPr>
                  </w:pPr>
                  <w:r>
                    <w:rPr>
                      <w:rFonts w:hint="default" w:ascii="Times New Roman" w:hAnsi="Times New Roman" w:eastAsia="宋体" w:cs="Times New Roman"/>
                      <w:color w:val="auto"/>
                      <w:spacing w:val="0"/>
                      <w:sz w:val="21"/>
                      <w:szCs w:val="21"/>
                      <w:highlight w:val="none"/>
                    </w:rPr>
                    <w:t>昆明优竹商贸有限公司</w:t>
                  </w:r>
                </w:p>
              </w:tc>
              <w:tc>
                <w:tcPr>
                  <w:tcW w:w="1747" w:type="dxa"/>
                  <w:noWrap w:val="0"/>
                  <w:vAlign w:val="center"/>
                </w:tcPr>
                <w:p w14:paraId="21634C9B">
                  <w:pPr>
                    <w:jc w:val="center"/>
                    <w:rPr>
                      <w:color w:val="auto"/>
                      <w:sz w:val="21"/>
                      <w:szCs w:val="21"/>
                      <w:highlight w:val="none"/>
                    </w:rPr>
                  </w:pPr>
                  <w:r>
                    <w:rPr>
                      <w:rFonts w:hint="eastAsia"/>
                      <w:color w:val="auto"/>
                      <w:sz w:val="21"/>
                      <w:szCs w:val="21"/>
                      <w:highlight w:val="none"/>
                      <w:lang w:val="en-US" w:eastAsia="zh-CN"/>
                    </w:rPr>
                    <w:t>竣工</w:t>
                  </w:r>
                  <w:r>
                    <w:rPr>
                      <w:color w:val="auto"/>
                      <w:sz w:val="21"/>
                      <w:szCs w:val="21"/>
                      <w:highlight w:val="none"/>
                    </w:rPr>
                    <w:t>验收</w:t>
                  </w:r>
                </w:p>
              </w:tc>
              <w:tc>
                <w:tcPr>
                  <w:tcW w:w="3528" w:type="dxa"/>
                  <w:noWrap w:val="0"/>
                  <w:vAlign w:val="center"/>
                </w:tcPr>
                <w:p w14:paraId="1B9FAC41">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2026年4月</w:t>
                  </w:r>
                  <w:r>
                    <w:rPr>
                      <w:b w:val="0"/>
                      <w:bCs/>
                      <w:color w:val="auto"/>
                      <w:sz w:val="21"/>
                      <w:szCs w:val="21"/>
                      <w:highlight w:val="none"/>
                    </w:rPr>
                    <w:t>编制了《</w:t>
                  </w:r>
                  <w:r>
                    <w:rPr>
                      <w:rFonts w:hint="default" w:ascii="Times New Roman" w:hAnsi="Times New Roman" w:eastAsia="宋体" w:cs="Times New Roman"/>
                      <w:b w:val="0"/>
                      <w:bCs/>
                      <w:color w:val="auto"/>
                      <w:spacing w:val="0"/>
                      <w:sz w:val="21"/>
                      <w:szCs w:val="21"/>
                      <w:highlight w:val="none"/>
                    </w:rPr>
                    <w:t>昆明优竹商贸有限公司烟花爆竹存储仓库新建项目</w:t>
                  </w:r>
                  <w:r>
                    <w:rPr>
                      <w:rFonts w:hint="default" w:ascii="Times New Roman" w:hAnsi="Times New Roman" w:eastAsia="宋体" w:cs="Times New Roman"/>
                      <w:b w:val="0"/>
                      <w:bCs w:val="0"/>
                      <w:color w:val="auto"/>
                      <w:sz w:val="21"/>
                      <w:szCs w:val="21"/>
                      <w:highlight w:val="none"/>
                    </w:rPr>
                    <w:t>竣工环保验收报告</w:t>
                  </w:r>
                  <w:r>
                    <w:rPr>
                      <w:b w:val="0"/>
                      <w:bCs/>
                      <w:color w:val="auto"/>
                      <w:sz w:val="21"/>
                      <w:szCs w:val="21"/>
                      <w:highlight w:val="none"/>
                    </w:rPr>
                    <w:t>》</w:t>
                  </w:r>
                  <w:r>
                    <w:rPr>
                      <w:rFonts w:hint="default" w:ascii="Times New Roman" w:hAnsi="Times New Roman" w:eastAsia="宋体" w:cs="Times New Roman"/>
                      <w:b w:val="0"/>
                      <w:bCs w:val="0"/>
                      <w:color w:val="auto"/>
                      <w:sz w:val="21"/>
                      <w:szCs w:val="21"/>
                      <w:highlight w:val="none"/>
                    </w:rPr>
                    <w:t>并于20</w:t>
                  </w:r>
                  <w:r>
                    <w:rPr>
                      <w:rFonts w:hint="eastAsia" w:eastAsia="宋体" w:cs="Times New Roman"/>
                      <w:b w:val="0"/>
                      <w:bCs w:val="0"/>
                      <w:color w:val="auto"/>
                      <w:sz w:val="21"/>
                      <w:szCs w:val="21"/>
                      <w:highlight w:val="none"/>
                      <w:lang w:val="en-US" w:eastAsia="zh-CN"/>
                    </w:rPr>
                    <w:t>26</w:t>
                  </w:r>
                  <w:r>
                    <w:rPr>
                      <w:rFonts w:hint="default" w:ascii="Times New Roman" w:hAnsi="Times New Roman" w:eastAsia="宋体" w:cs="Times New Roman"/>
                      <w:b w:val="0"/>
                      <w:bCs w:val="0"/>
                      <w:color w:val="auto"/>
                      <w:sz w:val="21"/>
                      <w:szCs w:val="21"/>
                      <w:highlight w:val="none"/>
                    </w:rPr>
                    <w:t>年</w:t>
                  </w:r>
                  <w:r>
                    <w:rPr>
                      <w:rFonts w:hint="eastAsia"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月</w:t>
                  </w:r>
                  <w:r>
                    <w:rPr>
                      <w:rFonts w:hint="eastAsia" w:eastAsia="宋体" w:cs="Times New Roman"/>
                      <w:b w:val="0"/>
                      <w:bCs w:val="0"/>
                      <w:color w:val="auto"/>
                      <w:sz w:val="21"/>
                      <w:szCs w:val="21"/>
                      <w:highlight w:val="none"/>
                      <w:lang w:val="en-US" w:eastAsia="zh-CN"/>
                    </w:rPr>
                    <w:t>25</w:t>
                  </w:r>
                  <w:r>
                    <w:rPr>
                      <w:rFonts w:hint="default" w:ascii="Times New Roman" w:hAnsi="Times New Roman" w:eastAsia="宋体" w:cs="Times New Roman"/>
                      <w:b w:val="0"/>
                      <w:bCs w:val="0"/>
                      <w:color w:val="auto"/>
                      <w:sz w:val="21"/>
                      <w:szCs w:val="21"/>
                      <w:highlight w:val="none"/>
                    </w:rPr>
                    <w:t>日出具了自主验收意见；</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附件2</w:t>
                  </w:r>
                  <w:r>
                    <w:rPr>
                      <w:rFonts w:hint="eastAsia"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eastAsia="zh-CN"/>
                    </w:rPr>
                    <w:t>）</w:t>
                  </w:r>
                </w:p>
              </w:tc>
            </w:tr>
          </w:tbl>
          <w:p w14:paraId="4AF2069A">
            <w:pPr>
              <w:spacing w:line="360" w:lineRule="auto"/>
              <w:ind w:left="105" w:leftChars="50" w:right="105" w:rightChars="50" w:firstLine="482" w:firstLineChars="200"/>
              <w:rPr>
                <w:b/>
                <w:color w:val="auto"/>
                <w:sz w:val="24"/>
                <w:szCs w:val="24"/>
                <w:highlight w:val="none"/>
              </w:rPr>
            </w:pPr>
            <w:r>
              <w:rPr>
                <w:b/>
                <w:color w:val="auto"/>
                <w:sz w:val="24"/>
                <w:szCs w:val="24"/>
                <w:highlight w:val="none"/>
              </w:rPr>
              <w:t>3、现有项目建设内容及规模</w:t>
            </w:r>
          </w:p>
          <w:p w14:paraId="5B1BC38B">
            <w:pPr>
              <w:spacing w:line="360" w:lineRule="auto"/>
              <w:ind w:left="105" w:leftChars="50" w:right="105" w:rightChars="50" w:firstLine="480" w:firstLineChars="200"/>
              <w:rPr>
                <w:color w:val="auto"/>
                <w:sz w:val="24"/>
                <w:szCs w:val="24"/>
                <w:highlight w:val="none"/>
              </w:rPr>
            </w:pPr>
            <w:r>
              <w:rPr>
                <w:color w:val="auto"/>
                <w:sz w:val="24"/>
                <w:szCs w:val="24"/>
                <w:highlight w:val="none"/>
              </w:rPr>
              <w:t>现有项目主要建设内容见表2-</w:t>
            </w:r>
            <w:r>
              <w:rPr>
                <w:rFonts w:hint="eastAsia"/>
                <w:color w:val="auto"/>
                <w:sz w:val="24"/>
                <w:szCs w:val="24"/>
                <w:highlight w:val="none"/>
                <w:lang w:val="en-US" w:eastAsia="zh-CN"/>
              </w:rPr>
              <w:t>12</w:t>
            </w:r>
            <w:r>
              <w:rPr>
                <w:color w:val="auto"/>
                <w:sz w:val="24"/>
                <w:szCs w:val="24"/>
                <w:highlight w:val="none"/>
              </w:rPr>
              <w:t>。</w:t>
            </w:r>
          </w:p>
          <w:p w14:paraId="13F4F22D">
            <w:pPr>
              <w:pStyle w:val="61"/>
              <w:spacing w:before="0" w:after="0" w:line="240" w:lineRule="auto"/>
              <w:ind w:left="105" w:leftChars="50" w:right="105" w:rightChars="50"/>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color w:val="auto"/>
                <w:sz w:val="21"/>
                <w:szCs w:val="21"/>
                <w:highlight w:val="none"/>
              </w:rPr>
              <w:t>表2-</w:t>
            </w:r>
            <w:r>
              <w:rPr>
                <w:rFonts w:hint="eastAsia" w:ascii="Times New Roman" w:hAnsi="Times New Roman" w:eastAsia="宋体" w:cs="Times New Roman"/>
                <w:b/>
                <w:color w:val="auto"/>
                <w:sz w:val="21"/>
                <w:szCs w:val="21"/>
                <w:highlight w:val="none"/>
                <w:lang w:val="en-US" w:eastAsia="zh-CN"/>
              </w:rPr>
              <w:t>12</w:t>
            </w:r>
            <w:r>
              <w:rPr>
                <w:rFonts w:ascii="Times New Roman" w:hAnsi="Times New Roman" w:eastAsia="宋体" w:cs="Times New Roman"/>
                <w:b/>
                <w:color w:val="auto"/>
                <w:sz w:val="21"/>
                <w:szCs w:val="21"/>
                <w:highlight w:val="none"/>
              </w:rPr>
              <w:t xml:space="preserve">  现有建设项目建设</w:t>
            </w:r>
            <w:r>
              <w:rPr>
                <w:rFonts w:ascii="Times New Roman" w:hAnsi="Times New Roman" w:eastAsia="宋体" w:cs="Times New Roman"/>
                <w:b/>
                <w:bCs/>
                <w:color w:val="auto"/>
                <w:sz w:val="21"/>
                <w:szCs w:val="21"/>
                <w:highlight w:val="none"/>
              </w:rPr>
              <w:t>内容一览表</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661"/>
              <w:gridCol w:w="605"/>
              <w:gridCol w:w="1007"/>
              <w:gridCol w:w="5120"/>
            </w:tblGrid>
            <w:tr w14:paraId="4022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0" w:type="pct"/>
                  <w:vAlign w:val="center"/>
                </w:tcPr>
                <w:p w14:paraId="26E303EF">
                  <w:pPr>
                    <w:jc w:val="center"/>
                    <w:rPr>
                      <w:b/>
                      <w:bCs/>
                      <w:color w:val="auto"/>
                      <w:szCs w:val="21"/>
                      <w:highlight w:val="none"/>
                    </w:rPr>
                  </w:pPr>
                  <w:r>
                    <w:rPr>
                      <w:b/>
                      <w:bCs/>
                      <w:color w:val="auto"/>
                      <w:szCs w:val="21"/>
                      <w:highlight w:val="none"/>
                    </w:rPr>
                    <w:t>序号</w:t>
                  </w:r>
                </w:p>
              </w:tc>
              <w:tc>
                <w:tcPr>
                  <w:tcW w:w="810" w:type="pct"/>
                  <w:gridSpan w:val="2"/>
                  <w:vAlign w:val="center"/>
                </w:tcPr>
                <w:p w14:paraId="77593BAA">
                  <w:pPr>
                    <w:jc w:val="center"/>
                    <w:rPr>
                      <w:b/>
                      <w:bCs/>
                      <w:color w:val="auto"/>
                      <w:szCs w:val="21"/>
                      <w:highlight w:val="none"/>
                    </w:rPr>
                  </w:pPr>
                  <w:r>
                    <w:rPr>
                      <w:b/>
                      <w:bCs/>
                      <w:color w:val="auto"/>
                      <w:szCs w:val="21"/>
                      <w:highlight w:val="none"/>
                    </w:rPr>
                    <w:t>工程内容</w:t>
                  </w:r>
                </w:p>
              </w:tc>
              <w:tc>
                <w:tcPr>
                  <w:tcW w:w="644" w:type="pct"/>
                  <w:vAlign w:val="center"/>
                </w:tcPr>
                <w:p w14:paraId="287A34C8">
                  <w:pPr>
                    <w:jc w:val="center"/>
                    <w:rPr>
                      <w:b/>
                      <w:bCs/>
                      <w:color w:val="auto"/>
                      <w:szCs w:val="21"/>
                      <w:highlight w:val="none"/>
                    </w:rPr>
                  </w:pPr>
                  <w:r>
                    <w:rPr>
                      <w:b/>
                      <w:bCs/>
                      <w:color w:val="auto"/>
                      <w:szCs w:val="21"/>
                      <w:highlight w:val="none"/>
                    </w:rPr>
                    <w:t>工程名称</w:t>
                  </w:r>
                </w:p>
              </w:tc>
              <w:tc>
                <w:tcPr>
                  <w:tcW w:w="3275" w:type="pct"/>
                  <w:vAlign w:val="center"/>
                </w:tcPr>
                <w:p w14:paraId="55A59A1B">
                  <w:pPr>
                    <w:jc w:val="center"/>
                    <w:rPr>
                      <w:b/>
                      <w:bCs/>
                      <w:color w:val="auto"/>
                      <w:szCs w:val="21"/>
                      <w:highlight w:val="none"/>
                    </w:rPr>
                  </w:pPr>
                  <w:r>
                    <w:rPr>
                      <w:b/>
                      <w:bCs/>
                      <w:color w:val="auto"/>
                      <w:szCs w:val="21"/>
                      <w:highlight w:val="none"/>
                    </w:rPr>
                    <w:t>建设规模</w:t>
                  </w:r>
                </w:p>
              </w:tc>
            </w:tr>
            <w:tr w14:paraId="15D7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270" w:type="pct"/>
                  <w:vMerge w:val="restart"/>
                  <w:vAlign w:val="center"/>
                </w:tcPr>
                <w:p w14:paraId="5F413F65">
                  <w:pPr>
                    <w:jc w:val="center"/>
                    <w:rPr>
                      <w:color w:val="auto"/>
                      <w:szCs w:val="21"/>
                      <w:highlight w:val="none"/>
                    </w:rPr>
                  </w:pPr>
                  <w:r>
                    <w:rPr>
                      <w:color w:val="auto"/>
                      <w:szCs w:val="21"/>
                      <w:highlight w:val="none"/>
                    </w:rPr>
                    <w:t>1</w:t>
                  </w:r>
                </w:p>
              </w:tc>
              <w:tc>
                <w:tcPr>
                  <w:tcW w:w="810" w:type="pct"/>
                  <w:gridSpan w:val="2"/>
                  <w:vMerge w:val="restart"/>
                  <w:vAlign w:val="center"/>
                </w:tcPr>
                <w:p w14:paraId="3AB0D9EB">
                  <w:pPr>
                    <w:jc w:val="center"/>
                    <w:rPr>
                      <w:color w:val="auto"/>
                      <w:szCs w:val="21"/>
                      <w:highlight w:val="none"/>
                    </w:rPr>
                  </w:pPr>
                  <w:r>
                    <w:rPr>
                      <w:color w:val="auto"/>
                      <w:szCs w:val="21"/>
                      <w:highlight w:val="none"/>
                    </w:rPr>
                    <w:t>主体工程</w:t>
                  </w:r>
                </w:p>
              </w:tc>
              <w:tc>
                <w:tcPr>
                  <w:tcW w:w="644" w:type="pct"/>
                  <w:vAlign w:val="center"/>
                </w:tcPr>
                <w:p w14:paraId="646D26A9">
                  <w:pPr>
                    <w:jc w:val="center"/>
                    <w:rPr>
                      <w:color w:val="auto"/>
                      <w:szCs w:val="21"/>
                      <w:highlight w:val="none"/>
                    </w:rPr>
                  </w:pPr>
                  <w:r>
                    <w:rPr>
                      <w:color w:val="auto"/>
                      <w:szCs w:val="21"/>
                      <w:highlight w:val="none"/>
                    </w:rPr>
                    <w:t>烟花爆竹存储仓库</w:t>
                  </w:r>
                </w:p>
              </w:tc>
              <w:tc>
                <w:tcPr>
                  <w:tcW w:w="3275" w:type="pct"/>
                  <w:vAlign w:val="center"/>
                </w:tcPr>
                <w:p w14:paraId="75751B03">
                  <w:pPr>
                    <w:jc w:val="center"/>
                    <w:rPr>
                      <w:color w:val="auto"/>
                      <w:szCs w:val="21"/>
                      <w:highlight w:val="none"/>
                    </w:rPr>
                  </w:pPr>
                  <w:r>
                    <w:rPr>
                      <w:color w:val="auto"/>
                      <w:szCs w:val="21"/>
                      <w:highlight w:val="none"/>
                    </w:rPr>
                    <w:t>项目共建设1层高度为6m的三个烟花爆竹存</w:t>
                  </w:r>
                  <w:r>
                    <w:rPr>
                      <w:color w:val="auto"/>
                      <w:szCs w:val="21"/>
                      <w:highlight w:val="none"/>
                      <w:lang w:val="zh-CN"/>
                    </w:rPr>
                    <w:t>储</w:t>
                  </w:r>
                  <w:r>
                    <w:rPr>
                      <w:color w:val="auto"/>
                      <w:szCs w:val="21"/>
                      <w:highlight w:val="none"/>
                    </w:rPr>
                    <w:t>仓库，位于地块一，地块一总占地面积9851.21m</w:t>
                  </w:r>
                  <w:r>
                    <w:rPr>
                      <w:color w:val="auto"/>
                      <w:szCs w:val="21"/>
                      <w:highlight w:val="none"/>
                      <w:vertAlign w:val="superscript"/>
                    </w:rPr>
                    <w:t>2</w:t>
                  </w:r>
                  <w:r>
                    <w:rPr>
                      <w:color w:val="auto"/>
                      <w:szCs w:val="21"/>
                      <w:highlight w:val="none"/>
                    </w:rPr>
                    <w:t>，其中①烟花爆竹成品库</w:t>
                  </w:r>
                  <w:r>
                    <w:rPr>
                      <w:rFonts w:hint="eastAsia"/>
                      <w:color w:val="auto"/>
                      <w:szCs w:val="21"/>
                      <w:highlight w:val="none"/>
                    </w:rPr>
                    <w:t>用于存储烟花类</w:t>
                  </w:r>
                  <w:r>
                    <w:rPr>
                      <w:color w:val="auto"/>
                      <w:szCs w:val="21"/>
                      <w:highlight w:val="none"/>
                    </w:rPr>
                    <w:t>位于库区最北侧，建筑面积为989.34m</w:t>
                  </w:r>
                  <w:r>
                    <w:rPr>
                      <w:color w:val="auto"/>
                      <w:szCs w:val="21"/>
                      <w:highlight w:val="none"/>
                      <w:vertAlign w:val="superscript"/>
                    </w:rPr>
                    <w:t>2</w:t>
                  </w:r>
                  <w:r>
                    <w:rPr>
                      <w:color w:val="auto"/>
                      <w:szCs w:val="21"/>
                      <w:highlight w:val="none"/>
                    </w:rPr>
                    <w:t>；②烟花爆竹成品库</w:t>
                  </w:r>
                  <w:r>
                    <w:rPr>
                      <w:rFonts w:hint="eastAsia"/>
                      <w:color w:val="auto"/>
                      <w:szCs w:val="21"/>
                      <w:highlight w:val="none"/>
                    </w:rPr>
                    <w:t>用于存储火炮类</w:t>
                  </w:r>
                  <w:r>
                    <w:rPr>
                      <w:color w:val="auto"/>
                      <w:szCs w:val="21"/>
                      <w:highlight w:val="none"/>
                    </w:rPr>
                    <w:t>位于库区西侧，建筑面积为989.34m</w:t>
                  </w:r>
                  <w:r>
                    <w:rPr>
                      <w:color w:val="auto"/>
                      <w:szCs w:val="21"/>
                      <w:highlight w:val="none"/>
                      <w:vertAlign w:val="superscript"/>
                    </w:rPr>
                    <w:t>2</w:t>
                  </w:r>
                  <w:r>
                    <w:rPr>
                      <w:color w:val="auto"/>
                      <w:szCs w:val="21"/>
                      <w:highlight w:val="none"/>
                    </w:rPr>
                    <w:t>；③烟花爆竹成品库</w:t>
                  </w:r>
                  <w:r>
                    <w:rPr>
                      <w:rFonts w:hint="eastAsia"/>
                      <w:color w:val="auto"/>
                      <w:szCs w:val="21"/>
                      <w:highlight w:val="none"/>
                    </w:rPr>
                    <w:t>用于存储小产品类</w:t>
                  </w:r>
                  <w:r>
                    <w:rPr>
                      <w:color w:val="auto"/>
                      <w:szCs w:val="21"/>
                      <w:highlight w:val="none"/>
                    </w:rPr>
                    <w:t>位于库区东侧，建筑面积为989.34m</w:t>
                  </w:r>
                  <w:r>
                    <w:rPr>
                      <w:color w:val="auto"/>
                      <w:szCs w:val="21"/>
                      <w:highlight w:val="none"/>
                      <w:vertAlign w:val="superscript"/>
                    </w:rPr>
                    <w:t>2</w:t>
                  </w:r>
                  <w:r>
                    <w:rPr>
                      <w:color w:val="auto"/>
                      <w:szCs w:val="21"/>
                      <w:highlight w:val="none"/>
                    </w:rPr>
                    <w:t>，每栋存储药量不大于20000kg。采用地上框架结构</w:t>
                  </w:r>
                </w:p>
              </w:tc>
            </w:tr>
            <w:tr w14:paraId="1E89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0" w:type="pct"/>
                  <w:vMerge w:val="continue"/>
                  <w:vAlign w:val="center"/>
                </w:tcPr>
                <w:p w14:paraId="31AC1F8D">
                  <w:pPr>
                    <w:jc w:val="center"/>
                    <w:rPr>
                      <w:color w:val="auto"/>
                      <w:szCs w:val="21"/>
                      <w:highlight w:val="none"/>
                    </w:rPr>
                  </w:pPr>
                </w:p>
              </w:tc>
              <w:tc>
                <w:tcPr>
                  <w:tcW w:w="810" w:type="pct"/>
                  <w:gridSpan w:val="2"/>
                  <w:vMerge w:val="continue"/>
                  <w:vAlign w:val="center"/>
                </w:tcPr>
                <w:p w14:paraId="5EF0DB9A">
                  <w:pPr>
                    <w:jc w:val="center"/>
                    <w:rPr>
                      <w:color w:val="auto"/>
                      <w:szCs w:val="21"/>
                      <w:highlight w:val="none"/>
                    </w:rPr>
                  </w:pPr>
                </w:p>
              </w:tc>
              <w:tc>
                <w:tcPr>
                  <w:tcW w:w="644" w:type="pct"/>
                  <w:vAlign w:val="center"/>
                </w:tcPr>
                <w:p w14:paraId="4230F616">
                  <w:pPr>
                    <w:jc w:val="center"/>
                    <w:rPr>
                      <w:color w:val="auto"/>
                      <w:szCs w:val="21"/>
                      <w:highlight w:val="none"/>
                    </w:rPr>
                  </w:pPr>
                  <w:r>
                    <w:rPr>
                      <w:color w:val="auto"/>
                      <w:szCs w:val="21"/>
                      <w:highlight w:val="none"/>
                    </w:rPr>
                    <w:t>卸货区兼消防回车场</w:t>
                  </w:r>
                </w:p>
              </w:tc>
              <w:tc>
                <w:tcPr>
                  <w:tcW w:w="3275" w:type="pct"/>
                  <w:vAlign w:val="center"/>
                </w:tcPr>
                <w:p w14:paraId="7449F70B">
                  <w:pPr>
                    <w:jc w:val="center"/>
                    <w:rPr>
                      <w:color w:val="auto"/>
                      <w:szCs w:val="21"/>
                      <w:highlight w:val="none"/>
                    </w:rPr>
                  </w:pPr>
                  <w:r>
                    <w:rPr>
                      <w:color w:val="auto"/>
                      <w:szCs w:val="21"/>
                      <w:highlight w:val="none"/>
                    </w:rPr>
                    <w:t>项目区地块一①②③号烟花爆竹成品库中间位置全部作为卸货区兼消防回车场，占地面积约为5628.51m</w:t>
                  </w:r>
                  <w:r>
                    <w:rPr>
                      <w:color w:val="auto"/>
                      <w:szCs w:val="21"/>
                      <w:highlight w:val="none"/>
                      <w:vertAlign w:val="superscript"/>
                    </w:rPr>
                    <w:t>2</w:t>
                  </w:r>
                </w:p>
              </w:tc>
            </w:tr>
            <w:tr w14:paraId="4FBE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70" w:type="pct"/>
                  <w:vMerge w:val="restart"/>
                  <w:vAlign w:val="center"/>
                </w:tcPr>
                <w:p w14:paraId="6E4E1412">
                  <w:pPr>
                    <w:jc w:val="center"/>
                    <w:rPr>
                      <w:color w:val="auto"/>
                      <w:szCs w:val="21"/>
                      <w:highlight w:val="none"/>
                    </w:rPr>
                  </w:pPr>
                  <w:r>
                    <w:rPr>
                      <w:color w:val="auto"/>
                      <w:szCs w:val="21"/>
                      <w:highlight w:val="none"/>
                    </w:rPr>
                    <w:t>2</w:t>
                  </w:r>
                </w:p>
              </w:tc>
              <w:tc>
                <w:tcPr>
                  <w:tcW w:w="810" w:type="pct"/>
                  <w:gridSpan w:val="2"/>
                  <w:vMerge w:val="restart"/>
                  <w:vAlign w:val="center"/>
                </w:tcPr>
                <w:p w14:paraId="61AB43B6">
                  <w:pPr>
                    <w:jc w:val="center"/>
                    <w:rPr>
                      <w:color w:val="auto"/>
                      <w:szCs w:val="21"/>
                      <w:highlight w:val="none"/>
                    </w:rPr>
                  </w:pPr>
                  <w:r>
                    <w:rPr>
                      <w:color w:val="auto"/>
                      <w:szCs w:val="21"/>
                      <w:highlight w:val="none"/>
                    </w:rPr>
                    <w:t>辅助工程</w:t>
                  </w:r>
                </w:p>
              </w:tc>
              <w:tc>
                <w:tcPr>
                  <w:tcW w:w="644" w:type="pct"/>
                  <w:vAlign w:val="center"/>
                </w:tcPr>
                <w:p w14:paraId="2008A9A9">
                  <w:pPr>
                    <w:jc w:val="center"/>
                    <w:rPr>
                      <w:color w:val="auto"/>
                      <w:szCs w:val="21"/>
                      <w:highlight w:val="none"/>
                    </w:rPr>
                  </w:pPr>
                  <w:r>
                    <w:rPr>
                      <w:color w:val="auto"/>
                      <w:szCs w:val="21"/>
                      <w:highlight w:val="none"/>
                    </w:rPr>
                    <w:t>值班室</w:t>
                  </w:r>
                </w:p>
              </w:tc>
              <w:tc>
                <w:tcPr>
                  <w:tcW w:w="3275" w:type="pct"/>
                  <w:vAlign w:val="center"/>
                </w:tcPr>
                <w:p w14:paraId="48EA5A7D">
                  <w:pPr>
                    <w:jc w:val="center"/>
                    <w:rPr>
                      <w:color w:val="auto"/>
                      <w:szCs w:val="21"/>
                      <w:highlight w:val="none"/>
                    </w:rPr>
                  </w:pPr>
                  <w:r>
                    <w:rPr>
                      <w:color w:val="auto"/>
                      <w:szCs w:val="21"/>
                      <w:highlight w:val="none"/>
                    </w:rPr>
                    <w:t>位于地块二西侧，采用砖混结构，建筑地上3层高度为10.2m，面积约为461.58m</w:t>
                  </w:r>
                  <w:r>
                    <w:rPr>
                      <w:color w:val="auto"/>
                      <w:szCs w:val="21"/>
                      <w:highlight w:val="none"/>
                      <w:vertAlign w:val="superscript"/>
                    </w:rPr>
                    <w:t>2</w:t>
                  </w:r>
                  <w:r>
                    <w:rPr>
                      <w:rFonts w:hint="eastAsia"/>
                      <w:color w:val="auto"/>
                      <w:szCs w:val="21"/>
                      <w:highlight w:val="none"/>
                    </w:rPr>
                    <w:t>，用于值班人员值班</w:t>
                  </w:r>
                </w:p>
              </w:tc>
            </w:tr>
            <w:tr w14:paraId="1300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70" w:type="pct"/>
                  <w:vMerge w:val="continue"/>
                  <w:vAlign w:val="center"/>
                </w:tcPr>
                <w:p w14:paraId="006D9427">
                  <w:pPr>
                    <w:jc w:val="center"/>
                    <w:rPr>
                      <w:color w:val="auto"/>
                      <w:szCs w:val="21"/>
                      <w:highlight w:val="none"/>
                    </w:rPr>
                  </w:pPr>
                </w:p>
              </w:tc>
              <w:tc>
                <w:tcPr>
                  <w:tcW w:w="810" w:type="pct"/>
                  <w:gridSpan w:val="2"/>
                  <w:vMerge w:val="continue"/>
                  <w:vAlign w:val="center"/>
                </w:tcPr>
                <w:p w14:paraId="1B19269E">
                  <w:pPr>
                    <w:jc w:val="center"/>
                    <w:rPr>
                      <w:color w:val="auto"/>
                      <w:szCs w:val="21"/>
                      <w:highlight w:val="none"/>
                    </w:rPr>
                  </w:pPr>
                </w:p>
              </w:tc>
              <w:tc>
                <w:tcPr>
                  <w:tcW w:w="644" w:type="pct"/>
                  <w:vAlign w:val="center"/>
                </w:tcPr>
                <w:p w14:paraId="4E27700A">
                  <w:pPr>
                    <w:jc w:val="center"/>
                    <w:rPr>
                      <w:color w:val="auto"/>
                      <w:szCs w:val="21"/>
                      <w:highlight w:val="none"/>
                    </w:rPr>
                  </w:pPr>
                  <w:r>
                    <w:rPr>
                      <w:color w:val="auto"/>
                      <w:szCs w:val="21"/>
                      <w:highlight w:val="none"/>
                    </w:rPr>
                    <w:t>值班宿舍</w:t>
                  </w:r>
                </w:p>
              </w:tc>
              <w:tc>
                <w:tcPr>
                  <w:tcW w:w="3275" w:type="pct"/>
                  <w:vAlign w:val="center"/>
                </w:tcPr>
                <w:p w14:paraId="30512F9B">
                  <w:pPr>
                    <w:jc w:val="center"/>
                    <w:rPr>
                      <w:color w:val="auto"/>
                      <w:szCs w:val="21"/>
                      <w:highlight w:val="none"/>
                    </w:rPr>
                  </w:pPr>
                  <w:r>
                    <w:rPr>
                      <w:color w:val="auto"/>
                      <w:szCs w:val="21"/>
                      <w:highlight w:val="none"/>
                    </w:rPr>
                    <w:t>位于地块二西侧，采用砖混结构，建筑地上3层高度为10.2m，面积约为489.42m</w:t>
                  </w:r>
                  <w:r>
                    <w:rPr>
                      <w:color w:val="auto"/>
                      <w:szCs w:val="21"/>
                      <w:highlight w:val="none"/>
                      <w:vertAlign w:val="superscript"/>
                    </w:rPr>
                    <w:t>2</w:t>
                  </w:r>
                  <w:r>
                    <w:rPr>
                      <w:rFonts w:hint="eastAsia"/>
                      <w:color w:val="auto"/>
                      <w:szCs w:val="21"/>
                      <w:highlight w:val="none"/>
                    </w:rPr>
                    <w:t>，用于值班人员休息</w:t>
                  </w:r>
                </w:p>
              </w:tc>
            </w:tr>
            <w:tr w14:paraId="199A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70" w:type="pct"/>
                  <w:vMerge w:val="continue"/>
                  <w:vAlign w:val="center"/>
                </w:tcPr>
                <w:p w14:paraId="334C019F">
                  <w:pPr>
                    <w:jc w:val="center"/>
                    <w:rPr>
                      <w:color w:val="auto"/>
                      <w:szCs w:val="21"/>
                      <w:highlight w:val="none"/>
                    </w:rPr>
                  </w:pPr>
                </w:p>
              </w:tc>
              <w:tc>
                <w:tcPr>
                  <w:tcW w:w="810" w:type="pct"/>
                  <w:gridSpan w:val="2"/>
                  <w:vMerge w:val="continue"/>
                  <w:vAlign w:val="center"/>
                </w:tcPr>
                <w:p w14:paraId="4D1955FD">
                  <w:pPr>
                    <w:jc w:val="center"/>
                    <w:rPr>
                      <w:color w:val="auto"/>
                      <w:szCs w:val="21"/>
                      <w:highlight w:val="none"/>
                    </w:rPr>
                  </w:pPr>
                </w:p>
              </w:tc>
              <w:tc>
                <w:tcPr>
                  <w:tcW w:w="644" w:type="pct"/>
                  <w:vAlign w:val="center"/>
                </w:tcPr>
                <w:p w14:paraId="7FD2DBB6">
                  <w:pPr>
                    <w:jc w:val="center"/>
                    <w:rPr>
                      <w:color w:val="auto"/>
                      <w:szCs w:val="21"/>
                      <w:highlight w:val="none"/>
                    </w:rPr>
                  </w:pPr>
                  <w:r>
                    <w:rPr>
                      <w:color w:val="auto"/>
                      <w:szCs w:val="21"/>
                      <w:highlight w:val="none"/>
                    </w:rPr>
                    <w:t>生活区</w:t>
                  </w:r>
                </w:p>
              </w:tc>
              <w:tc>
                <w:tcPr>
                  <w:tcW w:w="3275" w:type="pct"/>
                  <w:vAlign w:val="center"/>
                </w:tcPr>
                <w:p w14:paraId="13EE70D5">
                  <w:pPr>
                    <w:jc w:val="center"/>
                    <w:rPr>
                      <w:color w:val="auto"/>
                      <w:szCs w:val="21"/>
                      <w:highlight w:val="none"/>
                    </w:rPr>
                  </w:pPr>
                  <w:r>
                    <w:rPr>
                      <w:color w:val="auto"/>
                      <w:szCs w:val="21"/>
                      <w:highlight w:val="none"/>
                    </w:rPr>
                    <w:t>位于地块二东侧，地上一层建筑面积约为298.68m</w:t>
                  </w:r>
                  <w:r>
                    <w:rPr>
                      <w:color w:val="auto"/>
                      <w:szCs w:val="21"/>
                      <w:highlight w:val="none"/>
                      <w:vertAlign w:val="superscript"/>
                    </w:rPr>
                    <w:t>2</w:t>
                  </w:r>
                  <w:r>
                    <w:rPr>
                      <w:color w:val="auto"/>
                      <w:szCs w:val="21"/>
                      <w:highlight w:val="none"/>
                    </w:rPr>
                    <w:t>，采用砖混结构</w:t>
                  </w:r>
                  <w:r>
                    <w:rPr>
                      <w:rFonts w:hint="eastAsia"/>
                      <w:color w:val="auto"/>
                      <w:szCs w:val="21"/>
                      <w:highlight w:val="none"/>
                    </w:rPr>
                    <w:t>，用于旺季发货人员暂住</w:t>
                  </w:r>
                </w:p>
              </w:tc>
            </w:tr>
            <w:tr w14:paraId="6681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70" w:type="pct"/>
                  <w:vMerge w:val="continue"/>
                  <w:vAlign w:val="center"/>
                </w:tcPr>
                <w:p w14:paraId="75C8A92A">
                  <w:pPr>
                    <w:jc w:val="center"/>
                    <w:rPr>
                      <w:color w:val="auto"/>
                      <w:szCs w:val="21"/>
                      <w:highlight w:val="none"/>
                    </w:rPr>
                  </w:pPr>
                </w:p>
              </w:tc>
              <w:tc>
                <w:tcPr>
                  <w:tcW w:w="810" w:type="pct"/>
                  <w:gridSpan w:val="2"/>
                  <w:vMerge w:val="continue"/>
                  <w:vAlign w:val="center"/>
                </w:tcPr>
                <w:p w14:paraId="0D77110C">
                  <w:pPr>
                    <w:jc w:val="center"/>
                    <w:rPr>
                      <w:color w:val="auto"/>
                      <w:szCs w:val="21"/>
                      <w:highlight w:val="none"/>
                    </w:rPr>
                  </w:pPr>
                </w:p>
              </w:tc>
              <w:tc>
                <w:tcPr>
                  <w:tcW w:w="644" w:type="pct"/>
                  <w:vAlign w:val="center"/>
                </w:tcPr>
                <w:p w14:paraId="68264DEF">
                  <w:pPr>
                    <w:jc w:val="center"/>
                    <w:rPr>
                      <w:color w:val="auto"/>
                      <w:szCs w:val="21"/>
                      <w:highlight w:val="none"/>
                    </w:rPr>
                  </w:pPr>
                  <w:r>
                    <w:rPr>
                      <w:color w:val="auto"/>
                      <w:szCs w:val="21"/>
                      <w:highlight w:val="none"/>
                    </w:rPr>
                    <w:t>砖围墙</w:t>
                  </w:r>
                </w:p>
              </w:tc>
              <w:tc>
                <w:tcPr>
                  <w:tcW w:w="3275" w:type="pct"/>
                  <w:vAlign w:val="center"/>
                </w:tcPr>
                <w:p w14:paraId="56E89BC2">
                  <w:pPr>
                    <w:jc w:val="center"/>
                    <w:rPr>
                      <w:color w:val="auto"/>
                      <w:szCs w:val="21"/>
                      <w:highlight w:val="none"/>
                    </w:rPr>
                  </w:pPr>
                  <w:r>
                    <w:rPr>
                      <w:color w:val="auto"/>
                      <w:szCs w:val="21"/>
                      <w:highlight w:val="none"/>
                    </w:rPr>
                    <w:t>高度为2.2m，总长为654.88m，围墙与仓库的距离不小于5m</w:t>
                  </w:r>
                </w:p>
              </w:tc>
            </w:tr>
            <w:tr w14:paraId="5F98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70" w:type="pct"/>
                  <w:vMerge w:val="restart"/>
                  <w:vAlign w:val="center"/>
                </w:tcPr>
                <w:p w14:paraId="66AAAF9E">
                  <w:pPr>
                    <w:jc w:val="center"/>
                    <w:rPr>
                      <w:color w:val="auto"/>
                      <w:szCs w:val="21"/>
                      <w:highlight w:val="none"/>
                    </w:rPr>
                  </w:pPr>
                  <w:r>
                    <w:rPr>
                      <w:color w:val="auto"/>
                      <w:szCs w:val="21"/>
                      <w:highlight w:val="none"/>
                    </w:rPr>
                    <w:t>3</w:t>
                  </w:r>
                </w:p>
              </w:tc>
              <w:tc>
                <w:tcPr>
                  <w:tcW w:w="810" w:type="pct"/>
                  <w:gridSpan w:val="2"/>
                  <w:vMerge w:val="restart"/>
                  <w:vAlign w:val="center"/>
                </w:tcPr>
                <w:p w14:paraId="40FA93CE">
                  <w:pPr>
                    <w:jc w:val="center"/>
                    <w:rPr>
                      <w:color w:val="auto"/>
                      <w:szCs w:val="21"/>
                      <w:highlight w:val="none"/>
                    </w:rPr>
                  </w:pPr>
                  <w:r>
                    <w:rPr>
                      <w:color w:val="auto"/>
                      <w:szCs w:val="21"/>
                      <w:highlight w:val="none"/>
                    </w:rPr>
                    <w:t>储运工程</w:t>
                  </w:r>
                </w:p>
              </w:tc>
              <w:tc>
                <w:tcPr>
                  <w:tcW w:w="644" w:type="pct"/>
                  <w:vAlign w:val="center"/>
                </w:tcPr>
                <w:p w14:paraId="479D7301">
                  <w:pPr>
                    <w:jc w:val="center"/>
                    <w:rPr>
                      <w:color w:val="auto"/>
                      <w:szCs w:val="21"/>
                      <w:highlight w:val="none"/>
                    </w:rPr>
                  </w:pPr>
                  <w:r>
                    <w:rPr>
                      <w:color w:val="auto"/>
                      <w:szCs w:val="21"/>
                      <w:highlight w:val="none"/>
                    </w:rPr>
                    <w:t>运输</w:t>
                  </w:r>
                </w:p>
              </w:tc>
              <w:tc>
                <w:tcPr>
                  <w:tcW w:w="3275" w:type="pct"/>
                  <w:vAlign w:val="center"/>
                </w:tcPr>
                <w:p w14:paraId="0794E0AC">
                  <w:pPr>
                    <w:jc w:val="center"/>
                    <w:rPr>
                      <w:color w:val="auto"/>
                      <w:szCs w:val="21"/>
                      <w:highlight w:val="none"/>
                    </w:rPr>
                  </w:pPr>
                  <w:r>
                    <w:rPr>
                      <w:color w:val="auto"/>
                      <w:szCs w:val="21"/>
                      <w:highlight w:val="none"/>
                    </w:rPr>
                    <w:t>公司</w:t>
                  </w:r>
                  <w:r>
                    <w:rPr>
                      <w:rFonts w:hint="eastAsia"/>
                      <w:color w:val="auto"/>
                      <w:szCs w:val="21"/>
                      <w:highlight w:val="none"/>
                      <w:lang w:val="en-US" w:eastAsia="zh-CN"/>
                    </w:rPr>
                    <w:t>购买的烟花爆竹由</w:t>
                  </w:r>
                  <w:r>
                    <w:rPr>
                      <w:color w:val="auto"/>
                      <w:szCs w:val="21"/>
                      <w:highlight w:val="none"/>
                    </w:rPr>
                    <w:t>浏阳市东风烟花制造厂配置专用防爆</w:t>
                  </w:r>
                  <w:r>
                    <w:rPr>
                      <w:rFonts w:hint="eastAsia"/>
                      <w:color w:val="auto"/>
                      <w:szCs w:val="21"/>
                      <w:highlight w:val="none"/>
                      <w:lang w:eastAsia="zh-CN"/>
                    </w:rPr>
                    <w:t>厢式</w:t>
                  </w:r>
                  <w:r>
                    <w:rPr>
                      <w:color w:val="auto"/>
                      <w:szCs w:val="21"/>
                      <w:highlight w:val="none"/>
                    </w:rPr>
                    <w:t>货车进行烟花爆竹成品的运输入库，再由</w:t>
                  </w:r>
                  <w:r>
                    <w:rPr>
                      <w:rFonts w:hint="eastAsia"/>
                      <w:color w:val="auto"/>
                      <w:szCs w:val="21"/>
                      <w:highlight w:val="none"/>
                      <w:lang w:val="en-US" w:eastAsia="zh-CN"/>
                    </w:rPr>
                    <w:t>本公司的烟花爆竹专用车</w:t>
                  </w:r>
                  <w:r>
                    <w:rPr>
                      <w:color w:val="auto"/>
                      <w:szCs w:val="21"/>
                      <w:highlight w:val="none"/>
                    </w:rPr>
                    <w:t>运输发放给零散经营部</w:t>
                  </w:r>
                </w:p>
              </w:tc>
            </w:tr>
            <w:tr w14:paraId="4260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4CB39B97">
                  <w:pPr>
                    <w:jc w:val="center"/>
                    <w:rPr>
                      <w:color w:val="auto"/>
                      <w:szCs w:val="21"/>
                      <w:highlight w:val="none"/>
                    </w:rPr>
                  </w:pPr>
                </w:p>
              </w:tc>
              <w:tc>
                <w:tcPr>
                  <w:tcW w:w="810" w:type="pct"/>
                  <w:gridSpan w:val="2"/>
                  <w:vMerge w:val="continue"/>
                  <w:vAlign w:val="center"/>
                </w:tcPr>
                <w:p w14:paraId="2E6A5165">
                  <w:pPr>
                    <w:jc w:val="center"/>
                    <w:rPr>
                      <w:color w:val="auto"/>
                      <w:szCs w:val="21"/>
                      <w:highlight w:val="none"/>
                    </w:rPr>
                  </w:pPr>
                </w:p>
              </w:tc>
              <w:tc>
                <w:tcPr>
                  <w:tcW w:w="644" w:type="pct"/>
                  <w:vAlign w:val="center"/>
                </w:tcPr>
                <w:p w14:paraId="13B73A15">
                  <w:pPr>
                    <w:jc w:val="center"/>
                    <w:rPr>
                      <w:color w:val="auto"/>
                      <w:szCs w:val="21"/>
                      <w:highlight w:val="none"/>
                    </w:rPr>
                  </w:pPr>
                  <w:r>
                    <w:rPr>
                      <w:color w:val="auto"/>
                      <w:szCs w:val="21"/>
                      <w:highlight w:val="none"/>
                    </w:rPr>
                    <w:t>道路</w:t>
                  </w:r>
                </w:p>
              </w:tc>
              <w:tc>
                <w:tcPr>
                  <w:tcW w:w="3275" w:type="pct"/>
                  <w:vAlign w:val="center"/>
                </w:tcPr>
                <w:p w14:paraId="72BA8ACA">
                  <w:pPr>
                    <w:jc w:val="center"/>
                    <w:rPr>
                      <w:color w:val="auto"/>
                      <w:szCs w:val="21"/>
                      <w:highlight w:val="none"/>
                    </w:rPr>
                  </w:pPr>
                  <w:r>
                    <w:rPr>
                      <w:color w:val="auto"/>
                      <w:szCs w:val="21"/>
                      <w:highlight w:val="none"/>
                    </w:rPr>
                    <w:t>库区内道路全部进行硬化，出库道路与项目南侧城北高速连接线相连</w:t>
                  </w:r>
                </w:p>
              </w:tc>
            </w:tr>
            <w:tr w14:paraId="5BA0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restart"/>
                  <w:vAlign w:val="center"/>
                </w:tcPr>
                <w:p w14:paraId="3B742CC6">
                  <w:pPr>
                    <w:jc w:val="center"/>
                    <w:rPr>
                      <w:color w:val="auto"/>
                      <w:szCs w:val="21"/>
                      <w:highlight w:val="none"/>
                    </w:rPr>
                  </w:pPr>
                  <w:r>
                    <w:rPr>
                      <w:rFonts w:hint="eastAsia"/>
                      <w:color w:val="auto"/>
                      <w:szCs w:val="21"/>
                      <w:highlight w:val="none"/>
                    </w:rPr>
                    <w:t>4</w:t>
                  </w:r>
                </w:p>
              </w:tc>
              <w:tc>
                <w:tcPr>
                  <w:tcW w:w="810" w:type="pct"/>
                  <w:gridSpan w:val="2"/>
                  <w:vMerge w:val="restart"/>
                  <w:vAlign w:val="center"/>
                </w:tcPr>
                <w:p w14:paraId="4E701C61">
                  <w:pPr>
                    <w:jc w:val="center"/>
                    <w:rPr>
                      <w:color w:val="auto"/>
                      <w:szCs w:val="21"/>
                      <w:highlight w:val="none"/>
                    </w:rPr>
                  </w:pPr>
                  <w:r>
                    <w:rPr>
                      <w:rFonts w:hint="eastAsia"/>
                      <w:color w:val="auto"/>
                      <w:szCs w:val="21"/>
                      <w:highlight w:val="none"/>
                    </w:rPr>
                    <w:t>公用工程</w:t>
                  </w:r>
                </w:p>
              </w:tc>
              <w:tc>
                <w:tcPr>
                  <w:tcW w:w="644" w:type="pct"/>
                  <w:vAlign w:val="center"/>
                </w:tcPr>
                <w:p w14:paraId="44CF40DA">
                  <w:pPr>
                    <w:jc w:val="center"/>
                    <w:rPr>
                      <w:color w:val="auto"/>
                      <w:szCs w:val="21"/>
                      <w:highlight w:val="none"/>
                    </w:rPr>
                  </w:pPr>
                  <w:r>
                    <w:rPr>
                      <w:color w:val="auto"/>
                      <w:szCs w:val="21"/>
                      <w:highlight w:val="none"/>
                    </w:rPr>
                    <w:t>给水</w:t>
                  </w:r>
                </w:p>
              </w:tc>
              <w:tc>
                <w:tcPr>
                  <w:tcW w:w="3275" w:type="pct"/>
                  <w:vAlign w:val="center"/>
                </w:tcPr>
                <w:p w14:paraId="7E6FF9CC">
                  <w:pPr>
                    <w:jc w:val="center"/>
                    <w:rPr>
                      <w:color w:val="auto"/>
                      <w:szCs w:val="21"/>
                      <w:highlight w:val="none"/>
                    </w:rPr>
                  </w:pPr>
                  <w:r>
                    <w:rPr>
                      <w:rFonts w:hint="eastAsia"/>
                      <w:color w:val="auto"/>
                      <w:szCs w:val="21"/>
                      <w:highlight w:val="none"/>
                      <w:lang w:val="en-US" w:eastAsia="zh-CN"/>
                    </w:rPr>
                    <w:t>用水来源于市政供水管网。</w:t>
                  </w:r>
                </w:p>
              </w:tc>
            </w:tr>
            <w:tr w14:paraId="4EEE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36DAA510">
                  <w:pPr>
                    <w:jc w:val="center"/>
                    <w:rPr>
                      <w:color w:val="auto"/>
                      <w:szCs w:val="21"/>
                      <w:highlight w:val="none"/>
                    </w:rPr>
                  </w:pPr>
                </w:p>
              </w:tc>
              <w:tc>
                <w:tcPr>
                  <w:tcW w:w="810" w:type="pct"/>
                  <w:gridSpan w:val="2"/>
                  <w:vMerge w:val="continue"/>
                  <w:vAlign w:val="center"/>
                </w:tcPr>
                <w:p w14:paraId="043F9397">
                  <w:pPr>
                    <w:jc w:val="center"/>
                    <w:rPr>
                      <w:color w:val="auto"/>
                      <w:szCs w:val="21"/>
                      <w:highlight w:val="none"/>
                    </w:rPr>
                  </w:pPr>
                </w:p>
              </w:tc>
              <w:tc>
                <w:tcPr>
                  <w:tcW w:w="644" w:type="pct"/>
                  <w:vAlign w:val="center"/>
                </w:tcPr>
                <w:p w14:paraId="025D90DB">
                  <w:pPr>
                    <w:jc w:val="center"/>
                    <w:rPr>
                      <w:color w:val="auto"/>
                      <w:szCs w:val="21"/>
                      <w:highlight w:val="none"/>
                    </w:rPr>
                  </w:pPr>
                  <w:r>
                    <w:rPr>
                      <w:color w:val="auto"/>
                      <w:szCs w:val="21"/>
                      <w:highlight w:val="none"/>
                    </w:rPr>
                    <w:t>排水</w:t>
                  </w:r>
                </w:p>
              </w:tc>
              <w:tc>
                <w:tcPr>
                  <w:tcW w:w="3275" w:type="pct"/>
                  <w:vAlign w:val="center"/>
                </w:tcPr>
                <w:p w14:paraId="7F3FCD58">
                  <w:pPr>
                    <w:spacing w:line="360" w:lineRule="auto"/>
                    <w:ind w:firstLine="420" w:firstLineChars="200"/>
                    <w:rPr>
                      <w:color w:val="auto"/>
                      <w:szCs w:val="21"/>
                      <w:highlight w:val="none"/>
                    </w:rPr>
                  </w:pPr>
                  <w:r>
                    <w:rPr>
                      <w:rFonts w:hint="eastAsia"/>
                      <w:color w:val="auto"/>
                      <w:szCs w:val="21"/>
                      <w:highlight w:val="none"/>
                    </w:rPr>
                    <w:t>项目</w:t>
                  </w:r>
                  <w:r>
                    <w:rPr>
                      <w:color w:val="auto"/>
                      <w:highlight w:val="none"/>
                    </w:rPr>
                    <w:t>排水采用雨污水分流的排水体制</w:t>
                  </w:r>
                  <w:r>
                    <w:rPr>
                      <w:color w:val="auto"/>
                      <w:szCs w:val="21"/>
                      <w:highlight w:val="none"/>
                    </w:rPr>
                    <w:t>，生活污水排入化粪池后委托</w:t>
                  </w:r>
                  <w:r>
                    <w:rPr>
                      <w:rFonts w:hint="eastAsia"/>
                      <w:color w:val="auto"/>
                      <w:szCs w:val="21"/>
                      <w:highlight w:val="none"/>
                    </w:rPr>
                    <w:t>寻甸县</w:t>
                  </w:r>
                  <w:r>
                    <w:rPr>
                      <w:color w:val="auto"/>
                      <w:szCs w:val="21"/>
                      <w:highlight w:val="none"/>
                    </w:rPr>
                    <w:t>环卫部门抽运</w:t>
                  </w:r>
                  <w:r>
                    <w:rPr>
                      <w:rFonts w:hint="eastAsia"/>
                      <w:color w:val="auto"/>
                      <w:szCs w:val="21"/>
                      <w:highlight w:val="none"/>
                    </w:rPr>
                    <w:t>至寻甸县污水处理厂处理</w:t>
                  </w:r>
                  <w:r>
                    <w:rPr>
                      <w:color w:val="auto"/>
                      <w:szCs w:val="21"/>
                      <w:highlight w:val="none"/>
                    </w:rPr>
                    <w:t>。库区除东北为路周围都是山沟，库区</w:t>
                  </w:r>
                  <w:r>
                    <w:rPr>
                      <w:rFonts w:hint="eastAsia"/>
                      <w:color w:val="auto"/>
                      <w:szCs w:val="21"/>
                      <w:highlight w:val="none"/>
                    </w:rPr>
                    <w:t>内设置截排水沟</w:t>
                  </w:r>
                  <w:r>
                    <w:rPr>
                      <w:rFonts w:hint="eastAsia"/>
                      <w:color w:val="auto"/>
                      <w:highlight w:val="none"/>
                    </w:rPr>
                    <w:t>，</w:t>
                  </w:r>
                  <w:r>
                    <w:rPr>
                      <w:color w:val="auto"/>
                      <w:highlight w:val="none"/>
                    </w:rPr>
                    <w:t>初期雨水经截排水沟收集后</w:t>
                  </w:r>
                  <w:r>
                    <w:rPr>
                      <w:rFonts w:hint="eastAsia"/>
                      <w:color w:val="auto"/>
                      <w:highlight w:val="none"/>
                    </w:rPr>
                    <w:t>，</w:t>
                  </w:r>
                  <w:r>
                    <w:rPr>
                      <w:color w:val="auto"/>
                      <w:highlight w:val="none"/>
                    </w:rPr>
                    <w:t>排入</w:t>
                  </w:r>
                  <w:r>
                    <w:rPr>
                      <w:rFonts w:hint="eastAsia"/>
                      <w:color w:val="auto"/>
                      <w:highlight w:val="none"/>
                    </w:rPr>
                    <w:t>库区外</w:t>
                  </w:r>
                  <w:r>
                    <w:rPr>
                      <w:color w:val="auto"/>
                      <w:highlight w:val="none"/>
                    </w:rPr>
                    <w:t>。</w:t>
                  </w:r>
                </w:p>
              </w:tc>
            </w:tr>
            <w:tr w14:paraId="683F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7EB60A33">
                  <w:pPr>
                    <w:jc w:val="center"/>
                    <w:rPr>
                      <w:color w:val="auto"/>
                      <w:szCs w:val="21"/>
                      <w:highlight w:val="none"/>
                    </w:rPr>
                  </w:pPr>
                </w:p>
              </w:tc>
              <w:tc>
                <w:tcPr>
                  <w:tcW w:w="810" w:type="pct"/>
                  <w:gridSpan w:val="2"/>
                  <w:vMerge w:val="continue"/>
                  <w:vAlign w:val="center"/>
                </w:tcPr>
                <w:p w14:paraId="5FD20038">
                  <w:pPr>
                    <w:jc w:val="center"/>
                    <w:rPr>
                      <w:color w:val="auto"/>
                      <w:szCs w:val="21"/>
                      <w:highlight w:val="none"/>
                    </w:rPr>
                  </w:pPr>
                </w:p>
              </w:tc>
              <w:tc>
                <w:tcPr>
                  <w:tcW w:w="644" w:type="pct"/>
                  <w:vAlign w:val="center"/>
                </w:tcPr>
                <w:p w14:paraId="01462297">
                  <w:pPr>
                    <w:jc w:val="center"/>
                    <w:rPr>
                      <w:color w:val="auto"/>
                      <w:szCs w:val="21"/>
                      <w:highlight w:val="none"/>
                    </w:rPr>
                  </w:pPr>
                  <w:r>
                    <w:rPr>
                      <w:color w:val="auto"/>
                      <w:szCs w:val="21"/>
                      <w:highlight w:val="none"/>
                    </w:rPr>
                    <w:t>供电</w:t>
                  </w:r>
                </w:p>
              </w:tc>
              <w:tc>
                <w:tcPr>
                  <w:tcW w:w="3275" w:type="pct"/>
                  <w:vAlign w:val="center"/>
                </w:tcPr>
                <w:p w14:paraId="7481ADD1">
                  <w:pPr>
                    <w:jc w:val="center"/>
                    <w:rPr>
                      <w:color w:val="auto"/>
                      <w:szCs w:val="21"/>
                      <w:highlight w:val="none"/>
                    </w:rPr>
                  </w:pPr>
                  <w:r>
                    <w:rPr>
                      <w:color w:val="auto"/>
                      <w:szCs w:val="21"/>
                      <w:highlight w:val="none"/>
                    </w:rPr>
                    <w:t>库区安全距离外有电力公司的供电电源</w:t>
                  </w:r>
                </w:p>
              </w:tc>
            </w:tr>
            <w:tr w14:paraId="4581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14587ED7">
                  <w:pPr>
                    <w:jc w:val="center"/>
                    <w:rPr>
                      <w:color w:val="auto"/>
                      <w:szCs w:val="21"/>
                      <w:highlight w:val="none"/>
                    </w:rPr>
                  </w:pPr>
                </w:p>
              </w:tc>
              <w:tc>
                <w:tcPr>
                  <w:tcW w:w="810" w:type="pct"/>
                  <w:gridSpan w:val="2"/>
                  <w:vMerge w:val="continue"/>
                  <w:vAlign w:val="center"/>
                </w:tcPr>
                <w:p w14:paraId="6E1ECE3C">
                  <w:pPr>
                    <w:jc w:val="center"/>
                    <w:rPr>
                      <w:color w:val="auto"/>
                      <w:szCs w:val="21"/>
                      <w:highlight w:val="none"/>
                    </w:rPr>
                  </w:pPr>
                </w:p>
              </w:tc>
              <w:tc>
                <w:tcPr>
                  <w:tcW w:w="644" w:type="pct"/>
                  <w:vAlign w:val="center"/>
                </w:tcPr>
                <w:p w14:paraId="2D0BA98D">
                  <w:pPr>
                    <w:jc w:val="center"/>
                    <w:rPr>
                      <w:color w:val="auto"/>
                      <w:szCs w:val="21"/>
                      <w:highlight w:val="none"/>
                    </w:rPr>
                  </w:pPr>
                  <w:r>
                    <w:rPr>
                      <w:color w:val="auto"/>
                      <w:szCs w:val="21"/>
                      <w:highlight w:val="none"/>
                    </w:rPr>
                    <w:t>防雷与防静电</w:t>
                  </w:r>
                </w:p>
              </w:tc>
              <w:tc>
                <w:tcPr>
                  <w:tcW w:w="3275" w:type="pct"/>
                  <w:vAlign w:val="center"/>
                </w:tcPr>
                <w:p w14:paraId="18F59E9A">
                  <w:pPr>
                    <w:jc w:val="center"/>
                    <w:rPr>
                      <w:color w:val="auto"/>
                      <w:szCs w:val="21"/>
                      <w:highlight w:val="none"/>
                    </w:rPr>
                  </w:pPr>
                  <w:r>
                    <w:rPr>
                      <w:color w:val="auto"/>
                      <w:szCs w:val="21"/>
                      <w:highlight w:val="none"/>
                    </w:rPr>
                    <w:t>本项目仓库（1.3级）防雷类别按二类防雷设计</w:t>
                  </w:r>
                </w:p>
              </w:tc>
            </w:tr>
            <w:tr w14:paraId="5752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1A7987D7">
                  <w:pPr>
                    <w:jc w:val="center"/>
                    <w:rPr>
                      <w:color w:val="auto"/>
                      <w:szCs w:val="21"/>
                      <w:highlight w:val="none"/>
                    </w:rPr>
                  </w:pPr>
                </w:p>
              </w:tc>
              <w:tc>
                <w:tcPr>
                  <w:tcW w:w="810" w:type="pct"/>
                  <w:gridSpan w:val="2"/>
                  <w:vMerge w:val="continue"/>
                  <w:vAlign w:val="center"/>
                </w:tcPr>
                <w:p w14:paraId="11F482DB">
                  <w:pPr>
                    <w:jc w:val="center"/>
                    <w:rPr>
                      <w:color w:val="auto"/>
                      <w:szCs w:val="21"/>
                      <w:highlight w:val="none"/>
                    </w:rPr>
                  </w:pPr>
                </w:p>
              </w:tc>
              <w:tc>
                <w:tcPr>
                  <w:tcW w:w="644" w:type="pct"/>
                  <w:vAlign w:val="center"/>
                </w:tcPr>
                <w:p w14:paraId="22559756">
                  <w:pPr>
                    <w:jc w:val="center"/>
                    <w:rPr>
                      <w:color w:val="auto"/>
                      <w:szCs w:val="21"/>
                      <w:highlight w:val="none"/>
                    </w:rPr>
                  </w:pPr>
                  <w:r>
                    <w:rPr>
                      <w:color w:val="auto"/>
                      <w:szCs w:val="21"/>
                      <w:highlight w:val="none"/>
                    </w:rPr>
                    <w:t>消防</w:t>
                  </w:r>
                </w:p>
              </w:tc>
              <w:tc>
                <w:tcPr>
                  <w:tcW w:w="3275" w:type="pct"/>
                  <w:vAlign w:val="center"/>
                </w:tcPr>
                <w:p w14:paraId="6FE11148">
                  <w:pPr>
                    <w:jc w:val="center"/>
                    <w:rPr>
                      <w:color w:val="auto"/>
                      <w:szCs w:val="21"/>
                      <w:highlight w:val="none"/>
                    </w:rPr>
                  </w:pPr>
                  <w:r>
                    <w:rPr>
                      <w:rFonts w:hint="eastAsia"/>
                      <w:color w:val="auto"/>
                      <w:szCs w:val="21"/>
                      <w:highlight w:val="none"/>
                    </w:rPr>
                    <w:t>库区内主要设置2个</w:t>
                  </w:r>
                  <w:r>
                    <w:rPr>
                      <w:color w:val="auto"/>
                      <w:szCs w:val="21"/>
                      <w:highlight w:val="none"/>
                    </w:rPr>
                    <w:t>295m</w:t>
                  </w:r>
                  <w:r>
                    <w:rPr>
                      <w:color w:val="auto"/>
                      <w:szCs w:val="21"/>
                      <w:highlight w:val="none"/>
                      <w:vertAlign w:val="superscript"/>
                    </w:rPr>
                    <w:t>3</w:t>
                  </w:r>
                  <w:r>
                    <w:rPr>
                      <w:rFonts w:hint="eastAsia"/>
                      <w:color w:val="auto"/>
                      <w:szCs w:val="21"/>
                      <w:highlight w:val="none"/>
                    </w:rPr>
                    <w:t>的</w:t>
                  </w:r>
                  <w:r>
                    <w:rPr>
                      <w:color w:val="auto"/>
                      <w:szCs w:val="21"/>
                      <w:highlight w:val="none"/>
                    </w:rPr>
                    <w:t>消防水池</w:t>
                  </w:r>
                  <w:r>
                    <w:rPr>
                      <w:rFonts w:hint="eastAsia"/>
                      <w:color w:val="auto"/>
                      <w:szCs w:val="21"/>
                      <w:highlight w:val="none"/>
                    </w:rPr>
                    <w:t>、</w:t>
                  </w:r>
                  <w:r>
                    <w:rPr>
                      <w:color w:val="auto"/>
                      <w:szCs w:val="21"/>
                      <w:highlight w:val="none"/>
                    </w:rPr>
                    <w:t>消火栓</w:t>
                  </w:r>
                  <w:r>
                    <w:rPr>
                      <w:rFonts w:hint="eastAsia"/>
                      <w:color w:val="auto"/>
                      <w:szCs w:val="21"/>
                      <w:highlight w:val="none"/>
                    </w:rPr>
                    <w:t>、</w:t>
                  </w:r>
                  <w:r>
                    <w:rPr>
                      <w:color w:val="auto"/>
                      <w:szCs w:val="21"/>
                      <w:highlight w:val="none"/>
                    </w:rPr>
                    <w:t>干粉灭火器</w:t>
                  </w:r>
                  <w:r>
                    <w:rPr>
                      <w:rFonts w:hint="eastAsia"/>
                      <w:color w:val="auto"/>
                      <w:szCs w:val="21"/>
                      <w:highlight w:val="none"/>
                    </w:rPr>
                    <w:t>、1个130</w:t>
                  </w:r>
                  <w:r>
                    <w:rPr>
                      <w:color w:val="auto"/>
                      <w:szCs w:val="21"/>
                      <w:highlight w:val="none"/>
                    </w:rPr>
                    <w:t>m</w:t>
                  </w:r>
                  <w:r>
                    <w:rPr>
                      <w:color w:val="auto"/>
                      <w:szCs w:val="21"/>
                      <w:highlight w:val="none"/>
                      <w:vertAlign w:val="superscript"/>
                    </w:rPr>
                    <w:t>3</w:t>
                  </w:r>
                  <w:r>
                    <w:rPr>
                      <w:rFonts w:hint="eastAsia"/>
                      <w:color w:val="auto"/>
                      <w:szCs w:val="21"/>
                      <w:highlight w:val="none"/>
                    </w:rPr>
                    <w:t>的事故池等</w:t>
                  </w:r>
                </w:p>
              </w:tc>
            </w:tr>
            <w:tr w14:paraId="0A3A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70" w:type="pct"/>
                  <w:vMerge w:val="continue"/>
                  <w:vAlign w:val="center"/>
                </w:tcPr>
                <w:p w14:paraId="5B20E03B">
                  <w:pPr>
                    <w:jc w:val="center"/>
                    <w:rPr>
                      <w:color w:val="auto"/>
                      <w:szCs w:val="21"/>
                      <w:highlight w:val="none"/>
                    </w:rPr>
                  </w:pPr>
                </w:p>
              </w:tc>
              <w:tc>
                <w:tcPr>
                  <w:tcW w:w="810" w:type="pct"/>
                  <w:gridSpan w:val="2"/>
                  <w:vMerge w:val="continue"/>
                  <w:vAlign w:val="center"/>
                </w:tcPr>
                <w:p w14:paraId="760A7297">
                  <w:pPr>
                    <w:jc w:val="center"/>
                    <w:rPr>
                      <w:color w:val="auto"/>
                      <w:szCs w:val="21"/>
                      <w:highlight w:val="none"/>
                    </w:rPr>
                  </w:pPr>
                </w:p>
              </w:tc>
              <w:tc>
                <w:tcPr>
                  <w:tcW w:w="644" w:type="pct"/>
                  <w:vAlign w:val="center"/>
                </w:tcPr>
                <w:p w14:paraId="5F8D8BDC">
                  <w:pPr>
                    <w:jc w:val="center"/>
                    <w:rPr>
                      <w:color w:val="auto"/>
                      <w:szCs w:val="21"/>
                      <w:highlight w:val="none"/>
                    </w:rPr>
                  </w:pPr>
                  <w:r>
                    <w:rPr>
                      <w:color w:val="auto"/>
                      <w:szCs w:val="21"/>
                      <w:highlight w:val="none"/>
                    </w:rPr>
                    <w:t>通信及监控系统</w:t>
                  </w:r>
                </w:p>
              </w:tc>
              <w:tc>
                <w:tcPr>
                  <w:tcW w:w="3275" w:type="pct"/>
                  <w:vAlign w:val="center"/>
                </w:tcPr>
                <w:p w14:paraId="56BED653">
                  <w:pPr>
                    <w:jc w:val="center"/>
                    <w:rPr>
                      <w:color w:val="auto"/>
                      <w:szCs w:val="21"/>
                      <w:highlight w:val="none"/>
                    </w:rPr>
                  </w:pPr>
                  <w:r>
                    <w:rPr>
                      <w:rFonts w:hint="eastAsia"/>
                      <w:color w:val="auto"/>
                      <w:szCs w:val="21"/>
                      <w:highlight w:val="none"/>
                    </w:rPr>
                    <w:t>设置1个</w:t>
                  </w:r>
                  <w:r>
                    <w:rPr>
                      <w:color w:val="auto"/>
                      <w:szCs w:val="21"/>
                      <w:highlight w:val="none"/>
                    </w:rPr>
                    <w:t>固定电话</w:t>
                  </w:r>
                  <w:r>
                    <w:rPr>
                      <w:rFonts w:hint="eastAsia"/>
                      <w:color w:val="auto"/>
                      <w:szCs w:val="21"/>
                      <w:highlight w:val="none"/>
                    </w:rPr>
                    <w:t>、</w:t>
                  </w:r>
                  <w:r>
                    <w:rPr>
                      <w:color w:val="auto"/>
                      <w:szCs w:val="21"/>
                      <w:highlight w:val="none"/>
                    </w:rPr>
                    <w:t>红外报警装置</w:t>
                  </w:r>
                  <w:r>
                    <w:rPr>
                      <w:rFonts w:hint="eastAsia"/>
                      <w:color w:val="auto"/>
                      <w:szCs w:val="21"/>
                      <w:highlight w:val="none"/>
                    </w:rPr>
                    <w:t>、</w:t>
                  </w:r>
                  <w:r>
                    <w:rPr>
                      <w:color w:val="auto"/>
                      <w:szCs w:val="21"/>
                      <w:highlight w:val="none"/>
                    </w:rPr>
                    <w:t>配置专职人员</w:t>
                  </w:r>
                  <w:r>
                    <w:rPr>
                      <w:rFonts w:hint="eastAsia"/>
                      <w:color w:val="auto"/>
                      <w:szCs w:val="21"/>
                      <w:highlight w:val="none"/>
                    </w:rPr>
                    <w:t>查看</w:t>
                  </w:r>
                  <w:r>
                    <w:rPr>
                      <w:color w:val="auto"/>
                      <w:szCs w:val="21"/>
                      <w:highlight w:val="none"/>
                    </w:rPr>
                    <w:t>视频监控</w:t>
                  </w:r>
                  <w:r>
                    <w:rPr>
                      <w:rFonts w:hint="eastAsia"/>
                      <w:color w:val="auto"/>
                      <w:szCs w:val="21"/>
                      <w:highlight w:val="none"/>
                    </w:rPr>
                    <w:t>、</w:t>
                  </w:r>
                  <w:r>
                    <w:rPr>
                      <w:color w:val="auto"/>
                      <w:szCs w:val="21"/>
                      <w:highlight w:val="none"/>
                    </w:rPr>
                    <w:t>温度计</w:t>
                  </w:r>
                  <w:r>
                    <w:rPr>
                      <w:rFonts w:hint="eastAsia"/>
                      <w:color w:val="auto"/>
                      <w:szCs w:val="21"/>
                      <w:highlight w:val="none"/>
                    </w:rPr>
                    <w:t>及</w:t>
                  </w:r>
                  <w:r>
                    <w:rPr>
                      <w:color w:val="auto"/>
                      <w:szCs w:val="21"/>
                      <w:highlight w:val="none"/>
                    </w:rPr>
                    <w:t>湿度计</w:t>
                  </w:r>
                </w:p>
              </w:tc>
            </w:tr>
            <w:tr w14:paraId="01A7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0" w:type="pct"/>
                  <w:vMerge w:val="restart"/>
                  <w:vAlign w:val="center"/>
                </w:tcPr>
                <w:p w14:paraId="6C18CE49">
                  <w:pPr>
                    <w:jc w:val="center"/>
                    <w:rPr>
                      <w:color w:val="auto"/>
                      <w:szCs w:val="21"/>
                      <w:highlight w:val="none"/>
                    </w:rPr>
                  </w:pPr>
                  <w:r>
                    <w:rPr>
                      <w:rFonts w:hint="eastAsia"/>
                      <w:color w:val="auto"/>
                      <w:szCs w:val="21"/>
                      <w:highlight w:val="none"/>
                    </w:rPr>
                    <w:t>5</w:t>
                  </w:r>
                </w:p>
              </w:tc>
              <w:tc>
                <w:tcPr>
                  <w:tcW w:w="423" w:type="pct"/>
                  <w:vMerge w:val="restart"/>
                  <w:vAlign w:val="center"/>
                </w:tcPr>
                <w:p w14:paraId="649983D7">
                  <w:pPr>
                    <w:jc w:val="center"/>
                    <w:rPr>
                      <w:color w:val="auto"/>
                      <w:szCs w:val="21"/>
                      <w:highlight w:val="none"/>
                    </w:rPr>
                  </w:pPr>
                  <w:r>
                    <w:rPr>
                      <w:rFonts w:hint="eastAsia"/>
                      <w:color w:val="auto"/>
                      <w:szCs w:val="21"/>
                      <w:highlight w:val="none"/>
                    </w:rPr>
                    <w:t>环保工程</w:t>
                  </w:r>
                </w:p>
              </w:tc>
              <w:tc>
                <w:tcPr>
                  <w:tcW w:w="386" w:type="pct"/>
                  <w:vAlign w:val="center"/>
                </w:tcPr>
                <w:p w14:paraId="7E739268">
                  <w:pPr>
                    <w:jc w:val="center"/>
                    <w:rPr>
                      <w:color w:val="auto"/>
                      <w:szCs w:val="21"/>
                      <w:highlight w:val="none"/>
                    </w:rPr>
                  </w:pPr>
                  <w:r>
                    <w:rPr>
                      <w:rFonts w:hint="eastAsia"/>
                      <w:color w:val="auto"/>
                      <w:szCs w:val="21"/>
                      <w:highlight w:val="none"/>
                    </w:rPr>
                    <w:t>废水</w:t>
                  </w:r>
                </w:p>
              </w:tc>
              <w:tc>
                <w:tcPr>
                  <w:tcW w:w="644" w:type="pct"/>
                  <w:vAlign w:val="center"/>
                </w:tcPr>
                <w:p w14:paraId="14EB17A6">
                  <w:pPr>
                    <w:jc w:val="center"/>
                    <w:rPr>
                      <w:color w:val="auto"/>
                      <w:szCs w:val="21"/>
                      <w:highlight w:val="none"/>
                    </w:rPr>
                  </w:pPr>
                  <w:r>
                    <w:rPr>
                      <w:color w:val="auto"/>
                      <w:szCs w:val="21"/>
                      <w:highlight w:val="none"/>
                    </w:rPr>
                    <w:t>化粪池</w:t>
                  </w:r>
                </w:p>
              </w:tc>
              <w:tc>
                <w:tcPr>
                  <w:tcW w:w="3275" w:type="pct"/>
                  <w:vAlign w:val="center"/>
                </w:tcPr>
                <w:p w14:paraId="3BFA3018">
                  <w:pPr>
                    <w:jc w:val="center"/>
                    <w:rPr>
                      <w:color w:val="auto"/>
                      <w:szCs w:val="21"/>
                      <w:highlight w:val="none"/>
                    </w:rPr>
                  </w:pPr>
                  <w:r>
                    <w:rPr>
                      <w:color w:val="auto"/>
                      <w:szCs w:val="21"/>
                      <w:highlight w:val="none"/>
                    </w:rPr>
                    <w:t>建设一个容积为</w:t>
                  </w:r>
                  <w:r>
                    <w:rPr>
                      <w:rFonts w:hint="eastAsia"/>
                      <w:color w:val="auto"/>
                      <w:szCs w:val="21"/>
                      <w:highlight w:val="none"/>
                      <w:lang w:val="en-US" w:eastAsia="zh-CN"/>
                    </w:rPr>
                    <w:t>15</w:t>
                  </w:r>
                  <w:r>
                    <w:rPr>
                      <w:color w:val="auto"/>
                      <w:szCs w:val="21"/>
                      <w:highlight w:val="none"/>
                    </w:rPr>
                    <w:t>m</w:t>
                  </w:r>
                  <w:r>
                    <w:rPr>
                      <w:color w:val="auto"/>
                      <w:szCs w:val="21"/>
                      <w:highlight w:val="none"/>
                      <w:vertAlign w:val="superscript"/>
                    </w:rPr>
                    <w:t>3</w:t>
                  </w:r>
                  <w:r>
                    <w:rPr>
                      <w:color w:val="auto"/>
                      <w:szCs w:val="21"/>
                      <w:highlight w:val="none"/>
                    </w:rPr>
                    <w:t>的化粪池对项目生活污水进行处理</w:t>
                  </w:r>
                </w:p>
              </w:tc>
            </w:tr>
            <w:tr w14:paraId="2AC0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0" w:type="pct"/>
                  <w:vMerge w:val="continue"/>
                  <w:vAlign w:val="center"/>
                </w:tcPr>
                <w:p w14:paraId="24DA9E89">
                  <w:pPr>
                    <w:jc w:val="center"/>
                    <w:rPr>
                      <w:color w:val="auto"/>
                      <w:szCs w:val="21"/>
                      <w:highlight w:val="none"/>
                    </w:rPr>
                  </w:pPr>
                </w:p>
              </w:tc>
              <w:tc>
                <w:tcPr>
                  <w:tcW w:w="423" w:type="pct"/>
                  <w:vMerge w:val="continue"/>
                  <w:vAlign w:val="center"/>
                </w:tcPr>
                <w:p w14:paraId="6CC473B7">
                  <w:pPr>
                    <w:jc w:val="center"/>
                    <w:rPr>
                      <w:color w:val="auto"/>
                      <w:szCs w:val="21"/>
                      <w:highlight w:val="none"/>
                    </w:rPr>
                  </w:pPr>
                </w:p>
              </w:tc>
              <w:tc>
                <w:tcPr>
                  <w:tcW w:w="386" w:type="pct"/>
                  <w:vAlign w:val="center"/>
                </w:tcPr>
                <w:p w14:paraId="10126D02">
                  <w:pPr>
                    <w:jc w:val="center"/>
                    <w:rPr>
                      <w:color w:val="auto"/>
                      <w:szCs w:val="21"/>
                      <w:highlight w:val="none"/>
                    </w:rPr>
                  </w:pPr>
                  <w:r>
                    <w:rPr>
                      <w:rFonts w:hint="eastAsia"/>
                      <w:color w:val="auto"/>
                      <w:szCs w:val="21"/>
                      <w:highlight w:val="none"/>
                    </w:rPr>
                    <w:t>噪声</w:t>
                  </w:r>
                </w:p>
              </w:tc>
              <w:tc>
                <w:tcPr>
                  <w:tcW w:w="644" w:type="pct"/>
                  <w:vAlign w:val="center"/>
                </w:tcPr>
                <w:p w14:paraId="32EF68CC">
                  <w:pPr>
                    <w:jc w:val="center"/>
                    <w:rPr>
                      <w:color w:val="auto"/>
                      <w:szCs w:val="21"/>
                      <w:highlight w:val="none"/>
                    </w:rPr>
                  </w:pPr>
                  <w:r>
                    <w:rPr>
                      <w:rFonts w:hint="eastAsia"/>
                      <w:color w:val="auto"/>
                      <w:szCs w:val="21"/>
                      <w:highlight w:val="none"/>
                    </w:rPr>
                    <w:t>运输噪声</w:t>
                  </w:r>
                </w:p>
              </w:tc>
              <w:tc>
                <w:tcPr>
                  <w:tcW w:w="3275" w:type="pct"/>
                  <w:vAlign w:val="center"/>
                </w:tcPr>
                <w:p w14:paraId="3BCC7A43">
                  <w:pPr>
                    <w:jc w:val="center"/>
                    <w:rPr>
                      <w:color w:val="auto"/>
                      <w:szCs w:val="21"/>
                      <w:highlight w:val="none"/>
                    </w:rPr>
                  </w:pPr>
                  <w:r>
                    <w:rPr>
                      <w:rFonts w:hint="eastAsia"/>
                      <w:color w:val="auto"/>
                      <w:szCs w:val="21"/>
                      <w:highlight w:val="none"/>
                    </w:rPr>
                    <w:t>站内</w:t>
                  </w:r>
                  <w:r>
                    <w:rPr>
                      <w:rFonts w:hint="eastAsia"/>
                      <w:color w:val="auto"/>
                      <w:szCs w:val="21"/>
                      <w:highlight w:val="none"/>
                      <w:lang w:eastAsia="zh-CN"/>
                    </w:rPr>
                    <w:t>设有</w:t>
                  </w:r>
                  <w:r>
                    <w:rPr>
                      <w:rFonts w:hint="eastAsia"/>
                      <w:color w:val="auto"/>
                      <w:szCs w:val="21"/>
                      <w:highlight w:val="none"/>
                    </w:rPr>
                    <w:t>“限速”、“禁鸣”标识。</w:t>
                  </w:r>
                </w:p>
              </w:tc>
            </w:tr>
            <w:tr w14:paraId="1323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70" w:type="pct"/>
                  <w:vMerge w:val="continue"/>
                  <w:vAlign w:val="center"/>
                </w:tcPr>
                <w:p w14:paraId="64B565D7">
                  <w:pPr>
                    <w:jc w:val="center"/>
                    <w:rPr>
                      <w:color w:val="auto"/>
                      <w:szCs w:val="21"/>
                      <w:highlight w:val="none"/>
                    </w:rPr>
                  </w:pPr>
                </w:p>
              </w:tc>
              <w:tc>
                <w:tcPr>
                  <w:tcW w:w="423" w:type="pct"/>
                  <w:vMerge w:val="continue"/>
                  <w:vAlign w:val="center"/>
                </w:tcPr>
                <w:p w14:paraId="4B9B45A6">
                  <w:pPr>
                    <w:jc w:val="center"/>
                    <w:rPr>
                      <w:color w:val="auto"/>
                      <w:szCs w:val="21"/>
                      <w:highlight w:val="none"/>
                    </w:rPr>
                  </w:pPr>
                </w:p>
              </w:tc>
              <w:tc>
                <w:tcPr>
                  <w:tcW w:w="386" w:type="pct"/>
                  <w:vMerge w:val="restart"/>
                  <w:vAlign w:val="center"/>
                </w:tcPr>
                <w:p w14:paraId="10870D53">
                  <w:pPr>
                    <w:jc w:val="center"/>
                    <w:rPr>
                      <w:color w:val="auto"/>
                      <w:szCs w:val="21"/>
                      <w:highlight w:val="none"/>
                    </w:rPr>
                  </w:pPr>
                  <w:r>
                    <w:rPr>
                      <w:rFonts w:hint="eastAsia"/>
                      <w:color w:val="auto"/>
                      <w:szCs w:val="21"/>
                      <w:highlight w:val="none"/>
                    </w:rPr>
                    <w:t>固废</w:t>
                  </w:r>
                </w:p>
              </w:tc>
              <w:tc>
                <w:tcPr>
                  <w:tcW w:w="644" w:type="pct"/>
                  <w:vAlign w:val="center"/>
                </w:tcPr>
                <w:p w14:paraId="6328705F">
                  <w:pPr>
                    <w:jc w:val="center"/>
                    <w:rPr>
                      <w:color w:val="auto"/>
                      <w:szCs w:val="21"/>
                      <w:highlight w:val="none"/>
                    </w:rPr>
                  </w:pPr>
                  <w:r>
                    <w:rPr>
                      <w:color w:val="auto"/>
                      <w:szCs w:val="21"/>
                      <w:highlight w:val="none"/>
                    </w:rPr>
                    <w:t>垃圾桶</w:t>
                  </w:r>
                </w:p>
              </w:tc>
              <w:tc>
                <w:tcPr>
                  <w:tcW w:w="3275" w:type="pct"/>
                  <w:vAlign w:val="center"/>
                </w:tcPr>
                <w:p w14:paraId="47D56115">
                  <w:pPr>
                    <w:jc w:val="center"/>
                    <w:rPr>
                      <w:color w:val="auto"/>
                      <w:szCs w:val="21"/>
                      <w:highlight w:val="none"/>
                    </w:rPr>
                  </w:pPr>
                  <w:r>
                    <w:rPr>
                      <w:color w:val="auto"/>
                      <w:szCs w:val="21"/>
                      <w:highlight w:val="none"/>
                    </w:rPr>
                    <w:t>建设移动式垃圾桶收集生活垃圾</w:t>
                  </w:r>
                </w:p>
              </w:tc>
            </w:tr>
            <w:tr w14:paraId="5C56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70" w:type="pct"/>
                  <w:vMerge w:val="continue"/>
                  <w:vAlign w:val="center"/>
                </w:tcPr>
                <w:p w14:paraId="27834FF4">
                  <w:pPr>
                    <w:jc w:val="center"/>
                    <w:rPr>
                      <w:color w:val="auto"/>
                      <w:szCs w:val="21"/>
                      <w:highlight w:val="none"/>
                    </w:rPr>
                  </w:pPr>
                </w:p>
              </w:tc>
              <w:tc>
                <w:tcPr>
                  <w:tcW w:w="423" w:type="pct"/>
                  <w:vMerge w:val="continue"/>
                  <w:vAlign w:val="center"/>
                </w:tcPr>
                <w:p w14:paraId="61252B55">
                  <w:pPr>
                    <w:jc w:val="center"/>
                    <w:rPr>
                      <w:color w:val="auto"/>
                      <w:szCs w:val="21"/>
                      <w:highlight w:val="none"/>
                    </w:rPr>
                  </w:pPr>
                </w:p>
              </w:tc>
              <w:tc>
                <w:tcPr>
                  <w:tcW w:w="386" w:type="pct"/>
                  <w:vMerge w:val="continue"/>
                  <w:vAlign w:val="center"/>
                </w:tcPr>
                <w:p w14:paraId="0D48C30F">
                  <w:pPr>
                    <w:jc w:val="center"/>
                    <w:rPr>
                      <w:color w:val="auto"/>
                      <w:szCs w:val="21"/>
                      <w:highlight w:val="none"/>
                    </w:rPr>
                  </w:pPr>
                </w:p>
              </w:tc>
              <w:tc>
                <w:tcPr>
                  <w:tcW w:w="644" w:type="pct"/>
                  <w:vAlign w:val="center"/>
                </w:tcPr>
                <w:p w14:paraId="7CBCF292">
                  <w:pPr>
                    <w:jc w:val="center"/>
                    <w:rPr>
                      <w:color w:val="auto"/>
                      <w:szCs w:val="21"/>
                      <w:highlight w:val="none"/>
                    </w:rPr>
                  </w:pPr>
                  <w:r>
                    <w:rPr>
                      <w:rFonts w:hint="eastAsia"/>
                      <w:color w:val="auto"/>
                      <w:szCs w:val="21"/>
                      <w:highlight w:val="none"/>
                    </w:rPr>
                    <w:t>危废暂存间</w:t>
                  </w:r>
                </w:p>
              </w:tc>
              <w:tc>
                <w:tcPr>
                  <w:tcW w:w="3275" w:type="pct"/>
                  <w:vAlign w:val="center"/>
                </w:tcPr>
                <w:p w14:paraId="38B7D150">
                  <w:pPr>
                    <w:jc w:val="center"/>
                    <w:rPr>
                      <w:color w:val="auto"/>
                      <w:szCs w:val="21"/>
                      <w:highlight w:val="none"/>
                    </w:rPr>
                  </w:pPr>
                  <w:r>
                    <w:rPr>
                      <w:rFonts w:hint="eastAsia"/>
                      <w:color w:val="auto"/>
                      <w:szCs w:val="21"/>
                      <w:highlight w:val="none"/>
                    </w:rPr>
                    <w:t>设置一间面积为5m</w:t>
                  </w:r>
                  <w:r>
                    <w:rPr>
                      <w:rFonts w:hint="eastAsia"/>
                      <w:color w:val="auto"/>
                      <w:szCs w:val="21"/>
                      <w:highlight w:val="none"/>
                      <w:vertAlign w:val="superscript"/>
                    </w:rPr>
                    <w:t>2</w:t>
                  </w:r>
                  <w:r>
                    <w:rPr>
                      <w:rFonts w:hint="eastAsia"/>
                      <w:color w:val="auto"/>
                      <w:szCs w:val="21"/>
                      <w:highlight w:val="none"/>
                    </w:rPr>
                    <w:t>的危险废物暂存间，收集过期或残损的烟花爆竹交由公安部门组织销毁、处置。危废暂存间设置防风、防雨、防晒、防渗漏等措施，危险废物暂存间地面及裙脚进行重点防渗，渗透系数≤1×10</w:t>
                  </w:r>
                  <w:r>
                    <w:rPr>
                      <w:rFonts w:hint="eastAsia"/>
                      <w:color w:val="auto"/>
                      <w:szCs w:val="21"/>
                      <w:highlight w:val="none"/>
                      <w:vertAlign w:val="superscript"/>
                    </w:rPr>
                    <w:t>-10</w:t>
                  </w:r>
                  <w:r>
                    <w:rPr>
                      <w:rFonts w:hint="eastAsia"/>
                      <w:color w:val="auto"/>
                      <w:szCs w:val="21"/>
                      <w:highlight w:val="none"/>
                    </w:rPr>
                    <w:t>cm/s。</w:t>
                  </w:r>
                </w:p>
              </w:tc>
            </w:tr>
            <w:tr w14:paraId="1374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0" w:type="pct"/>
                  <w:vMerge w:val="continue"/>
                  <w:vAlign w:val="center"/>
                </w:tcPr>
                <w:p w14:paraId="0369B4FD">
                  <w:pPr>
                    <w:jc w:val="center"/>
                    <w:rPr>
                      <w:color w:val="auto"/>
                      <w:szCs w:val="21"/>
                      <w:highlight w:val="none"/>
                    </w:rPr>
                  </w:pPr>
                </w:p>
              </w:tc>
              <w:tc>
                <w:tcPr>
                  <w:tcW w:w="423" w:type="pct"/>
                  <w:vMerge w:val="continue"/>
                  <w:vAlign w:val="center"/>
                </w:tcPr>
                <w:p w14:paraId="13B7374F">
                  <w:pPr>
                    <w:jc w:val="center"/>
                    <w:rPr>
                      <w:color w:val="auto"/>
                      <w:szCs w:val="21"/>
                      <w:highlight w:val="none"/>
                    </w:rPr>
                  </w:pPr>
                </w:p>
              </w:tc>
              <w:tc>
                <w:tcPr>
                  <w:tcW w:w="386" w:type="pct"/>
                  <w:vAlign w:val="center"/>
                </w:tcPr>
                <w:p w14:paraId="5565868C">
                  <w:pPr>
                    <w:jc w:val="center"/>
                    <w:rPr>
                      <w:color w:val="auto"/>
                      <w:szCs w:val="21"/>
                      <w:highlight w:val="none"/>
                    </w:rPr>
                  </w:pPr>
                  <w:r>
                    <w:rPr>
                      <w:rFonts w:hint="eastAsia"/>
                      <w:color w:val="auto"/>
                      <w:szCs w:val="21"/>
                      <w:highlight w:val="none"/>
                    </w:rPr>
                    <w:t>生态</w:t>
                  </w:r>
                </w:p>
              </w:tc>
              <w:tc>
                <w:tcPr>
                  <w:tcW w:w="644" w:type="pct"/>
                  <w:vAlign w:val="center"/>
                </w:tcPr>
                <w:p w14:paraId="32DD4A56">
                  <w:pPr>
                    <w:jc w:val="center"/>
                    <w:rPr>
                      <w:color w:val="auto"/>
                      <w:szCs w:val="21"/>
                      <w:highlight w:val="none"/>
                    </w:rPr>
                  </w:pPr>
                  <w:r>
                    <w:rPr>
                      <w:color w:val="auto"/>
                      <w:szCs w:val="21"/>
                      <w:highlight w:val="none"/>
                    </w:rPr>
                    <w:t>绿化</w:t>
                  </w:r>
                </w:p>
              </w:tc>
              <w:tc>
                <w:tcPr>
                  <w:tcW w:w="3275" w:type="pct"/>
                  <w:vAlign w:val="center"/>
                </w:tcPr>
                <w:p w14:paraId="00CC0132">
                  <w:pPr>
                    <w:jc w:val="center"/>
                    <w:rPr>
                      <w:color w:val="auto"/>
                      <w:szCs w:val="21"/>
                      <w:highlight w:val="none"/>
                    </w:rPr>
                  </w:pPr>
                  <w:r>
                    <w:rPr>
                      <w:color w:val="auto"/>
                      <w:szCs w:val="21"/>
                      <w:highlight w:val="none"/>
                    </w:rPr>
                    <w:t>绿化面积2679.53m</w:t>
                  </w:r>
                  <w:r>
                    <w:rPr>
                      <w:color w:val="auto"/>
                      <w:szCs w:val="21"/>
                      <w:highlight w:val="none"/>
                      <w:vertAlign w:val="superscript"/>
                    </w:rPr>
                    <w:t>2</w:t>
                  </w:r>
                  <w:r>
                    <w:rPr>
                      <w:color w:val="auto"/>
                      <w:szCs w:val="21"/>
                      <w:highlight w:val="none"/>
                    </w:rPr>
                    <w:t>，绿化率为20.18%</w:t>
                  </w:r>
                </w:p>
              </w:tc>
            </w:tr>
            <w:tr w14:paraId="11B5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0" w:type="pct"/>
                  <w:vMerge w:val="continue"/>
                  <w:vAlign w:val="center"/>
                </w:tcPr>
                <w:p w14:paraId="50BCCA0E">
                  <w:pPr>
                    <w:jc w:val="center"/>
                    <w:rPr>
                      <w:color w:val="auto"/>
                      <w:szCs w:val="21"/>
                      <w:highlight w:val="none"/>
                    </w:rPr>
                  </w:pPr>
                </w:p>
              </w:tc>
              <w:tc>
                <w:tcPr>
                  <w:tcW w:w="423" w:type="pct"/>
                  <w:vMerge w:val="continue"/>
                  <w:vAlign w:val="center"/>
                </w:tcPr>
                <w:p w14:paraId="4CBE2F45">
                  <w:pPr>
                    <w:jc w:val="center"/>
                    <w:rPr>
                      <w:color w:val="auto"/>
                      <w:szCs w:val="21"/>
                      <w:highlight w:val="none"/>
                    </w:rPr>
                  </w:pPr>
                </w:p>
              </w:tc>
              <w:tc>
                <w:tcPr>
                  <w:tcW w:w="386" w:type="pct"/>
                  <w:vMerge w:val="restart"/>
                  <w:vAlign w:val="center"/>
                </w:tcPr>
                <w:p w14:paraId="5DE987E2">
                  <w:pPr>
                    <w:jc w:val="center"/>
                    <w:rPr>
                      <w:color w:val="auto"/>
                      <w:szCs w:val="21"/>
                      <w:highlight w:val="none"/>
                    </w:rPr>
                  </w:pPr>
                  <w:r>
                    <w:rPr>
                      <w:rFonts w:hint="eastAsia"/>
                      <w:color w:val="auto"/>
                      <w:szCs w:val="21"/>
                      <w:highlight w:val="none"/>
                    </w:rPr>
                    <w:t>风险防范设施</w:t>
                  </w:r>
                </w:p>
              </w:tc>
              <w:tc>
                <w:tcPr>
                  <w:tcW w:w="644" w:type="pct"/>
                  <w:vAlign w:val="center"/>
                </w:tcPr>
                <w:p w14:paraId="07AEE9A8">
                  <w:pPr>
                    <w:jc w:val="center"/>
                    <w:rPr>
                      <w:color w:val="auto"/>
                      <w:szCs w:val="21"/>
                      <w:highlight w:val="none"/>
                    </w:rPr>
                  </w:pPr>
                  <w:r>
                    <w:rPr>
                      <w:color w:val="auto"/>
                      <w:szCs w:val="21"/>
                      <w:highlight w:val="none"/>
                    </w:rPr>
                    <w:t>地块一消防水池</w:t>
                  </w:r>
                </w:p>
              </w:tc>
              <w:tc>
                <w:tcPr>
                  <w:tcW w:w="3275" w:type="pct"/>
                  <w:vAlign w:val="center"/>
                </w:tcPr>
                <w:p w14:paraId="4AF15806">
                  <w:pPr>
                    <w:jc w:val="center"/>
                    <w:rPr>
                      <w:color w:val="auto"/>
                      <w:szCs w:val="21"/>
                      <w:highlight w:val="none"/>
                    </w:rPr>
                  </w:pPr>
                  <w:r>
                    <w:rPr>
                      <w:color w:val="auto"/>
                      <w:szCs w:val="21"/>
                      <w:highlight w:val="none"/>
                    </w:rPr>
                    <w:t>位于</w:t>
                  </w:r>
                  <w:r>
                    <w:rPr>
                      <w:rFonts w:hint="eastAsia" w:ascii="宋体" w:hAnsi="宋体" w:cs="宋体"/>
                      <w:color w:val="auto"/>
                      <w:szCs w:val="21"/>
                      <w:highlight w:val="none"/>
                    </w:rPr>
                    <w:t>②</w:t>
                  </w:r>
                  <w:r>
                    <w:rPr>
                      <w:color w:val="auto"/>
                      <w:szCs w:val="21"/>
                      <w:highlight w:val="none"/>
                    </w:rPr>
                    <w:t>烟花爆竹成品库北侧旁，容积为295m</w:t>
                  </w:r>
                  <w:r>
                    <w:rPr>
                      <w:color w:val="auto"/>
                      <w:szCs w:val="21"/>
                      <w:highlight w:val="none"/>
                      <w:vertAlign w:val="superscript"/>
                    </w:rPr>
                    <w:t>3</w:t>
                  </w:r>
                  <w:r>
                    <w:rPr>
                      <w:color w:val="auto"/>
                      <w:szCs w:val="21"/>
                      <w:highlight w:val="none"/>
                    </w:rPr>
                    <w:t>，采用现浇钢筋混凝土结构</w:t>
                  </w:r>
                </w:p>
              </w:tc>
            </w:tr>
            <w:tr w14:paraId="7937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70" w:type="pct"/>
                  <w:vMerge w:val="continue"/>
                  <w:vAlign w:val="center"/>
                </w:tcPr>
                <w:p w14:paraId="0A535536">
                  <w:pPr>
                    <w:jc w:val="center"/>
                    <w:rPr>
                      <w:color w:val="auto"/>
                      <w:szCs w:val="21"/>
                      <w:highlight w:val="none"/>
                    </w:rPr>
                  </w:pPr>
                </w:p>
              </w:tc>
              <w:tc>
                <w:tcPr>
                  <w:tcW w:w="423" w:type="pct"/>
                  <w:vMerge w:val="continue"/>
                  <w:vAlign w:val="center"/>
                </w:tcPr>
                <w:p w14:paraId="6C662FF2">
                  <w:pPr>
                    <w:jc w:val="center"/>
                    <w:rPr>
                      <w:color w:val="auto"/>
                      <w:szCs w:val="21"/>
                      <w:highlight w:val="none"/>
                    </w:rPr>
                  </w:pPr>
                </w:p>
              </w:tc>
              <w:tc>
                <w:tcPr>
                  <w:tcW w:w="386" w:type="pct"/>
                  <w:vMerge w:val="continue"/>
                  <w:vAlign w:val="center"/>
                </w:tcPr>
                <w:p w14:paraId="02057148">
                  <w:pPr>
                    <w:jc w:val="center"/>
                    <w:rPr>
                      <w:color w:val="auto"/>
                      <w:szCs w:val="21"/>
                      <w:highlight w:val="none"/>
                    </w:rPr>
                  </w:pPr>
                </w:p>
              </w:tc>
              <w:tc>
                <w:tcPr>
                  <w:tcW w:w="644" w:type="pct"/>
                  <w:vAlign w:val="center"/>
                </w:tcPr>
                <w:p w14:paraId="03ADD454">
                  <w:pPr>
                    <w:jc w:val="center"/>
                    <w:rPr>
                      <w:color w:val="auto"/>
                      <w:szCs w:val="21"/>
                      <w:highlight w:val="none"/>
                    </w:rPr>
                  </w:pPr>
                  <w:r>
                    <w:rPr>
                      <w:color w:val="auto"/>
                      <w:szCs w:val="21"/>
                      <w:highlight w:val="none"/>
                    </w:rPr>
                    <w:t>事故池</w:t>
                  </w:r>
                </w:p>
              </w:tc>
              <w:tc>
                <w:tcPr>
                  <w:tcW w:w="3275" w:type="pct"/>
                  <w:vAlign w:val="center"/>
                </w:tcPr>
                <w:p w14:paraId="6F23F051">
                  <w:pPr>
                    <w:jc w:val="center"/>
                    <w:rPr>
                      <w:color w:val="auto"/>
                      <w:szCs w:val="21"/>
                      <w:highlight w:val="none"/>
                    </w:rPr>
                  </w:pPr>
                  <w:r>
                    <w:rPr>
                      <w:color w:val="auto"/>
                      <w:szCs w:val="21"/>
                      <w:highlight w:val="none"/>
                    </w:rPr>
                    <w:t>容积为130m</w:t>
                  </w:r>
                  <w:r>
                    <w:rPr>
                      <w:color w:val="auto"/>
                      <w:szCs w:val="21"/>
                      <w:highlight w:val="none"/>
                      <w:vertAlign w:val="superscript"/>
                    </w:rPr>
                    <w:t>3</w:t>
                  </w:r>
                  <w:r>
                    <w:rPr>
                      <w:color w:val="auto"/>
                      <w:szCs w:val="21"/>
                      <w:highlight w:val="none"/>
                    </w:rPr>
                    <w:t>，采用现浇钢筋混凝土结构</w:t>
                  </w:r>
                </w:p>
              </w:tc>
            </w:tr>
          </w:tbl>
          <w:p w14:paraId="71C703C0">
            <w:pPr>
              <w:pStyle w:val="61"/>
              <w:spacing w:before="0" w:after="0" w:line="240" w:lineRule="auto"/>
              <w:ind w:left="105" w:leftChars="50" w:right="105" w:rightChars="50"/>
              <w:jc w:val="center"/>
              <w:rPr>
                <w:rFonts w:ascii="Times New Roman" w:hAnsi="Times New Roman" w:eastAsia="宋体" w:cs="Times New Roman"/>
                <w:b/>
                <w:bCs/>
                <w:color w:val="auto"/>
                <w:sz w:val="21"/>
                <w:szCs w:val="21"/>
                <w:highlight w:val="none"/>
              </w:rPr>
            </w:pPr>
          </w:p>
          <w:p w14:paraId="2C5F0B19">
            <w:pPr>
              <w:spacing w:line="360" w:lineRule="auto"/>
              <w:ind w:firstLine="482" w:firstLineChars="200"/>
              <w:rPr>
                <w:b/>
                <w:snapToGrid w:val="0"/>
                <w:color w:val="auto"/>
                <w:kern w:val="0"/>
                <w:sz w:val="24"/>
                <w:szCs w:val="24"/>
                <w:highlight w:val="none"/>
              </w:rPr>
            </w:pPr>
            <w:r>
              <w:rPr>
                <w:b/>
                <w:snapToGrid w:val="0"/>
                <w:color w:val="auto"/>
                <w:kern w:val="0"/>
                <w:sz w:val="24"/>
                <w:szCs w:val="24"/>
                <w:highlight w:val="none"/>
              </w:rPr>
              <w:t>4、现有项目设备情况</w:t>
            </w:r>
          </w:p>
          <w:p w14:paraId="146E4E08">
            <w:pPr>
              <w:spacing w:line="360" w:lineRule="auto"/>
              <w:ind w:firstLine="480" w:firstLineChars="200"/>
              <w:rPr>
                <w:snapToGrid w:val="0"/>
                <w:color w:val="auto"/>
                <w:kern w:val="0"/>
                <w:sz w:val="24"/>
                <w:szCs w:val="24"/>
                <w:highlight w:val="none"/>
              </w:rPr>
            </w:pPr>
            <w:r>
              <w:rPr>
                <w:color w:val="auto"/>
                <w:sz w:val="24"/>
                <w:szCs w:val="24"/>
                <w:highlight w:val="none"/>
              </w:rPr>
              <w:t>现有项目设备配置情况见表2-</w:t>
            </w:r>
            <w:r>
              <w:rPr>
                <w:rFonts w:hint="eastAsia"/>
                <w:color w:val="auto"/>
                <w:sz w:val="24"/>
                <w:szCs w:val="24"/>
                <w:highlight w:val="none"/>
                <w:lang w:val="en-US" w:eastAsia="zh-CN"/>
              </w:rPr>
              <w:t>13</w:t>
            </w:r>
            <w:r>
              <w:rPr>
                <w:color w:val="auto"/>
                <w:sz w:val="24"/>
                <w:szCs w:val="24"/>
                <w:highlight w:val="none"/>
              </w:rPr>
              <w:t>。</w:t>
            </w:r>
          </w:p>
          <w:p w14:paraId="78B6A88B">
            <w:pPr>
              <w:adjustRightInd w:val="0"/>
              <w:snapToGrid w:val="0"/>
              <w:jc w:val="center"/>
              <w:rPr>
                <w:b/>
                <w:color w:val="auto"/>
                <w:szCs w:val="21"/>
                <w:highlight w:val="none"/>
              </w:rPr>
            </w:pPr>
          </w:p>
          <w:p w14:paraId="2D4BC46B">
            <w:pPr>
              <w:adjustRightInd w:val="0"/>
              <w:snapToGrid w:val="0"/>
              <w:jc w:val="center"/>
              <w:rPr>
                <w:b/>
                <w:color w:val="auto"/>
                <w:szCs w:val="21"/>
                <w:highlight w:val="none"/>
              </w:rPr>
            </w:pPr>
            <w:r>
              <w:rPr>
                <w:b/>
                <w:color w:val="auto"/>
                <w:szCs w:val="21"/>
                <w:highlight w:val="none"/>
              </w:rPr>
              <w:t>表2-</w:t>
            </w:r>
            <w:r>
              <w:rPr>
                <w:rFonts w:hint="eastAsia"/>
                <w:b/>
                <w:color w:val="auto"/>
                <w:szCs w:val="21"/>
                <w:highlight w:val="none"/>
                <w:lang w:val="en-US" w:eastAsia="zh-CN"/>
              </w:rPr>
              <w:t>13</w:t>
            </w:r>
            <w:r>
              <w:rPr>
                <w:b/>
                <w:color w:val="auto"/>
                <w:szCs w:val="21"/>
                <w:highlight w:val="none"/>
              </w:rPr>
              <w:t xml:space="preserve">  现有项目设备配置一览表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113"/>
              <w:gridCol w:w="1289"/>
              <w:gridCol w:w="1288"/>
            </w:tblGrid>
            <w:tr w14:paraId="3726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2" w:type="pct"/>
                  <w:vAlign w:val="center"/>
                </w:tcPr>
                <w:p w14:paraId="7E43F204">
                  <w:pPr>
                    <w:jc w:val="center"/>
                    <w:rPr>
                      <w:b/>
                      <w:bCs/>
                      <w:color w:val="auto"/>
                      <w:szCs w:val="21"/>
                      <w:highlight w:val="none"/>
                    </w:rPr>
                  </w:pPr>
                  <w:r>
                    <w:rPr>
                      <w:b/>
                      <w:bCs/>
                      <w:color w:val="auto"/>
                      <w:szCs w:val="21"/>
                      <w:highlight w:val="none"/>
                    </w:rPr>
                    <w:t>序号</w:t>
                  </w:r>
                </w:p>
              </w:tc>
              <w:tc>
                <w:tcPr>
                  <w:tcW w:w="2629" w:type="pct"/>
                  <w:vAlign w:val="center"/>
                </w:tcPr>
                <w:p w14:paraId="5A5DE60A">
                  <w:pPr>
                    <w:jc w:val="center"/>
                    <w:rPr>
                      <w:b/>
                      <w:bCs/>
                      <w:color w:val="auto"/>
                      <w:szCs w:val="21"/>
                      <w:highlight w:val="none"/>
                    </w:rPr>
                  </w:pPr>
                  <w:r>
                    <w:rPr>
                      <w:b/>
                      <w:bCs/>
                      <w:color w:val="auto"/>
                      <w:szCs w:val="21"/>
                      <w:highlight w:val="none"/>
                    </w:rPr>
                    <w:t>设备名称</w:t>
                  </w:r>
                </w:p>
              </w:tc>
              <w:tc>
                <w:tcPr>
                  <w:tcW w:w="824" w:type="pct"/>
                  <w:vAlign w:val="center"/>
                </w:tcPr>
                <w:p w14:paraId="6969E0A5">
                  <w:pPr>
                    <w:jc w:val="center"/>
                    <w:rPr>
                      <w:b/>
                      <w:bCs/>
                      <w:color w:val="auto"/>
                      <w:szCs w:val="21"/>
                      <w:highlight w:val="none"/>
                    </w:rPr>
                  </w:pPr>
                  <w:r>
                    <w:rPr>
                      <w:b/>
                      <w:bCs/>
                      <w:color w:val="auto"/>
                      <w:szCs w:val="21"/>
                      <w:highlight w:val="none"/>
                    </w:rPr>
                    <w:t>单位</w:t>
                  </w:r>
                </w:p>
              </w:tc>
              <w:tc>
                <w:tcPr>
                  <w:tcW w:w="823" w:type="pct"/>
                  <w:vAlign w:val="center"/>
                </w:tcPr>
                <w:p w14:paraId="4E4B83D1">
                  <w:pPr>
                    <w:jc w:val="center"/>
                    <w:rPr>
                      <w:b/>
                      <w:bCs/>
                      <w:color w:val="auto"/>
                      <w:szCs w:val="21"/>
                      <w:highlight w:val="none"/>
                    </w:rPr>
                  </w:pPr>
                  <w:r>
                    <w:rPr>
                      <w:b/>
                      <w:bCs/>
                      <w:color w:val="auto"/>
                      <w:szCs w:val="21"/>
                      <w:highlight w:val="none"/>
                    </w:rPr>
                    <w:t>数量</w:t>
                  </w:r>
                </w:p>
              </w:tc>
            </w:tr>
            <w:tr w14:paraId="6A50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22" w:type="pct"/>
                  <w:vAlign w:val="center"/>
                </w:tcPr>
                <w:p w14:paraId="3C888708">
                  <w:pPr>
                    <w:jc w:val="center"/>
                    <w:rPr>
                      <w:color w:val="auto"/>
                      <w:szCs w:val="21"/>
                      <w:highlight w:val="none"/>
                    </w:rPr>
                  </w:pPr>
                  <w:r>
                    <w:rPr>
                      <w:color w:val="auto"/>
                      <w:szCs w:val="21"/>
                      <w:highlight w:val="none"/>
                    </w:rPr>
                    <w:t>1</w:t>
                  </w:r>
                </w:p>
              </w:tc>
              <w:tc>
                <w:tcPr>
                  <w:tcW w:w="2629" w:type="pct"/>
                  <w:vAlign w:val="center"/>
                </w:tcPr>
                <w:p w14:paraId="6BE0257D">
                  <w:pPr>
                    <w:jc w:val="center"/>
                    <w:rPr>
                      <w:color w:val="auto"/>
                      <w:szCs w:val="21"/>
                      <w:highlight w:val="none"/>
                    </w:rPr>
                  </w:pPr>
                  <w:r>
                    <w:rPr>
                      <w:color w:val="auto"/>
                      <w:szCs w:val="21"/>
                      <w:highlight w:val="none"/>
                    </w:rPr>
                    <w:t>专用配送运输车辆</w:t>
                  </w:r>
                </w:p>
              </w:tc>
              <w:tc>
                <w:tcPr>
                  <w:tcW w:w="824" w:type="pct"/>
                  <w:vAlign w:val="center"/>
                </w:tcPr>
                <w:p w14:paraId="099E3B84">
                  <w:pPr>
                    <w:jc w:val="center"/>
                    <w:rPr>
                      <w:color w:val="auto"/>
                      <w:szCs w:val="21"/>
                      <w:highlight w:val="none"/>
                    </w:rPr>
                  </w:pPr>
                  <w:r>
                    <w:rPr>
                      <w:color w:val="auto"/>
                      <w:szCs w:val="21"/>
                      <w:highlight w:val="none"/>
                    </w:rPr>
                    <w:t>辆</w:t>
                  </w:r>
                </w:p>
              </w:tc>
              <w:tc>
                <w:tcPr>
                  <w:tcW w:w="823" w:type="pct"/>
                  <w:vAlign w:val="center"/>
                </w:tcPr>
                <w:p w14:paraId="42E66E20">
                  <w:pPr>
                    <w:jc w:val="center"/>
                    <w:rPr>
                      <w:color w:val="auto"/>
                      <w:szCs w:val="21"/>
                      <w:highlight w:val="none"/>
                    </w:rPr>
                  </w:pPr>
                  <w:r>
                    <w:rPr>
                      <w:color w:val="auto"/>
                      <w:szCs w:val="21"/>
                      <w:highlight w:val="none"/>
                    </w:rPr>
                    <w:t>2</w:t>
                  </w:r>
                </w:p>
              </w:tc>
            </w:tr>
            <w:tr w14:paraId="4190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7EA3ECB7">
                  <w:pPr>
                    <w:jc w:val="center"/>
                    <w:rPr>
                      <w:color w:val="auto"/>
                      <w:szCs w:val="21"/>
                      <w:highlight w:val="none"/>
                    </w:rPr>
                  </w:pPr>
                  <w:r>
                    <w:rPr>
                      <w:color w:val="auto"/>
                      <w:szCs w:val="21"/>
                      <w:highlight w:val="none"/>
                    </w:rPr>
                    <w:t>2</w:t>
                  </w:r>
                </w:p>
              </w:tc>
              <w:tc>
                <w:tcPr>
                  <w:tcW w:w="2629" w:type="pct"/>
                  <w:vAlign w:val="center"/>
                </w:tcPr>
                <w:p w14:paraId="20E496D2">
                  <w:pPr>
                    <w:jc w:val="center"/>
                    <w:rPr>
                      <w:color w:val="auto"/>
                      <w:szCs w:val="21"/>
                      <w:highlight w:val="none"/>
                    </w:rPr>
                  </w:pPr>
                  <w:r>
                    <w:rPr>
                      <w:color w:val="auto"/>
                      <w:szCs w:val="21"/>
                      <w:highlight w:val="none"/>
                    </w:rPr>
                    <w:t>视频监控</w:t>
                  </w:r>
                </w:p>
              </w:tc>
              <w:tc>
                <w:tcPr>
                  <w:tcW w:w="824" w:type="pct"/>
                  <w:vAlign w:val="center"/>
                </w:tcPr>
                <w:p w14:paraId="1D9F051C">
                  <w:pPr>
                    <w:jc w:val="center"/>
                    <w:rPr>
                      <w:color w:val="auto"/>
                      <w:szCs w:val="21"/>
                      <w:highlight w:val="none"/>
                    </w:rPr>
                  </w:pPr>
                  <w:r>
                    <w:rPr>
                      <w:color w:val="auto"/>
                      <w:szCs w:val="21"/>
                      <w:highlight w:val="none"/>
                    </w:rPr>
                    <w:t>套</w:t>
                  </w:r>
                </w:p>
              </w:tc>
              <w:tc>
                <w:tcPr>
                  <w:tcW w:w="823" w:type="pct"/>
                  <w:vAlign w:val="center"/>
                </w:tcPr>
                <w:p w14:paraId="343921C2">
                  <w:pPr>
                    <w:jc w:val="center"/>
                    <w:rPr>
                      <w:color w:val="auto"/>
                      <w:szCs w:val="21"/>
                      <w:highlight w:val="none"/>
                    </w:rPr>
                  </w:pPr>
                  <w:r>
                    <w:rPr>
                      <w:color w:val="auto"/>
                      <w:szCs w:val="21"/>
                      <w:highlight w:val="none"/>
                    </w:rPr>
                    <w:t>1</w:t>
                  </w:r>
                </w:p>
              </w:tc>
            </w:tr>
            <w:tr w14:paraId="7D34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22" w:type="pct"/>
                  <w:vAlign w:val="center"/>
                </w:tcPr>
                <w:p w14:paraId="33FFFC1A">
                  <w:pPr>
                    <w:jc w:val="center"/>
                    <w:rPr>
                      <w:color w:val="auto"/>
                      <w:szCs w:val="21"/>
                      <w:highlight w:val="none"/>
                    </w:rPr>
                  </w:pPr>
                  <w:r>
                    <w:rPr>
                      <w:color w:val="auto"/>
                      <w:szCs w:val="21"/>
                      <w:highlight w:val="none"/>
                    </w:rPr>
                    <w:t>3</w:t>
                  </w:r>
                </w:p>
              </w:tc>
              <w:tc>
                <w:tcPr>
                  <w:tcW w:w="2629" w:type="pct"/>
                  <w:vAlign w:val="center"/>
                </w:tcPr>
                <w:p w14:paraId="55B501E9">
                  <w:pPr>
                    <w:jc w:val="center"/>
                    <w:rPr>
                      <w:color w:val="auto"/>
                      <w:szCs w:val="21"/>
                      <w:highlight w:val="none"/>
                    </w:rPr>
                  </w:pPr>
                  <w:r>
                    <w:rPr>
                      <w:color w:val="auto"/>
                      <w:szCs w:val="21"/>
                      <w:highlight w:val="none"/>
                    </w:rPr>
                    <w:t>入侵监控</w:t>
                  </w:r>
                </w:p>
              </w:tc>
              <w:tc>
                <w:tcPr>
                  <w:tcW w:w="824" w:type="pct"/>
                  <w:vAlign w:val="center"/>
                </w:tcPr>
                <w:p w14:paraId="50DD20E1">
                  <w:pPr>
                    <w:jc w:val="center"/>
                    <w:rPr>
                      <w:color w:val="auto"/>
                      <w:szCs w:val="21"/>
                      <w:highlight w:val="none"/>
                    </w:rPr>
                  </w:pPr>
                  <w:r>
                    <w:rPr>
                      <w:color w:val="auto"/>
                      <w:szCs w:val="21"/>
                      <w:highlight w:val="none"/>
                    </w:rPr>
                    <w:t>套</w:t>
                  </w:r>
                </w:p>
              </w:tc>
              <w:tc>
                <w:tcPr>
                  <w:tcW w:w="823" w:type="pct"/>
                  <w:vAlign w:val="center"/>
                </w:tcPr>
                <w:p w14:paraId="5F79E5D8">
                  <w:pPr>
                    <w:jc w:val="center"/>
                    <w:rPr>
                      <w:color w:val="auto"/>
                      <w:szCs w:val="21"/>
                      <w:highlight w:val="none"/>
                    </w:rPr>
                  </w:pPr>
                  <w:r>
                    <w:rPr>
                      <w:color w:val="auto"/>
                      <w:szCs w:val="21"/>
                      <w:highlight w:val="none"/>
                    </w:rPr>
                    <w:t>1</w:t>
                  </w:r>
                </w:p>
              </w:tc>
            </w:tr>
            <w:tr w14:paraId="3839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12283162">
                  <w:pPr>
                    <w:jc w:val="center"/>
                    <w:rPr>
                      <w:color w:val="auto"/>
                      <w:szCs w:val="21"/>
                      <w:highlight w:val="none"/>
                    </w:rPr>
                  </w:pPr>
                  <w:r>
                    <w:rPr>
                      <w:color w:val="auto"/>
                      <w:szCs w:val="21"/>
                      <w:highlight w:val="none"/>
                    </w:rPr>
                    <w:t>4</w:t>
                  </w:r>
                </w:p>
              </w:tc>
              <w:tc>
                <w:tcPr>
                  <w:tcW w:w="2629" w:type="pct"/>
                  <w:vAlign w:val="center"/>
                </w:tcPr>
                <w:p w14:paraId="6E595959">
                  <w:pPr>
                    <w:jc w:val="center"/>
                    <w:rPr>
                      <w:color w:val="auto"/>
                      <w:szCs w:val="21"/>
                      <w:highlight w:val="none"/>
                    </w:rPr>
                  </w:pPr>
                  <w:r>
                    <w:rPr>
                      <w:color w:val="auto"/>
                      <w:szCs w:val="21"/>
                      <w:highlight w:val="none"/>
                    </w:rPr>
                    <w:t>配电箱及线路</w:t>
                  </w:r>
                </w:p>
              </w:tc>
              <w:tc>
                <w:tcPr>
                  <w:tcW w:w="824" w:type="pct"/>
                  <w:vAlign w:val="center"/>
                </w:tcPr>
                <w:p w14:paraId="3BED2FFD">
                  <w:pPr>
                    <w:jc w:val="center"/>
                    <w:rPr>
                      <w:color w:val="auto"/>
                      <w:szCs w:val="21"/>
                      <w:highlight w:val="none"/>
                    </w:rPr>
                  </w:pPr>
                  <w:r>
                    <w:rPr>
                      <w:color w:val="auto"/>
                      <w:szCs w:val="21"/>
                      <w:highlight w:val="none"/>
                    </w:rPr>
                    <w:t>套</w:t>
                  </w:r>
                </w:p>
              </w:tc>
              <w:tc>
                <w:tcPr>
                  <w:tcW w:w="823" w:type="pct"/>
                  <w:vAlign w:val="center"/>
                </w:tcPr>
                <w:p w14:paraId="3BED8A3B">
                  <w:pPr>
                    <w:jc w:val="center"/>
                    <w:rPr>
                      <w:color w:val="auto"/>
                      <w:szCs w:val="21"/>
                      <w:highlight w:val="none"/>
                    </w:rPr>
                  </w:pPr>
                  <w:r>
                    <w:rPr>
                      <w:color w:val="auto"/>
                      <w:szCs w:val="21"/>
                      <w:highlight w:val="none"/>
                    </w:rPr>
                    <w:t>1</w:t>
                  </w:r>
                </w:p>
              </w:tc>
            </w:tr>
            <w:tr w14:paraId="391A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57EA2D9A">
                  <w:pPr>
                    <w:jc w:val="center"/>
                    <w:rPr>
                      <w:color w:val="auto"/>
                      <w:szCs w:val="21"/>
                      <w:highlight w:val="none"/>
                    </w:rPr>
                  </w:pPr>
                  <w:r>
                    <w:rPr>
                      <w:color w:val="auto"/>
                      <w:szCs w:val="21"/>
                      <w:highlight w:val="none"/>
                    </w:rPr>
                    <w:t>5</w:t>
                  </w:r>
                </w:p>
              </w:tc>
              <w:tc>
                <w:tcPr>
                  <w:tcW w:w="2629" w:type="pct"/>
                  <w:vAlign w:val="center"/>
                </w:tcPr>
                <w:p w14:paraId="4B4F17CE">
                  <w:pPr>
                    <w:jc w:val="center"/>
                    <w:rPr>
                      <w:color w:val="auto"/>
                      <w:szCs w:val="21"/>
                      <w:highlight w:val="none"/>
                    </w:rPr>
                  </w:pPr>
                  <w:r>
                    <w:rPr>
                      <w:color w:val="auto"/>
                      <w:szCs w:val="21"/>
                      <w:highlight w:val="none"/>
                    </w:rPr>
                    <w:t>库用工具及仪器</w:t>
                  </w:r>
                </w:p>
              </w:tc>
              <w:tc>
                <w:tcPr>
                  <w:tcW w:w="824" w:type="pct"/>
                  <w:vAlign w:val="center"/>
                </w:tcPr>
                <w:p w14:paraId="0B4CBBB8">
                  <w:pPr>
                    <w:jc w:val="center"/>
                    <w:rPr>
                      <w:color w:val="auto"/>
                      <w:szCs w:val="21"/>
                      <w:highlight w:val="none"/>
                    </w:rPr>
                  </w:pPr>
                  <w:r>
                    <w:rPr>
                      <w:color w:val="auto"/>
                      <w:szCs w:val="21"/>
                      <w:highlight w:val="none"/>
                    </w:rPr>
                    <w:t>套</w:t>
                  </w:r>
                </w:p>
              </w:tc>
              <w:tc>
                <w:tcPr>
                  <w:tcW w:w="823" w:type="pct"/>
                  <w:vAlign w:val="center"/>
                </w:tcPr>
                <w:p w14:paraId="77301AF8">
                  <w:pPr>
                    <w:jc w:val="center"/>
                    <w:rPr>
                      <w:color w:val="auto"/>
                      <w:szCs w:val="21"/>
                      <w:highlight w:val="none"/>
                    </w:rPr>
                  </w:pPr>
                  <w:r>
                    <w:rPr>
                      <w:color w:val="auto"/>
                      <w:szCs w:val="21"/>
                      <w:highlight w:val="none"/>
                    </w:rPr>
                    <w:t>1</w:t>
                  </w:r>
                </w:p>
              </w:tc>
            </w:tr>
            <w:tr w14:paraId="3E54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537B1EB2">
                  <w:pPr>
                    <w:jc w:val="center"/>
                    <w:rPr>
                      <w:color w:val="auto"/>
                      <w:szCs w:val="21"/>
                      <w:highlight w:val="none"/>
                    </w:rPr>
                  </w:pPr>
                  <w:r>
                    <w:rPr>
                      <w:color w:val="auto"/>
                      <w:szCs w:val="21"/>
                      <w:highlight w:val="none"/>
                    </w:rPr>
                    <w:t>6</w:t>
                  </w:r>
                </w:p>
              </w:tc>
              <w:tc>
                <w:tcPr>
                  <w:tcW w:w="2629" w:type="pct"/>
                  <w:vAlign w:val="center"/>
                </w:tcPr>
                <w:p w14:paraId="2ED3AC47">
                  <w:pPr>
                    <w:jc w:val="center"/>
                    <w:rPr>
                      <w:color w:val="auto"/>
                      <w:szCs w:val="21"/>
                      <w:highlight w:val="none"/>
                    </w:rPr>
                  </w:pPr>
                  <w:r>
                    <w:rPr>
                      <w:color w:val="auto"/>
                      <w:szCs w:val="21"/>
                      <w:highlight w:val="none"/>
                    </w:rPr>
                    <w:t>烟花爆竹专用车</w:t>
                  </w:r>
                </w:p>
              </w:tc>
              <w:tc>
                <w:tcPr>
                  <w:tcW w:w="824" w:type="pct"/>
                  <w:vAlign w:val="center"/>
                </w:tcPr>
                <w:p w14:paraId="677DEDD5">
                  <w:pPr>
                    <w:jc w:val="center"/>
                    <w:rPr>
                      <w:color w:val="auto"/>
                      <w:szCs w:val="21"/>
                      <w:highlight w:val="none"/>
                    </w:rPr>
                  </w:pPr>
                  <w:r>
                    <w:rPr>
                      <w:color w:val="auto"/>
                      <w:szCs w:val="21"/>
                      <w:highlight w:val="none"/>
                    </w:rPr>
                    <w:t>辆</w:t>
                  </w:r>
                </w:p>
              </w:tc>
              <w:tc>
                <w:tcPr>
                  <w:tcW w:w="823" w:type="pct"/>
                  <w:vAlign w:val="center"/>
                </w:tcPr>
                <w:p w14:paraId="5177E773">
                  <w:pPr>
                    <w:jc w:val="center"/>
                    <w:rPr>
                      <w:color w:val="auto"/>
                      <w:szCs w:val="21"/>
                      <w:highlight w:val="none"/>
                    </w:rPr>
                  </w:pPr>
                  <w:r>
                    <w:rPr>
                      <w:color w:val="auto"/>
                      <w:szCs w:val="21"/>
                      <w:highlight w:val="none"/>
                    </w:rPr>
                    <w:t>5</w:t>
                  </w:r>
                </w:p>
              </w:tc>
            </w:tr>
            <w:tr w14:paraId="1935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36BA6236">
                  <w:pPr>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2629" w:type="pct"/>
                  <w:vAlign w:val="center"/>
                </w:tcPr>
                <w:p w14:paraId="7E9A02A0">
                  <w:pPr>
                    <w:jc w:val="center"/>
                    <w:rPr>
                      <w:rFonts w:hint="default" w:eastAsia="宋体"/>
                      <w:color w:val="auto"/>
                      <w:szCs w:val="21"/>
                      <w:highlight w:val="none"/>
                      <w:lang w:val="en-US" w:eastAsia="zh-CN"/>
                    </w:rPr>
                  </w:pPr>
                  <w:r>
                    <w:rPr>
                      <w:rFonts w:hint="eastAsia"/>
                      <w:color w:val="auto"/>
                      <w:szCs w:val="21"/>
                      <w:highlight w:val="none"/>
                      <w:lang w:val="en-US" w:eastAsia="zh-CN"/>
                    </w:rPr>
                    <w:t>灭火器</w:t>
                  </w:r>
                </w:p>
              </w:tc>
              <w:tc>
                <w:tcPr>
                  <w:tcW w:w="824" w:type="pct"/>
                  <w:vAlign w:val="center"/>
                </w:tcPr>
                <w:p w14:paraId="268B147A">
                  <w:pPr>
                    <w:jc w:val="center"/>
                    <w:rPr>
                      <w:rFonts w:hint="eastAsia" w:eastAsia="宋体"/>
                      <w:color w:val="auto"/>
                      <w:szCs w:val="21"/>
                      <w:highlight w:val="none"/>
                      <w:lang w:val="en-US" w:eastAsia="zh-CN"/>
                    </w:rPr>
                  </w:pPr>
                  <w:r>
                    <w:rPr>
                      <w:rFonts w:hint="eastAsia"/>
                      <w:color w:val="auto"/>
                      <w:szCs w:val="21"/>
                      <w:highlight w:val="none"/>
                      <w:lang w:val="en-US" w:eastAsia="zh-CN"/>
                    </w:rPr>
                    <w:t>个</w:t>
                  </w:r>
                </w:p>
              </w:tc>
              <w:tc>
                <w:tcPr>
                  <w:tcW w:w="823" w:type="pct"/>
                  <w:vAlign w:val="center"/>
                </w:tcPr>
                <w:p w14:paraId="25B88F54">
                  <w:pPr>
                    <w:jc w:val="center"/>
                    <w:rPr>
                      <w:rFonts w:hint="default" w:eastAsia="宋体"/>
                      <w:color w:val="auto"/>
                      <w:szCs w:val="21"/>
                      <w:highlight w:val="none"/>
                      <w:lang w:val="en-US" w:eastAsia="zh-CN"/>
                    </w:rPr>
                  </w:pPr>
                  <w:r>
                    <w:rPr>
                      <w:rFonts w:hint="eastAsia"/>
                      <w:color w:val="auto"/>
                      <w:szCs w:val="21"/>
                      <w:highlight w:val="none"/>
                      <w:lang w:val="en-US" w:eastAsia="zh-CN"/>
                    </w:rPr>
                    <w:t>18</w:t>
                  </w:r>
                </w:p>
              </w:tc>
            </w:tr>
            <w:tr w14:paraId="49A6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489FF884">
                  <w:pPr>
                    <w:jc w:val="center"/>
                    <w:rPr>
                      <w:rFonts w:hint="eastAsia" w:eastAsia="宋体"/>
                      <w:color w:val="auto"/>
                      <w:szCs w:val="21"/>
                      <w:highlight w:val="none"/>
                      <w:lang w:val="en-US" w:eastAsia="zh-CN"/>
                    </w:rPr>
                  </w:pPr>
                  <w:r>
                    <w:rPr>
                      <w:rFonts w:hint="eastAsia"/>
                      <w:color w:val="auto"/>
                      <w:szCs w:val="21"/>
                      <w:highlight w:val="none"/>
                      <w:lang w:val="en-US" w:eastAsia="zh-CN"/>
                    </w:rPr>
                    <w:t>8</w:t>
                  </w:r>
                </w:p>
              </w:tc>
              <w:tc>
                <w:tcPr>
                  <w:tcW w:w="2629" w:type="pct"/>
                  <w:vAlign w:val="center"/>
                </w:tcPr>
                <w:p w14:paraId="55478100">
                  <w:pPr>
                    <w:jc w:val="center"/>
                    <w:rPr>
                      <w:rFonts w:hint="eastAsia" w:eastAsia="宋体"/>
                      <w:color w:val="auto"/>
                      <w:szCs w:val="21"/>
                      <w:highlight w:val="none"/>
                      <w:lang w:val="en-US" w:eastAsia="zh-CN"/>
                    </w:rPr>
                  </w:pPr>
                  <w:r>
                    <w:rPr>
                      <w:rFonts w:hint="eastAsia"/>
                      <w:color w:val="auto"/>
                      <w:szCs w:val="21"/>
                      <w:highlight w:val="none"/>
                      <w:lang w:val="en-US" w:eastAsia="zh-CN"/>
                    </w:rPr>
                    <w:t>消防栓</w:t>
                  </w:r>
                </w:p>
              </w:tc>
              <w:tc>
                <w:tcPr>
                  <w:tcW w:w="824" w:type="pct"/>
                  <w:vAlign w:val="center"/>
                </w:tcPr>
                <w:p w14:paraId="5C10F8F6">
                  <w:pPr>
                    <w:jc w:val="center"/>
                    <w:rPr>
                      <w:rFonts w:hint="eastAsia" w:eastAsia="宋体"/>
                      <w:color w:val="auto"/>
                      <w:szCs w:val="21"/>
                      <w:highlight w:val="none"/>
                      <w:lang w:val="en-US" w:eastAsia="zh-CN"/>
                    </w:rPr>
                  </w:pPr>
                  <w:r>
                    <w:rPr>
                      <w:rFonts w:hint="eastAsia"/>
                      <w:color w:val="auto"/>
                      <w:szCs w:val="21"/>
                      <w:highlight w:val="none"/>
                      <w:lang w:val="en-US" w:eastAsia="zh-CN"/>
                    </w:rPr>
                    <w:t>个</w:t>
                  </w:r>
                </w:p>
              </w:tc>
              <w:tc>
                <w:tcPr>
                  <w:tcW w:w="823" w:type="pct"/>
                  <w:vAlign w:val="center"/>
                </w:tcPr>
                <w:p w14:paraId="2DF771B0">
                  <w:pPr>
                    <w:jc w:val="center"/>
                    <w:rPr>
                      <w:rFonts w:hint="eastAsia" w:eastAsia="宋体"/>
                      <w:color w:val="auto"/>
                      <w:szCs w:val="21"/>
                      <w:highlight w:val="none"/>
                      <w:lang w:val="en-US" w:eastAsia="zh-CN"/>
                    </w:rPr>
                  </w:pPr>
                  <w:r>
                    <w:rPr>
                      <w:rFonts w:hint="eastAsia"/>
                      <w:color w:val="auto"/>
                      <w:szCs w:val="21"/>
                      <w:highlight w:val="none"/>
                      <w:lang w:val="en-US" w:eastAsia="zh-CN"/>
                    </w:rPr>
                    <w:t>6</w:t>
                  </w:r>
                </w:p>
              </w:tc>
            </w:tr>
            <w:tr w14:paraId="735D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1511EC1B">
                  <w:pPr>
                    <w:jc w:val="center"/>
                    <w:rPr>
                      <w:rFonts w:hint="eastAsia" w:eastAsia="宋体"/>
                      <w:color w:val="auto"/>
                      <w:szCs w:val="21"/>
                      <w:highlight w:val="none"/>
                      <w:lang w:val="en-US" w:eastAsia="zh-CN"/>
                    </w:rPr>
                  </w:pPr>
                  <w:r>
                    <w:rPr>
                      <w:rFonts w:hint="eastAsia"/>
                      <w:color w:val="auto"/>
                      <w:szCs w:val="21"/>
                      <w:highlight w:val="none"/>
                      <w:lang w:val="en-US" w:eastAsia="zh-CN"/>
                    </w:rPr>
                    <w:t>9</w:t>
                  </w:r>
                </w:p>
              </w:tc>
              <w:tc>
                <w:tcPr>
                  <w:tcW w:w="2629" w:type="pct"/>
                  <w:vAlign w:val="center"/>
                </w:tcPr>
                <w:p w14:paraId="5F7DCADE">
                  <w:pPr>
                    <w:jc w:val="center"/>
                    <w:rPr>
                      <w:rFonts w:hint="eastAsia" w:eastAsia="宋体"/>
                      <w:color w:val="auto"/>
                      <w:szCs w:val="21"/>
                      <w:highlight w:val="none"/>
                      <w:lang w:val="en-US" w:eastAsia="zh-CN"/>
                    </w:rPr>
                  </w:pPr>
                  <w:r>
                    <w:rPr>
                      <w:rFonts w:hint="eastAsia"/>
                      <w:color w:val="auto"/>
                      <w:szCs w:val="21"/>
                      <w:highlight w:val="none"/>
                      <w:lang w:val="en-US" w:eastAsia="zh-CN"/>
                    </w:rPr>
                    <w:t>静电棒</w:t>
                  </w:r>
                </w:p>
              </w:tc>
              <w:tc>
                <w:tcPr>
                  <w:tcW w:w="824" w:type="pct"/>
                  <w:vAlign w:val="center"/>
                </w:tcPr>
                <w:p w14:paraId="41704893">
                  <w:pPr>
                    <w:jc w:val="center"/>
                    <w:rPr>
                      <w:rFonts w:hint="eastAsia" w:eastAsia="宋体"/>
                      <w:color w:val="auto"/>
                      <w:szCs w:val="21"/>
                      <w:highlight w:val="none"/>
                      <w:lang w:val="en-US" w:eastAsia="zh-CN"/>
                    </w:rPr>
                  </w:pPr>
                  <w:r>
                    <w:rPr>
                      <w:rFonts w:hint="eastAsia"/>
                      <w:color w:val="auto"/>
                      <w:szCs w:val="21"/>
                      <w:highlight w:val="none"/>
                      <w:lang w:val="en-US" w:eastAsia="zh-CN"/>
                    </w:rPr>
                    <w:t>根</w:t>
                  </w:r>
                </w:p>
              </w:tc>
              <w:tc>
                <w:tcPr>
                  <w:tcW w:w="823" w:type="pct"/>
                  <w:vAlign w:val="center"/>
                </w:tcPr>
                <w:p w14:paraId="79561D10">
                  <w:pPr>
                    <w:jc w:val="center"/>
                    <w:rPr>
                      <w:rFonts w:hint="default" w:eastAsia="宋体"/>
                      <w:color w:val="auto"/>
                      <w:szCs w:val="21"/>
                      <w:highlight w:val="none"/>
                      <w:lang w:val="en-US" w:eastAsia="zh-CN"/>
                    </w:rPr>
                  </w:pPr>
                  <w:r>
                    <w:rPr>
                      <w:rFonts w:hint="eastAsia"/>
                      <w:color w:val="auto"/>
                      <w:szCs w:val="21"/>
                      <w:highlight w:val="none"/>
                      <w:lang w:val="en-US" w:eastAsia="zh-CN"/>
                    </w:rPr>
                    <w:t>12</w:t>
                  </w:r>
                </w:p>
              </w:tc>
            </w:tr>
            <w:tr w14:paraId="2259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2" w:type="pct"/>
                  <w:vAlign w:val="center"/>
                </w:tcPr>
                <w:p w14:paraId="6E619A9F">
                  <w:pPr>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2629" w:type="pct"/>
                  <w:vAlign w:val="center"/>
                </w:tcPr>
                <w:p w14:paraId="74F4C17D">
                  <w:pPr>
                    <w:jc w:val="center"/>
                    <w:rPr>
                      <w:rFonts w:hint="eastAsia" w:eastAsia="宋体"/>
                      <w:color w:val="auto"/>
                      <w:szCs w:val="21"/>
                      <w:highlight w:val="none"/>
                      <w:lang w:val="en-US" w:eastAsia="zh-CN"/>
                    </w:rPr>
                  </w:pPr>
                  <w:r>
                    <w:rPr>
                      <w:rFonts w:hint="eastAsia"/>
                      <w:color w:val="auto"/>
                      <w:szCs w:val="21"/>
                      <w:highlight w:val="none"/>
                      <w:lang w:val="en-US" w:eastAsia="zh-CN"/>
                    </w:rPr>
                    <w:t>避雷针</w:t>
                  </w:r>
                </w:p>
              </w:tc>
              <w:tc>
                <w:tcPr>
                  <w:tcW w:w="824" w:type="pct"/>
                  <w:vAlign w:val="center"/>
                </w:tcPr>
                <w:p w14:paraId="3FCF4FDB">
                  <w:pPr>
                    <w:jc w:val="center"/>
                    <w:rPr>
                      <w:rFonts w:hint="default" w:eastAsia="宋体"/>
                      <w:color w:val="auto"/>
                      <w:szCs w:val="21"/>
                      <w:highlight w:val="none"/>
                      <w:lang w:val="en-US" w:eastAsia="zh-CN"/>
                    </w:rPr>
                  </w:pPr>
                  <w:r>
                    <w:rPr>
                      <w:rFonts w:hint="eastAsia"/>
                      <w:color w:val="auto"/>
                      <w:szCs w:val="21"/>
                      <w:highlight w:val="none"/>
                      <w:lang w:val="en-US" w:eastAsia="zh-CN"/>
                    </w:rPr>
                    <w:t>根</w:t>
                  </w:r>
                </w:p>
              </w:tc>
              <w:tc>
                <w:tcPr>
                  <w:tcW w:w="823" w:type="pct"/>
                  <w:vAlign w:val="center"/>
                </w:tcPr>
                <w:p w14:paraId="48A2B704">
                  <w:pPr>
                    <w:jc w:val="center"/>
                    <w:rPr>
                      <w:rFonts w:hint="eastAsia" w:eastAsia="宋体"/>
                      <w:color w:val="auto"/>
                      <w:szCs w:val="21"/>
                      <w:highlight w:val="none"/>
                      <w:lang w:val="en-US" w:eastAsia="zh-CN"/>
                    </w:rPr>
                  </w:pPr>
                  <w:r>
                    <w:rPr>
                      <w:rFonts w:hint="eastAsia"/>
                      <w:color w:val="auto"/>
                      <w:szCs w:val="21"/>
                      <w:highlight w:val="none"/>
                      <w:lang w:val="en-US" w:eastAsia="zh-CN"/>
                    </w:rPr>
                    <w:t>6</w:t>
                  </w:r>
                </w:p>
              </w:tc>
            </w:tr>
          </w:tbl>
          <w:p w14:paraId="79174871">
            <w:pPr>
              <w:numPr>
                <w:ilvl w:val="0"/>
                <w:numId w:val="1"/>
              </w:numPr>
              <w:spacing w:line="360" w:lineRule="auto"/>
              <w:ind w:firstLine="422" w:firstLineChars="200"/>
              <w:rPr>
                <w:rFonts w:hint="eastAsia"/>
                <w:b/>
                <w:bCs/>
                <w:color w:val="auto"/>
                <w:szCs w:val="21"/>
                <w:highlight w:val="none"/>
                <w:lang w:val="en-US" w:eastAsia="zh-CN"/>
              </w:rPr>
            </w:pPr>
            <w:r>
              <w:rPr>
                <w:rFonts w:hint="eastAsia"/>
                <w:b/>
                <w:bCs/>
                <w:color w:val="auto"/>
                <w:szCs w:val="21"/>
                <w:highlight w:val="none"/>
                <w:lang w:val="en-US" w:eastAsia="zh-CN"/>
              </w:rPr>
              <w:t>产品方案</w:t>
            </w:r>
          </w:p>
          <w:p w14:paraId="6AF31461">
            <w:pPr>
              <w:adjustRightInd w:val="0"/>
              <w:snapToGrid w:val="0"/>
              <w:jc w:val="center"/>
              <w:rPr>
                <w:rFonts w:hint="default" w:eastAsia="宋体"/>
                <w:b/>
                <w:color w:val="auto"/>
                <w:szCs w:val="21"/>
                <w:highlight w:val="none"/>
                <w:lang w:val="en-US" w:eastAsia="zh-CN"/>
              </w:rPr>
            </w:pPr>
            <w:r>
              <w:rPr>
                <w:b/>
                <w:color w:val="auto"/>
                <w:szCs w:val="21"/>
                <w:highlight w:val="none"/>
              </w:rPr>
              <w:t>表2-</w:t>
            </w:r>
            <w:r>
              <w:rPr>
                <w:rFonts w:hint="eastAsia"/>
                <w:b/>
                <w:color w:val="auto"/>
                <w:szCs w:val="21"/>
                <w:highlight w:val="none"/>
                <w:lang w:val="en-US" w:eastAsia="zh-CN"/>
              </w:rPr>
              <w:t>14</w:t>
            </w:r>
            <w:r>
              <w:rPr>
                <w:b/>
                <w:color w:val="auto"/>
                <w:szCs w:val="21"/>
                <w:highlight w:val="none"/>
              </w:rPr>
              <w:t xml:space="preserve">  现有项目</w:t>
            </w:r>
            <w:r>
              <w:rPr>
                <w:rFonts w:hint="eastAsia"/>
                <w:b/>
                <w:color w:val="auto"/>
                <w:szCs w:val="21"/>
                <w:highlight w:val="none"/>
                <w:lang w:val="en-US" w:eastAsia="zh-CN"/>
              </w:rPr>
              <w:t>产品方案</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646"/>
              <w:gridCol w:w="1186"/>
              <w:gridCol w:w="1724"/>
              <w:gridCol w:w="1305"/>
              <w:gridCol w:w="1306"/>
            </w:tblGrid>
            <w:tr w14:paraId="225D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18" w:type="pct"/>
                  <w:vAlign w:val="center"/>
                </w:tcPr>
                <w:p w14:paraId="0E042001">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序号</w:t>
                  </w:r>
                </w:p>
              </w:tc>
              <w:tc>
                <w:tcPr>
                  <w:tcW w:w="1052" w:type="pct"/>
                  <w:vAlign w:val="center"/>
                </w:tcPr>
                <w:p w14:paraId="2DD3B716">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库房名称</w:t>
                  </w:r>
                </w:p>
              </w:tc>
              <w:tc>
                <w:tcPr>
                  <w:tcW w:w="758" w:type="pct"/>
                  <w:vAlign w:val="center"/>
                </w:tcPr>
                <w:p w14:paraId="76168A4E">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储存品种</w:t>
                  </w:r>
                </w:p>
              </w:tc>
              <w:tc>
                <w:tcPr>
                  <w:tcW w:w="1102" w:type="pct"/>
                  <w:vAlign w:val="center"/>
                </w:tcPr>
                <w:p w14:paraId="4891D9F5">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日常贮存计算药量</w:t>
                  </w:r>
                </w:p>
              </w:tc>
              <w:tc>
                <w:tcPr>
                  <w:tcW w:w="834" w:type="pct"/>
                  <w:vAlign w:val="center"/>
                </w:tcPr>
                <w:p w14:paraId="0DD5A832">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年周转计算</w:t>
                  </w:r>
                </w:p>
                <w:p w14:paraId="0931F1DA">
                  <w:pPr>
                    <w:pStyle w:val="30"/>
                    <w:numPr>
                      <w:ilvl w:val="0"/>
                      <w:numId w:val="0"/>
                    </w:numPr>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药量</w:t>
                  </w:r>
                </w:p>
              </w:tc>
              <w:tc>
                <w:tcPr>
                  <w:tcW w:w="834" w:type="pct"/>
                  <w:vAlign w:val="center"/>
                </w:tcPr>
                <w:p w14:paraId="2D5268EC">
                  <w:pPr>
                    <w:pStyle w:val="30"/>
                    <w:numPr>
                      <w:ilvl w:val="0"/>
                      <w:numId w:val="0"/>
                    </w:num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运输方式</w:t>
                  </w:r>
                </w:p>
              </w:tc>
            </w:tr>
            <w:tr w14:paraId="1E6A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18" w:type="pct"/>
                  <w:vAlign w:val="center"/>
                </w:tcPr>
                <w:p w14:paraId="3F65470E">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052" w:type="pct"/>
                  <w:vAlign w:val="center"/>
                </w:tcPr>
                <w:p w14:paraId="763C3759">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1.3级①号烟花爆竹成品库</w:t>
                  </w:r>
                </w:p>
              </w:tc>
              <w:tc>
                <w:tcPr>
                  <w:tcW w:w="758" w:type="pct"/>
                  <w:vAlign w:val="center"/>
                </w:tcPr>
                <w:p w14:paraId="0BEE5BC9">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个人烟花类</w:t>
                  </w:r>
                </w:p>
              </w:tc>
              <w:tc>
                <w:tcPr>
                  <w:tcW w:w="1102" w:type="pct"/>
                  <w:vAlign w:val="center"/>
                </w:tcPr>
                <w:p w14:paraId="17F11192">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29AF2922">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Merge w:val="restart"/>
                  <w:vAlign w:val="center"/>
                </w:tcPr>
                <w:p w14:paraId="56B4A878">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烟花爆竹专用车</w:t>
                  </w:r>
                </w:p>
              </w:tc>
            </w:tr>
            <w:tr w14:paraId="440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18" w:type="pct"/>
                  <w:vAlign w:val="center"/>
                </w:tcPr>
                <w:p w14:paraId="31B1FEBB">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1052" w:type="pct"/>
                  <w:vAlign w:val="center"/>
                </w:tcPr>
                <w:p w14:paraId="33AB0A0C">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1.3级②号烟花爆竹成品库</w:t>
                  </w:r>
                </w:p>
              </w:tc>
              <w:tc>
                <w:tcPr>
                  <w:tcW w:w="758" w:type="pct"/>
                  <w:vAlign w:val="center"/>
                </w:tcPr>
                <w:p w14:paraId="611A222F">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个人火炮类</w:t>
                  </w:r>
                </w:p>
              </w:tc>
              <w:tc>
                <w:tcPr>
                  <w:tcW w:w="1102" w:type="pct"/>
                  <w:vAlign w:val="center"/>
                </w:tcPr>
                <w:p w14:paraId="4B60CF25">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61055944">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Merge w:val="continue"/>
                  <w:vAlign w:val="center"/>
                </w:tcPr>
                <w:p w14:paraId="6E980C62">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5512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18" w:type="pct"/>
                  <w:vAlign w:val="center"/>
                </w:tcPr>
                <w:p w14:paraId="529C2C8D">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1052" w:type="pct"/>
                  <w:vAlign w:val="center"/>
                </w:tcPr>
                <w:p w14:paraId="69015682">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1.3级③号烟花爆竹成品库</w:t>
                  </w:r>
                </w:p>
              </w:tc>
              <w:tc>
                <w:tcPr>
                  <w:tcW w:w="758" w:type="pct"/>
                  <w:vAlign w:val="center"/>
                </w:tcPr>
                <w:p w14:paraId="35D79CDE">
                  <w:pPr>
                    <w:pStyle w:val="30"/>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小产品</w:t>
                  </w:r>
                </w:p>
              </w:tc>
              <w:tc>
                <w:tcPr>
                  <w:tcW w:w="1102" w:type="pct"/>
                  <w:vAlign w:val="center"/>
                </w:tcPr>
                <w:p w14:paraId="2BDA9051">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Align w:val="center"/>
                </w:tcPr>
                <w:p w14:paraId="36922C4E">
                  <w:pPr>
                    <w:numPr>
                      <w:ilvl w:val="0"/>
                      <w:numId w:val="0"/>
                    </w:numPr>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20000kg</w:t>
                  </w:r>
                </w:p>
              </w:tc>
              <w:tc>
                <w:tcPr>
                  <w:tcW w:w="834" w:type="pct"/>
                  <w:vMerge w:val="continue"/>
                  <w:vAlign w:val="center"/>
                </w:tcPr>
                <w:p w14:paraId="7EC45EE1">
                  <w:pPr>
                    <w:pStyle w:val="30"/>
                    <w:numPr>
                      <w:ilvl w:val="0"/>
                      <w:numId w:val="0"/>
                    </w:numPr>
                    <w:jc w:val="center"/>
                    <w:rPr>
                      <w:rFonts w:hint="default" w:ascii="Times New Roman" w:hAnsi="Times New Roman" w:eastAsia="宋体" w:cs="Times New Roman"/>
                      <w:b w:val="0"/>
                      <w:bCs w:val="0"/>
                      <w:color w:val="auto"/>
                      <w:kern w:val="2"/>
                      <w:sz w:val="21"/>
                      <w:szCs w:val="21"/>
                      <w:highlight w:val="none"/>
                      <w:lang w:val="en-US" w:eastAsia="zh-CN" w:bidi="ar-SA"/>
                    </w:rPr>
                  </w:pPr>
                </w:p>
              </w:tc>
            </w:tr>
          </w:tbl>
          <w:p w14:paraId="1D4363FE">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6</w:t>
            </w:r>
            <w:r>
              <w:rPr>
                <w:b/>
                <w:bCs/>
                <w:color w:val="auto"/>
                <w:sz w:val="24"/>
                <w:szCs w:val="24"/>
                <w:highlight w:val="none"/>
              </w:rPr>
              <w:t>、工作制度及劳动定员</w:t>
            </w:r>
          </w:p>
          <w:p w14:paraId="37F9E341">
            <w:pPr>
              <w:spacing w:line="360" w:lineRule="auto"/>
              <w:ind w:firstLine="480" w:firstLineChars="200"/>
              <w:rPr>
                <w:color w:val="auto"/>
                <w:sz w:val="24"/>
                <w:szCs w:val="24"/>
                <w:highlight w:val="none"/>
              </w:rPr>
            </w:pPr>
            <w:r>
              <w:rPr>
                <w:color w:val="auto"/>
                <w:sz w:val="24"/>
                <w:szCs w:val="24"/>
                <w:highlight w:val="none"/>
              </w:rPr>
              <w:t>项目设置10</w:t>
            </w:r>
            <w:r>
              <w:rPr>
                <w:rFonts w:hint="eastAsia"/>
                <w:color w:val="auto"/>
                <w:sz w:val="24"/>
                <w:szCs w:val="24"/>
                <w:highlight w:val="none"/>
                <w:lang w:eastAsia="zh-CN"/>
              </w:rPr>
              <w:t>名</w:t>
            </w:r>
            <w:r>
              <w:rPr>
                <w:color w:val="auto"/>
                <w:sz w:val="24"/>
                <w:szCs w:val="24"/>
                <w:highlight w:val="none"/>
              </w:rPr>
              <w:t>劳动人员，其中：主要负责人、分管负责人、专职安全员各1人；仓库保管员、装卸搬运员共4人，技术人员</w:t>
            </w:r>
            <w:r>
              <w:rPr>
                <w:rFonts w:hint="eastAsia"/>
                <w:color w:val="auto"/>
                <w:sz w:val="24"/>
                <w:szCs w:val="24"/>
                <w:highlight w:val="none"/>
                <w:lang w:val="en-US" w:eastAsia="zh-CN"/>
              </w:rPr>
              <w:t>2</w:t>
            </w:r>
            <w:r>
              <w:rPr>
                <w:color w:val="auto"/>
                <w:sz w:val="24"/>
                <w:szCs w:val="24"/>
                <w:highlight w:val="none"/>
              </w:rPr>
              <w:t>人，</w:t>
            </w:r>
            <w:r>
              <w:rPr>
                <w:rFonts w:hint="eastAsia"/>
                <w:color w:val="auto"/>
                <w:sz w:val="24"/>
                <w:szCs w:val="24"/>
                <w:highlight w:val="none"/>
              </w:rPr>
              <w:t>值班人员</w:t>
            </w:r>
            <w:r>
              <w:rPr>
                <w:rFonts w:hint="eastAsia"/>
                <w:color w:val="auto"/>
                <w:sz w:val="24"/>
                <w:szCs w:val="24"/>
                <w:highlight w:val="none"/>
                <w:lang w:val="en-US" w:eastAsia="zh-CN"/>
              </w:rPr>
              <w:t>1</w:t>
            </w:r>
            <w:r>
              <w:rPr>
                <w:color w:val="auto"/>
                <w:sz w:val="24"/>
                <w:szCs w:val="24"/>
                <w:highlight w:val="none"/>
              </w:rPr>
              <w:t>人</w:t>
            </w:r>
            <w:r>
              <w:rPr>
                <w:rFonts w:hint="eastAsia"/>
                <w:color w:val="auto"/>
                <w:sz w:val="24"/>
                <w:szCs w:val="24"/>
                <w:highlight w:val="none"/>
              </w:rPr>
              <w:t>，项目工作人员离家较近，库区不设食堂，仅值班人员在库区内住宿，其他人员食宿自理</w:t>
            </w:r>
            <w:r>
              <w:rPr>
                <w:color w:val="auto"/>
                <w:sz w:val="24"/>
                <w:szCs w:val="24"/>
                <w:highlight w:val="none"/>
              </w:rPr>
              <w:t>。</w:t>
            </w:r>
          </w:p>
          <w:p w14:paraId="75234E92">
            <w:pPr>
              <w:spacing w:line="360" w:lineRule="auto"/>
              <w:ind w:firstLine="480" w:firstLineChars="200"/>
              <w:rPr>
                <w:color w:val="auto"/>
                <w:sz w:val="24"/>
                <w:szCs w:val="24"/>
                <w:highlight w:val="none"/>
              </w:rPr>
            </w:pPr>
            <w:r>
              <w:rPr>
                <w:color w:val="auto"/>
                <w:sz w:val="24"/>
                <w:szCs w:val="24"/>
                <w:highlight w:val="none"/>
              </w:rPr>
              <w:t>工作制度：</w:t>
            </w:r>
            <w:r>
              <w:rPr>
                <w:rFonts w:hint="eastAsia"/>
                <w:color w:val="auto"/>
                <w:sz w:val="24"/>
                <w:szCs w:val="24"/>
                <w:highlight w:val="none"/>
              </w:rPr>
              <w:t>本项目每天工作8小时，实行1班制工作制度，年工作</w:t>
            </w:r>
            <w:r>
              <w:rPr>
                <w:rFonts w:hint="eastAsia"/>
                <w:color w:val="auto"/>
                <w:sz w:val="24"/>
                <w:szCs w:val="24"/>
                <w:highlight w:val="none"/>
                <w:lang w:val="en-US" w:eastAsia="zh-CN"/>
              </w:rPr>
              <w:t>250</w:t>
            </w:r>
            <w:r>
              <w:rPr>
                <w:color w:val="auto"/>
                <w:sz w:val="24"/>
                <w:szCs w:val="24"/>
                <w:highlight w:val="none"/>
              </w:rPr>
              <w:t>天</w:t>
            </w:r>
            <w:r>
              <w:rPr>
                <w:rFonts w:hint="eastAsia"/>
                <w:color w:val="auto"/>
                <w:sz w:val="24"/>
                <w:szCs w:val="24"/>
                <w:highlight w:val="none"/>
              </w:rPr>
              <w:t>，安排</w:t>
            </w:r>
            <w:r>
              <w:rPr>
                <w:rFonts w:hint="eastAsia"/>
                <w:color w:val="auto"/>
                <w:sz w:val="24"/>
                <w:szCs w:val="24"/>
                <w:highlight w:val="none"/>
                <w:lang w:val="en-US" w:eastAsia="zh-CN"/>
              </w:rPr>
              <w:t>1名</w:t>
            </w:r>
            <w:r>
              <w:rPr>
                <w:rFonts w:hint="eastAsia"/>
                <w:color w:val="auto"/>
                <w:sz w:val="24"/>
                <w:szCs w:val="24"/>
                <w:highlight w:val="none"/>
              </w:rPr>
              <w:t>值班人员</w:t>
            </w:r>
            <w:r>
              <w:rPr>
                <w:rFonts w:hint="eastAsia"/>
                <w:color w:val="auto"/>
                <w:sz w:val="24"/>
                <w:szCs w:val="24"/>
                <w:highlight w:val="none"/>
                <w:lang w:val="en-US" w:eastAsia="zh-CN"/>
              </w:rPr>
              <w:t>值守</w:t>
            </w:r>
            <w:r>
              <w:rPr>
                <w:rFonts w:hint="eastAsia"/>
                <w:color w:val="auto"/>
                <w:sz w:val="24"/>
                <w:szCs w:val="24"/>
                <w:highlight w:val="none"/>
              </w:rPr>
              <w:t>。</w:t>
            </w:r>
          </w:p>
          <w:p w14:paraId="72F96515">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7</w:t>
            </w:r>
            <w:r>
              <w:rPr>
                <w:b/>
                <w:bCs/>
                <w:color w:val="auto"/>
                <w:sz w:val="24"/>
                <w:szCs w:val="24"/>
                <w:highlight w:val="none"/>
              </w:rPr>
              <w:t>、</w:t>
            </w:r>
            <w:r>
              <w:rPr>
                <w:rFonts w:hint="eastAsia"/>
                <w:b/>
                <w:bCs/>
                <w:color w:val="auto"/>
                <w:sz w:val="24"/>
                <w:szCs w:val="24"/>
                <w:highlight w:val="none"/>
                <w:lang w:val="en-US" w:eastAsia="zh-CN"/>
              </w:rPr>
              <w:t>现有项目</w:t>
            </w:r>
            <w:r>
              <w:rPr>
                <w:b/>
                <w:bCs/>
                <w:color w:val="auto"/>
                <w:sz w:val="24"/>
                <w:szCs w:val="24"/>
                <w:highlight w:val="none"/>
              </w:rPr>
              <w:t>工艺流程及产污节点</w:t>
            </w:r>
          </w:p>
          <w:p w14:paraId="2B94A8B8">
            <w:pPr>
              <w:spacing w:line="360" w:lineRule="auto"/>
              <w:ind w:firstLine="480" w:firstLineChars="200"/>
              <w:rPr>
                <w:color w:val="auto"/>
                <w:sz w:val="24"/>
                <w:szCs w:val="24"/>
                <w:highlight w:val="none"/>
              </w:rPr>
            </w:pPr>
            <w:r>
              <w:rPr>
                <w:color w:val="auto"/>
                <w:sz w:val="24"/>
                <w:szCs w:val="24"/>
                <w:highlight w:val="none"/>
              </w:rPr>
              <w:t>项目运营期不进行烟花爆竹的生产活动，主要污染物为工作人员生活污水、生活垃圾、输车辆的尾气、道路扬尘及噪声和储存过程中的过期或残损的烟花爆竹。项目运营期运行工艺流程及产污节点见图2-2所示。</w:t>
            </w:r>
          </w:p>
          <w:p w14:paraId="62FAC214">
            <w:pPr>
              <w:spacing w:line="360" w:lineRule="auto"/>
              <w:jc w:val="center"/>
              <w:rPr>
                <w:b/>
                <w:bCs/>
                <w:color w:val="auto"/>
                <w:szCs w:val="21"/>
                <w:highlight w:val="none"/>
              </w:rPr>
            </w:pPr>
            <w:r>
              <w:rPr>
                <w:color w:val="auto"/>
                <w:szCs w:val="21"/>
                <w:highlight w:val="none"/>
              </w:rPr>
              <w:pict>
                <v:group id="组合 28" o:spid="_x0000_s2069" o:spt="203" style="position:absolute;left:0pt;margin-left:0.75pt;margin-top:1.25pt;height:201.5pt;width:384.1pt;mso-wrap-distance-bottom:0pt;mso-wrap-distance-left:9pt;mso-wrap-distance-right:9pt;mso-wrap-distance-top:0pt;z-index:251662336;mso-width-relative:page;mso-height-relative:page;" coordorigin="6064,232401" coordsize="7991,4115" o:gfxdata="UEsDBAoAAAAAAIdO4kAAAAAAAAAAAAAAAAAEAAAAZHJzL1BLAwQUAAAACACHTuJAT4rNT9kAAAAI&#10;AQAADwAAAGRycy9kb3ducmV2LnhtbE2PwWrDMBBE74X+g9hAb41sF6XBsRxKaHsKhSaF0tvG2tgm&#10;lmQsxU7+vttTc5ydZeZNsb7YTow0hNY7Dek8AUGu8qZ1tYav/dvjEkSI6Ax23pGGKwVYl/d3BebG&#10;T+6Txl2sBYe4kKOGJsY+lzJUDVkMc9+TY+/oB4uR5VBLM+DE4baTWZIspMXWcUODPW0aqk67s9Xw&#10;PuH08pS+jtvTcXP92auP721KWj/M0mQFItIl/j/DHz6jQ8lMB392JohOAw+JfM0yBYLt58UyA3HQ&#10;oDKlQJaFvB1Q/gJQSwMEFAAAAAgAh07iQATjE+xiCQAASFQAAA4AAABkcnMvZTJvRG9jLnhtbO1c&#10;SYvkyBm9G/wfRN7dqdCupKubpnqxoe1p6Bn7HKVUZgqUkhxSdVbPzTAwBoPxfcAGMzOMwfZpfDL2&#10;/JpefoZfbKklVVVZvWSlh6hDltaQ4tOL960Rd+9frHPrRcrqrCxOJuSOPbHSIinnWbE8mXz26eOf&#10;RROrbmgxp3lZpCeTl2k9uX/vpz+5u6lmqVOuynyeMguNFPVsU51MVk1TzabTOlmla1rfKau0wMlF&#10;yda0wS5bTueMbtD6Op86th1MNyWbV6xM0rrG0Yfy5ES1yPZpsFwssiR9WCbn67RoZKsszWmDLtWr&#10;rKon98TbLhZp0nyyWNRpY+UnE/S0Eb94CLbP+O/03l06WzJarbJEvQLd5xUGfVrTrMBDt009pA21&#10;zlm209Q6S1hZl4vmTlKup7IjQiLoBbEHsnnCyvNK9GU52yyrrdDxoQZSf+dmk1+9eMasbH4ycfDd&#10;C7rGF3/z7y9e/en3Fg5AOptqOcNFT1j1vHrG1IGl3OMdvliwNf+PrlgXwJPvOlEM6b5Ei27kEt+X&#10;Mk4vGivBBV4URnaICxJ+he/Htq++QrLCp+JtBHbgqQYczyby/mT1SLUQxjGRt3uEiNan7Wuk4ps/&#10;rRu86ZS/+/ZVtzsfV4y8az0x4sDNxRiQUIvAJZ7TF2EYOaEUAAkcdW4rPC8MXSm8KIhb0W6Ft3Pv&#10;nsLDYK9bBNbvh8DnK1qlAtg1B5dCoI8XV6L7y99e/eevFg4I0YmLtvCrZzWQOIK90a5r3BEnCKTQ&#10;fHsImorVzZO0XFt842TCwBpiMNMXCkh0pi/hjy3Kx1me483oLC+sDUAvQGwlFHS4AA3hOesKQ6ou&#10;lhOL5kvwbNIw0WRd5tmc387vrtny7DRn1gvK2Un88Q7ji/Qu489+SOuVvE6cUpflBW9mgHktn01V&#10;z5qLswslwrNy/hKCZqXkwLpKHmdo+Cmtm2eUgfQAXKiF5hP8LPIS3SrV1sRalezzseP8eiABZyfW&#10;BiSKLv/2nLJ0YuW/KICRmHgemm3EjueHDnZY98xZ90xxvj4tIQmMbryd2OTXN7neXLBy/Rtojwf8&#10;qThFiwTPlsJVO6eNJHfonyR98EBcBqataPO0eF4lvHH5CR+cN+UiUzRRz6R0BGcIpHPiOwTkMcr7&#10;kPduBPnADfx2tIf8XuBBEaWBvIH8EUIegO1DXtAxH25QBdezPNQ/hj43HqDgpHLtQN71lGo0LM8Z&#10;0rD8UbA8LI8+5IMbsXwchC3LRwOD2rC8YfkjZHnQcB/ywjjZm+UJcV3lAUWhbQ88IIN5g/kjxHwb&#10;QVH+q4qg7GnZEDsm8H2EaRPGntARHdMmiIwDaxzYY3Ng4yHPxzczbRwfLSjIY9M4sCZmwx2XI47Z&#10;BHi9nmmDAyrGtpcDi7Ds1rKJEebtQz72MB54bNw4sMaBLcrjCFMGMEv6kBdZmb2teUTmYbtIlufZ&#10;oT7kI1/lc4JI2PmdjIQOu5vIvInMq4D8gSLzgbOF/Fffv/7jN2/++Y9XX3//9oc/8+2/f2vhfEv6&#10;p4VMSNXN6UUhsqk8l5XNkcwUKSxY8cV8ewrsL06JMYQkpXAPZBN855LsVmC7W0vJsXWzKtTvOso3&#10;EF725QOobhjNlqvmtCwKZLlKJtMheye6HPjiUE+HTXTRWUOz/FExt5qXFfLTlLFyw6WPfl6bAZOJ&#10;HX7xgfHTJjPH8dPNbY7gR4NEf+gOfhALfAf8hIG7dS4dMuBgl1vh3Oog4nkGQHIQcsjcGoCAAKVz&#10;xwHUzRSOAEijZARA4Ip3AFDsugjqSSXuOLpZTUAugh8CQNck1w0DVYfSYG2ibRxA3bzbCIA0SvSX&#10;7jAQcPAOAEJ8y2spCIDpmYFuDMYUCDI6TOiqI6AgQOBKCuqmsUYQpGEirforDR1rkWfVz3V5hi4m&#10;I3EbHfJtgYs2IKoIx4P3IG0BXYo2cBoM4xyMcdqkzzjjiC/YwwFKnVqbGV+0pZW+zQzzRJyS5kmv&#10;Cb7TtZnHoWT7js6hRg4Z5JNcHVoXZpGxfo6AetpcyjiUuqmVEerReBHc0IMSD9+9F5QQwICmEnbQ&#10;CJJ85YjtVKYaVhI5y1vwxICFK7VYN2OxC6UtXkagBGvmvaAUBLySV0EJm32DSFf5CkPfkNKVpNTW&#10;esuSdVH2/XErvfnnUbhSBfNKvd2oYH602F1XcO6WutPZttJ79M7/lzJ5p/VulfCUO3t44bkOUa7I&#10;BxDeAWqGQ7COwp0sM8ABEIeyiZ7rWRp9o4jXBSuruoObtuuXI+5y4vkR1cmb4vibFsermTUfmWLb&#10;IKpiCWH/33BOUoD5GVLLunxyUl/LBjGvoOdxBzf2lVvQUuzYnS1L7N7bGSyDWRm9mUgHYImt5F7/&#10;63dvvvvDq6/+O7Pe/vAlNq2b0QWxPe4dcSNlRHwkBHkK8fkyJ9GRwMDi5ZNKTleUNc/k5D8zxcZM&#10;sTnAQGgNDeFIthk8RSWd7FsvGKHj5zpT0oY/tdW/b1jr18OwFmbBqlgEQurxIBZBnIin2DDeSCQM&#10;ystHVJ4VfBYdne2bvwPDcbL7EOk7/th6ReepnJWGqYbIDAr/pabNL8u5PEwwu1MeRy/UdLcPOsHt&#10;trIzre0/QNUwK6Mss/EAlQhV7cCDOJi3qQg3BPf2vMJIh6qU1WrQMVC02u7l9vBtoWMbvNpVvt24&#10;1fW2ehzpqCUytP4gQGB0b2Omt4LOj3d66yDy1urePUNuWjW2ulenCGSg/so8QMflRepaM6rvRYPE&#10;I3F5PSZXuF4g3stQ6hFSKipWdNRjoHFlLUsPCj1DTkPmvcB0SVIpiAAd4Rr5niwDbvOTjscjNQJX&#10;sTHkrlup4LZUNVKBGlcymiZzg/tH09oQQeAPIUCI9o55oB923OXU8iMKphmtzB2449XKqPHTkB/N&#10;rcoawEsJlY+YfbNeHR0cujaYWHBlEA2nPUSHqj+8lZVaxgtY+cox63SOtVJSLBDDtyRBHG1JK9Ya&#10;0riRVCkXH9qbKiOiJ75g1ZKhX4uKQjTPtWUgl4wyVGnW57lqfZ5uxre7zeH40Zeq4l55LweHAyrS&#10;s9ccMOLYPH0sLUdE2PsxHhKHOCnGQiSC9WYsmLFw1Vg4DOYH1aCtN4/JJy34dyto/J4HJmpbMUjk&#10;dfzNu7HRjsFAxOKBcox4gafLkFXBuR/AihHOFdZGudKyNlHysTholzLFNhaYFP6JWgyTr2DZ3cd2&#10;dwHQe/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1AsAAFtDb250ZW50X1R5cGVzXS54bWxQSwECFAAKAAAAAACHTuJAAAAAAAAAAAAAAAAABgAA&#10;AAAAAAAAABAAAAC2CgAAX3JlbHMvUEsBAhQAFAAAAAgAh07iQIoUZjzRAAAAlAEAAAsAAAAAAAAA&#10;AQAgAAAA2goAAF9yZWxzLy5yZWxzUEsBAhQACgAAAAAAh07iQAAAAAAAAAAAAAAAAAQAAAAAAAAA&#10;AAAQAAAAAAAAAGRycy9QSwECFAAUAAAACACHTuJAT4rNT9kAAAAIAQAADwAAAAAAAAABACAAAAAi&#10;AAAAZHJzL2Rvd25yZXYueG1sUEsBAhQAFAAAAAgAh07iQATjE+xiCQAASFQAAA4AAAAAAAAAAQAg&#10;AAAAKAEAAGRycy9lMm9Eb2MueG1sUEsFBgAAAAAGAAYAWQEAAPwMAAAAAA==&#10;">
                  <o:lock v:ext="edit" aspectratio="f"/>
                  <v:group id="组合 70" o:spid="_x0000_s2070" o:spt="203" style="position:absolute;left:6174;top:233142;height:1622;width:7827;" coordorigin="4773,286950" coordsize="7827,1622"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rect id="矩形 53" o:spid="_x0000_s2071" o:spt="1" style="position:absolute;left:4773;top:286950;height:505;width:1266;v-text-anchor:middle;" filled="f" stroked="t" coordsize="21600,21600" o:gfxdata="UEsDBAoAAAAAAIdO4kAAAAAAAAAAAAAAAAAEAAAAZHJzL1BLAwQUAAAACACHTuJAfKmloL0AAADb&#10;AAAADwAAAGRycy9kb3ducmV2LnhtbEWPS6vCMBSE94L/IRzBnaYqilSjeK8ILkSuj427Y3Nsi81J&#10;aeKj/npzQXA5zMw3zHT+NIW4U+Vyywp63QgEcWJ1zqmC42HVGYNwHlljYZkU1ORgPms2phhr++Ad&#10;3fc+FQHCLkYFmfdlLKVLMjLourYkDt7FVgZ9kFUqdYWPADeF7EfRSBrMOSxkWNJvRsl1fzMKDC4H&#10;r79zzfXhvDkWP6ft9rW4KdVu9aIJCE9P/w1/2mutYDiA/y/hB8j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qaWgvQAA&#10;ANsAAAAPAAAAAAAAAAEAIAAAACIAAABkcnMvZG93bnJldi54bWxQSwECFAAUAAAACACHTuJAMy8F&#10;njsAAAA5AAAAEAAAAAAAAAABACAAAAAMAQAAZHJzL3NoYXBleG1sLnhtbFBLBQYAAAAABgAGAFsB&#10;AAC2AwAAAAA=&#10;">
                      <v:path/>
                      <v:fill on="f" focussize="0,0"/>
                      <v:stroke weight="1.5pt" color="#000000" joinstyle="round"/>
                      <v:imagedata o:title=""/>
                      <o:lock v:ext="edit" aspectratio="f"/>
                      <v:textbox>
                        <w:txbxContent>
                          <w:p w14:paraId="0D464320">
                            <w:pPr>
                              <w:jc w:val="center"/>
                              <w:rPr>
                                <w:color w:val="000000" w:themeColor="text1"/>
                              </w:rPr>
                            </w:pPr>
                            <w:r>
                              <w:rPr>
                                <w:rFonts w:hint="eastAsia"/>
                                <w:color w:val="000000" w:themeColor="text1"/>
                              </w:rPr>
                              <w:t>货品选择</w:t>
                            </w:r>
                          </w:p>
                        </w:txbxContent>
                      </v:textbox>
                    </v:rect>
                    <v:rect id="矩形 54" o:spid="_x0000_s2072" o:spt="1" style="position:absolute;left:6365;top:286957;height:505;width:1266;v-text-anchor:middle;" filled="f" stroked="t" coordsize="21600,21600" o:gfxdata="UEsDBAoAAAAAAIdO4kAAAAAAAAAAAAAAAAAEAAAAZHJzL1BLAwQUAAAACACHTuJA80A91L4AAADb&#10;AAAADwAAAGRycy9kb3ducmV2LnhtbEWPT4vCMBTE74LfITzBm6a67rJ0jaIuggcRrV729myebbF5&#10;KU38Uz+9WRA8DjPzG2Y8vZtSXKl2hWUFg34Egji1uuBMwWG/7H2DcB5ZY2mZFDTkYDppt8YYa3vj&#10;HV0Tn4kAYRejgtz7KpbSpTkZdH1bEQfvZGuDPsg6k7rGW4CbUg6j6EsaLDgs5FjRIqf0nFyMAoO/&#10;H4/tseFmf1wfyvnfZvOYXZTqdgbRDwhPd/8Ov9orreBzBP9fwg+Qk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0A91L4A&#10;AADbAAAADwAAAAAAAAABACAAAAAiAAAAZHJzL2Rvd25yZXYueG1sUEsBAhQAFAAAAAgAh07iQDMv&#10;BZ47AAAAOQAAABAAAAAAAAAAAQAgAAAADQEAAGRycy9zaGFwZXhtbC54bWxQSwUGAAAAAAYABgBb&#10;AQAAtwMAAAAA&#10;">
                      <v:path/>
                      <v:fill on="f" focussize="0,0"/>
                      <v:stroke weight="1.5pt" color="#000000" joinstyle="round"/>
                      <v:imagedata o:title=""/>
                      <o:lock v:ext="edit" aspectratio="f"/>
                      <v:textbox>
                        <w:txbxContent>
                          <w:p w14:paraId="0CBF9634">
                            <w:pPr>
                              <w:jc w:val="center"/>
                              <w:rPr>
                                <w:color w:val="000000" w:themeColor="text1"/>
                              </w:rPr>
                            </w:pPr>
                            <w:r>
                              <w:rPr>
                                <w:rFonts w:hint="eastAsia"/>
                                <w:color w:val="000000" w:themeColor="text1"/>
                              </w:rPr>
                              <w:t>订购</w:t>
                            </w:r>
                          </w:p>
                        </w:txbxContent>
                      </v:textbox>
                    </v:rect>
                    <v:rect id="矩形 55" o:spid="_x0000_s2073" o:spt="1" style="position:absolute;left:7990;top:286970;height:505;width:1347;v-text-anchor:middle;" filled="f" stroked="t" coordsize="21600,21600" o:gfxdata="UEsDBAoAAAAAAIdO4kAAAAAAAAAAAAAAAAAEAAAAZHJzL1BLAwQUAAAACACHTuJAnAyYT74AAADb&#10;AAAADwAAAGRycy9kb3ducmV2LnhtbEWPS4vCQBCE7wv+h6GFva0TFReJmYgPhD2IuOrFW5tpk2Cm&#10;J2TGR/z1jrCwx6KqvqKS6cNU4kaNKy0r6PciEMSZ1SXnCg771dcYhPPIGivLpKAlB9O085FgrO2d&#10;f+m287kIEHYxKii8r2MpXVaQQdezNXHwzrYx6INscqkbvAe4qeQgir6lwZLDQoE1LQrKLrurUWBw&#10;OXxuTy23+9P6UM2Pm81zdlXqs9uPJiA8Pfx/+K/9oxWMRvD+En6AT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yYT74A&#10;AADbAAAADwAAAAAAAAABACAAAAAiAAAAZHJzL2Rvd25yZXYueG1sUEsBAhQAFAAAAAgAh07iQDMv&#10;BZ47AAAAOQAAABAAAAAAAAAAAQAgAAAADQEAAGRycy9zaGFwZXhtbC54bWxQSwUGAAAAAAYABgBb&#10;AQAAtwMAAAAA&#10;">
                      <v:path/>
                      <v:fill on="f" focussize="0,0"/>
                      <v:stroke weight="1.5pt" color="#000000" joinstyle="round"/>
                      <v:imagedata o:title=""/>
                      <o:lock v:ext="edit" aspectratio="f"/>
                      <v:textbox>
                        <w:txbxContent>
                          <w:p w14:paraId="1F72E76A">
                            <w:pPr>
                              <w:jc w:val="center"/>
                              <w:rPr>
                                <w:color w:val="000000" w:themeColor="text1"/>
                              </w:rPr>
                            </w:pPr>
                            <w:r>
                              <w:rPr>
                                <w:rFonts w:hint="eastAsia"/>
                                <w:color w:val="000000" w:themeColor="text1"/>
                              </w:rPr>
                              <w:t>检验、装车</w:t>
                            </w:r>
                          </w:p>
                        </w:txbxContent>
                      </v:textbox>
                    </v:rect>
                    <v:rect id="矩形 56" o:spid="_x0000_s2074" o:spt="1" style="position:absolute;left:9675;top:286985;height:505;width:1266;v-text-anchor:middle;" filled="f" stroked="t" coordsize="21600,21600" o:gfxdata="UEsDBAoAAAAAAIdO4kAAAAAAAAAAAAAAAAAEAAAAZHJzL1BLAwQUAAAACACHTuJAbN4GOMAAAADb&#10;AAAADwAAAGRycy9kb3ducmV2LnhtbEWPS2vDMBCE74H8B7GB3hI5LQnBtRz6oNBDMM3jktvG2tqm&#10;1spYimP711eFQo7DzHzDJNve1KKj1lWWFSwXEQji3OqKCwWn48d8A8J5ZI21ZVIwkINtOp0kGGt7&#10;4z11B1+IAGEXo4LS+yaW0uUlGXQL2xAH79u2Bn2QbSF1i7cAN7V8jKK1NFhxWCixobeS8p/D1Sgw&#10;+P40fl0GHo6X3al+PWfZ+HJV6mG2jJ5BeOr9Pfzf/tQKVmv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3gY4&#10;wAAAANsAAAAPAAAAAAAAAAEAIAAAACIAAABkcnMvZG93bnJldi54bWxQSwECFAAUAAAACACHTuJA&#10;My8FnjsAAAA5AAAAEAAAAAAAAAABACAAAAAPAQAAZHJzL3NoYXBleG1sLnhtbFBLBQYAAAAABgAG&#10;AFsBAAC5AwAAAAA=&#10;">
                      <v:path/>
                      <v:fill on="f" focussize="0,0"/>
                      <v:stroke weight="1.5pt" color="#000000" joinstyle="round"/>
                      <v:imagedata o:title=""/>
                      <o:lock v:ext="edit" aspectratio="f"/>
                      <v:textbox>
                        <w:txbxContent>
                          <w:p w14:paraId="5042374B">
                            <w:pPr>
                              <w:jc w:val="center"/>
                              <w:rPr>
                                <w:color w:val="000000" w:themeColor="text1"/>
                              </w:rPr>
                            </w:pPr>
                            <w:r>
                              <w:rPr>
                                <w:rFonts w:hint="eastAsia"/>
                                <w:color w:val="000000" w:themeColor="text1"/>
                              </w:rPr>
                              <w:t>公路运输</w:t>
                            </w:r>
                          </w:p>
                        </w:txbxContent>
                      </v:textbox>
                    </v:rect>
                    <v:rect id="矩形 57" o:spid="_x0000_s2075" o:spt="1" style="position:absolute;left:11334;top:287002;height:505;width:1266;v-text-anchor:middle;" filled="f" stroked="t" coordsize="21600,21600" o:gfxdata="UEsDBAoAAAAAAIdO4kAAAAAAAAAAAAAAAAAEAAAAZHJzL1BLAwQUAAAACACHTuJAA5Kjo74AAADb&#10;AAAADwAAAGRycy9kb3ducmV2LnhtbEWPT4vCMBTE74LfITzBm6a6uLt0jaIuggcRrV729myebbF5&#10;KU38Uz+9WRA8DjPzG2Y8vZtSXKl2hWUFg34Egji1uuBMwWG/7H2DcB5ZY2mZFDTkYDppt8YYa3vj&#10;HV0Tn4kAYRejgtz7KpbSpTkZdH1bEQfvZGuDPsg6k7rGW4CbUg6j6FMaLDgs5FjRIqf0nFyMAoO/&#10;H4/tseFmf1wfyvnfZvOYXZTqdgbRDwhPd/8Ov9orrWD0Bf9fwg+Qk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Kjo74A&#10;AADbAAAADwAAAAAAAAABACAAAAAiAAAAZHJzL2Rvd25yZXYueG1sUEsBAhQAFAAAAAgAh07iQDMv&#10;BZ47AAAAOQAAABAAAAAAAAAAAQAgAAAADQEAAGRycy9zaGFwZXhtbC54bWxQSwUGAAAAAAYABgBb&#10;AQAAtwMAAAAA&#10;">
                      <v:path/>
                      <v:fill on="f" focussize="0,0"/>
                      <v:stroke weight="1.5pt" color="#000000" joinstyle="round"/>
                      <v:imagedata o:title=""/>
                      <o:lock v:ext="edit" aspectratio="f"/>
                      <v:textbox>
                        <w:txbxContent>
                          <w:p w14:paraId="02BA8CD4">
                            <w:pPr>
                              <w:jc w:val="center"/>
                              <w:rPr>
                                <w:color w:val="000000" w:themeColor="text1"/>
                              </w:rPr>
                            </w:pPr>
                            <w:r>
                              <w:rPr>
                                <w:rFonts w:hint="eastAsia"/>
                                <w:color w:val="000000" w:themeColor="text1"/>
                              </w:rPr>
                              <w:t>验收</w:t>
                            </w:r>
                          </w:p>
                        </w:txbxContent>
                      </v:textbox>
                    </v:rect>
                    <v:rect id="矩形 58" o:spid="_x0000_s2076" o:spt="1" style="position:absolute;left:10911;top:287946;height:505;width:1686;v-text-anchor:middle;" filled="f" stroked="t" coordsize="21600,21600" o:gfxdata="UEsDBAoAAAAAAIdO4kAAAAAAAAAAAAAAAAAEAAAAZHJzL1BLAwQUAAAACACHTuJAcg030bsAAADb&#10;AAAADwAAAGRycy9kb3ducmV2LnhtbEVPy2rCQBTdC/7DcAV3OtHSItFRbKXgokirbtxdM9ckmLkT&#10;MhPz+HpnIXR5OO/VpjWFeFDlcssKZtMIBHFidc6pgvPpe7IA4TyyxsIyKejIwWY9HKww1rbhP3oc&#10;fSpCCLsYFWTel7GULsnIoJvakjhwN1sZ9AFWqdQVNiHcFHIeRR/SYM6hIcOSvjJK7sfaKDC4e+t/&#10;rx13p+vPufi8HA79tlZqPJpFSxCeWv8vfrn3WsF7GBu+hB8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g030bsAAADb&#10;AAAADwAAAAAAAAABACAAAAAiAAAAZHJzL2Rvd25yZXYueG1sUEsBAhQAFAAAAAgAh07iQDMvBZ47&#10;AAAAOQAAABAAAAAAAAAAAQAgAAAACgEAAGRycy9zaGFwZXhtbC54bWxQSwUGAAAAAAYABgBbAQAA&#10;tAMAAAAA&#10;">
                      <v:path/>
                      <v:fill on="f" focussize="0,0"/>
                      <v:stroke weight="1.5pt" color="#000000" joinstyle="round"/>
                      <v:imagedata o:title=""/>
                      <o:lock v:ext="edit" aspectratio="f"/>
                      <v:textbox>
                        <w:txbxContent>
                          <w:p w14:paraId="6099CCBB">
                            <w:pPr>
                              <w:jc w:val="center"/>
                              <w:rPr>
                                <w:color w:val="000000" w:themeColor="text1"/>
                              </w:rPr>
                            </w:pPr>
                            <w:r>
                              <w:rPr>
                                <w:rFonts w:hint="eastAsia"/>
                                <w:color w:val="000000" w:themeColor="text1"/>
                              </w:rPr>
                              <w:t>卸货入库存储</w:t>
                            </w:r>
                          </w:p>
                        </w:txbxContent>
                      </v:textbox>
                    </v:rect>
                    <v:rect id="矩形 59" o:spid="_x0000_s2077" o:spt="1" style="position:absolute;left:9259;top:287959;height:505;width:1266;v-text-anchor:middle;" filled="f" stroked="t" coordsize="21600,21600" o:gfxdata="UEsDBAoAAAAAAIdO4kAAAAAAAAAAAAAAAAAEAAAAZHJzL1BLAwQUAAAACACHTuJAHUGSSr4AAADb&#10;AAAADwAAAGRycy9kb3ducmV2LnhtbEWPT4vCMBTE74LfITzBm6a6uOx2jaIuggcRrV729myebbF5&#10;KU38Uz+9WRA8DjPzG2Y8vZtSXKl2hWUFg34Egji1uuBMwWG/7H2BcB5ZY2mZFDTkYDppt8YYa3vj&#10;HV0Tn4kAYRejgtz7KpbSpTkZdH1bEQfvZGuDPsg6k7rGW4CbUg6j6FMaLDgs5FjRIqf0nFyMAoO/&#10;H4/tseFmf1wfyvnfZvOYXZTqdgbRDwhPd/8Ov9orrWD0Df9fwg+Qk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GSSr4A&#10;AADbAAAADwAAAAAAAAABACAAAAAiAAAAZHJzL2Rvd25yZXYueG1sUEsBAhQAFAAAAAgAh07iQDMv&#10;BZ47AAAAOQAAABAAAAAAAAAAAQAgAAAADQEAAGRycy9zaGFwZXhtbC54bWxQSwUGAAAAAAYABgBb&#10;AQAAtwMAAAAA&#10;">
                      <v:path/>
                      <v:fill on="f" focussize="0,0"/>
                      <v:stroke weight="1.5pt" color="#000000" joinstyle="round"/>
                      <v:imagedata o:title=""/>
                      <o:lock v:ext="edit" aspectratio="f"/>
                      <v:textbox>
                        <w:txbxContent>
                          <w:p w14:paraId="66245452">
                            <w:pPr>
                              <w:jc w:val="center"/>
                              <w:rPr>
                                <w:color w:val="000000" w:themeColor="text1"/>
                              </w:rPr>
                            </w:pPr>
                            <w:r>
                              <w:rPr>
                                <w:rFonts w:hint="eastAsia"/>
                                <w:color w:val="000000" w:themeColor="text1"/>
                              </w:rPr>
                              <w:t>批发销售</w:t>
                            </w:r>
                          </w:p>
                        </w:txbxContent>
                      </v:textbox>
                    </v:rect>
                    <v:rect id="矩形 60" o:spid="_x0000_s2078" o:spt="1" style="position:absolute;left:6954;top:287974;height:505;width:1949;v-text-anchor:middle;" filled="f" stroked="t" coordsize="21600,21600" o:gfxdata="UEsDBAoAAAAAAIdO4kAAAAAAAAAAAAAAAAAEAAAAZHJzL1BLAwQUAAAACACHTuJAQhfxargAAADb&#10;AAAADwAAAGRycy9kb3ducmV2LnhtbEVPyQrCMBC9C/5DGMGbpiqIVKO4IHgQcbt4G5uxLTaT0sSl&#10;fr05CB4fb5/M3qYQT6pcbllBrxuBIE6szjlVcD6tOyMQziNrLCyTgpoczKbNxgRjbV98oOfRpyKE&#10;sItRQeZ9GUvpkowMuq4tiQN3s5VBH2CVSl3hK4SbQvajaCgN5hwaMixpmVFyPz6MAoOrwWd/rbk+&#10;XbfnYnHZ7T7zh1LtVi8ag/D09n/xz73RCo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hfxargAAADbAAAA&#10;DwAAAAAAAAABACAAAAAiAAAAZHJzL2Rvd25yZXYueG1sUEsBAhQAFAAAAAgAh07iQDMvBZ47AAAA&#10;OQAAABAAAAAAAAAAAQAgAAAABwEAAGRycy9zaGFwZXhtbC54bWxQSwUGAAAAAAYABgBbAQAAsQMA&#10;AAAA&#10;">
                      <v:path/>
                      <v:fill on="f" focussize="0,0"/>
                      <v:stroke weight="1.5pt" color="#000000" joinstyle="round"/>
                      <v:imagedata o:title=""/>
                      <o:lock v:ext="edit" aspectratio="f"/>
                      <v:textbox>
                        <w:txbxContent>
                          <w:p w14:paraId="6D6FEC61">
                            <w:pPr>
                              <w:jc w:val="center"/>
                              <w:rPr>
                                <w:color w:val="000000" w:themeColor="text1"/>
                              </w:rPr>
                            </w:pPr>
                            <w:r>
                              <w:rPr>
                                <w:rFonts w:hint="eastAsia"/>
                                <w:color w:val="000000" w:themeColor="text1"/>
                              </w:rPr>
                              <w:t>验货、装车、运输</w:t>
                            </w:r>
                          </w:p>
                        </w:txbxContent>
                      </v:textbox>
                    </v:rect>
                    <v:rect id="矩形 61" o:spid="_x0000_s2079" o:spt="1" style="position:absolute;left:4776;top:287890;height:682;width:1851;v-text-anchor:middle;" filled="f" stroked="t" coordsize="21600,21600" o:gfxdata="UEsDBAoAAAAAAIdO4kAAAAAAAAAAAAAAAAAEAAAAZHJzL1BLAwQUAAAACACHTuJALVtU8b8AAADb&#10;AAAADwAAAGRycy9kb3ducmV2LnhtbEWPS4vCQBCE78L+h6EXvOkkuyASHWUfLOxBgiZevLWZNglm&#10;ekJmfCS/3llY8FhU1VfUcn03jbhS52rLCuJpBIK4sLrmUsE+/5nMQTiPrLGxTAp6crBevYyWmGh7&#10;4x1dM1+KAGGXoILK+zaR0hUVGXRT2xIH72Q7gz7IrpS6w1uAm0a+RdFMGqw5LFTY0ldFxTm7GAUG&#10;v9+H7bHnPj9u9s3nIU2Hj4tS49c4WoDwdPfP8H/7VyuYxfD3JfwAuX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bVPG/&#10;AAAA2wAAAA8AAAAAAAAAAQAgAAAAIgAAAGRycy9kb3ducmV2LnhtbFBLAQIUABQAAAAIAIdO4kAz&#10;LwWeOwAAADkAAAAQAAAAAAAAAAEAIAAAAA4BAABkcnMvc2hhcGV4bWwueG1sUEsFBgAAAAAGAAYA&#10;WwEAALgDAAAAAA==&#10;">
                      <v:path/>
                      <v:fill on="f" focussize="0,0"/>
                      <v:stroke weight="1.5pt" color="#000000" joinstyle="round"/>
                      <v:imagedata o:title=""/>
                      <o:lock v:ext="edit" aspectratio="f"/>
                      <v:textbox>
                        <w:txbxContent>
                          <w:p w14:paraId="7779E8F7">
                            <w:pPr>
                              <w:jc w:val="center"/>
                            </w:pPr>
                            <w:r>
                              <w:rPr>
                                <w:rFonts w:hint="eastAsia"/>
                                <w:color w:val="000000" w:themeColor="text1"/>
                              </w:rPr>
                              <w:t>烟花爆竹持证零售店</w:t>
                            </w:r>
                          </w:p>
                        </w:txbxContent>
                      </v:textbox>
                    </v:rect>
                    <v:shape id="直接箭头连接符 62" o:spid="_x0000_s2080" o:spt="32" type="#_x0000_t32" style="position:absolute;left:6039;top:287203;height:7;width:326;" filled="f" stroked="t" coordsize="21600,21600" o:gfxdata="UEsDBAoAAAAAAIdO4kAAAAAAAAAAAAAAAAAEAAAAZHJzL1BLAwQUAAAACACHTuJAXBymm70AAADb&#10;AAAADwAAAGRycy9kb3ducmV2LnhtbEWPW4vCMBSE3wX/QziCbzZVoUrXKCgIqy/ijWXfDs3Zptic&#10;dJt4+/ebBcHHYWa+YWaLh63FjVpfOVYwTFIQxIXTFZcKTsf1YArCB2SNtWNS8CQPi3m3M8Ncuzvv&#10;6XYIpYgQ9jkqMCE0uZS+MGTRJ64hjt6Pay2GKNtS6hbvEW5rOUrTTFqsOC4YbGhlqLgcrlbB1+Z7&#10;uTfb9WRcHGW2w8vvVp8zpfq9YfoBItAjvMOv9qdWkI3g/0v8AX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HKabvQAA&#10;ANsAAAAPAAAAAAAAAAEAIAAAACIAAABkcnMvZG93bnJldi54bWxQSwECFAAUAAAACACHTuJAMy8F&#10;njsAAAA5AAAAEAAAAAAAAAABACAAAAAMAQAAZHJzL3NoYXBleG1sLnhtbFBLBQYAAAAABgAGAFsB&#10;AAC2AwAAAAA=&#10;">
                      <v:path arrowok="t"/>
                      <v:fill on="f" focussize="0,0"/>
                      <v:stroke weight="1pt" color="#000000" endarrow="open"/>
                      <v:imagedata o:title=""/>
                      <o:lock v:ext="edit" aspectratio="f"/>
                    </v:shape>
                    <v:shape id="直接箭头连接符 63" o:spid="_x0000_s2081" o:spt="32" type="#_x0000_t32" style="position:absolute;left:7631;top:287210;height:13;width:359;" filled="f" stroked="t" coordsize="21600,21600" o:gfxdata="UEsDBAoAAAAAAIdO4kAAAAAAAAAAAAAAAAAEAAAAZHJzL1BLAwQUAAAACACHTuJAM1ADALwAAADb&#10;AAAADwAAAGRycy9kb3ducmV2LnhtbEWPT4vCMBTE74LfITzBm6YqVOkaBQVBvYi6suzt0bxtis1L&#10;beK/b28EYY/DzPyGmc4fthI3anzpWMGgn4Agzp0uuVDwfVz1JiB8QNZYOSYFT/Iwn7VbU8y0u/Oe&#10;bodQiAhhn6ECE0KdSelzQxZ939XE0ftzjcUQZVNI3eA9wm0lh0mSSoslxwWDNS0N5efD1Sr42fwu&#10;9ma7Go/yo0x3eL5s9SlVqtsZJF8gAj3Cf/jTXmsF6QjeX+IPkL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QAwC8AAAA&#10;2wAAAA8AAAAAAAAAAQAgAAAAIgAAAGRycy9kb3ducmV2LnhtbFBLAQIUABQAAAAIAIdO4kAzLwWe&#10;OwAAADkAAAAQAAAAAAAAAAEAIAAAAAsBAABkcnMvc2hhcGV4bWwueG1sUEsFBgAAAAAGAAYAWwEA&#10;ALUDAAAAAA==&#10;">
                      <v:path arrowok="t"/>
                      <v:fill on="f" focussize="0,0"/>
                      <v:stroke weight="1pt" color="#000000" endarrow="open"/>
                      <v:imagedata o:title=""/>
                      <o:lock v:ext="edit" aspectratio="f"/>
                    </v:shape>
                    <v:shape id="直接箭头连接符 64" o:spid="_x0000_s2082" o:spt="32" type="#_x0000_t32" style="position:absolute;left:9337;top:287223;height:15;width:338;" filled="f" stroked="t" coordsize="21600,21600" o:gfxdata="UEsDBAoAAAAAAIdO4kAAAAAAAAAAAAAAAAAEAAAAZHJzL1BLAwQUAAAACACHTuJAvLmbdL4AAADb&#10;AAAADwAAAGRycy9kb3ducmV2LnhtbEWPQWvCQBSE7wX/w/IEb3VjLWmJrgELQs1F1Jbi7ZF9ZkOy&#10;b9Psqum/dwuFHoeZ+YZZ5oNtxZV6XztWMJsmIIhLp2uuFHwcN4+vIHxA1tg6JgU/5CFfjR6WmGl3&#10;4z1dD6ESEcI+QwUmhC6T0peGLPqp64ijd3a9xRBlX0nd4y3CbSufkiSVFmuOCwY7ejNUNoeLVfC1&#10;Pa33pti8zMujTHfYfBf6M1VqMp4lCxCBhvAf/mu/awXpM/x+iT9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mbdL4A&#10;AADbAAAADwAAAAAAAAABACAAAAAiAAAAZHJzL2Rvd25yZXYueG1sUEsBAhQAFAAAAAgAh07iQDMv&#10;BZ47AAAAOQAAABAAAAAAAAAAAQAgAAAADQEAAGRycy9zaGFwZXhtbC54bWxQSwUGAAAAAAYABgBb&#10;AQAAtwMAAAAA&#10;">
                      <v:path arrowok="t"/>
                      <v:fill on="f" focussize="0,0"/>
                      <v:stroke weight="1pt" color="#000000" endarrow="open"/>
                      <v:imagedata o:title=""/>
                      <o:lock v:ext="edit" aspectratio="f"/>
                    </v:shape>
                    <v:shape id="直接箭头连接符 65" o:spid="_x0000_s2083" o:spt="32" type="#_x0000_t32" style="position:absolute;left:10941;top:287238;height:17;width:393;" filled="f" stroked="t" coordsize="21600,21600" o:gfxdata="UEsDBAoAAAAAAIdO4kAAAAAAAAAAAAAAAAAEAAAAZHJzL1BLAwQUAAAACACHTuJA0/U+774AAADb&#10;AAAADwAAAGRycy9kb3ducmV2LnhtbEWPQWvCQBSE7wX/w/IEb3VjpWmJrgELQs1F1Jbi7ZF9ZkOy&#10;b9Psqum/dwuFHoeZ+YZZ5oNtxZV6XztWMJsmIIhLp2uuFHwcN4+vIHxA1tg6JgU/5CFfjR6WmGl3&#10;4z1dD6ESEcI+QwUmhC6T0peGLPqp64ijd3a9xRBlX0nd4y3CbSufkiSVFmuOCwY7ejNUNoeLVfC1&#10;Pa33pti8zMujTHfYfBf6M1VqMp4lCxCBhvAf/mu/awXpM/x+iT9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U+774A&#10;AADbAAAADwAAAAAAAAABACAAAAAiAAAAZHJzL2Rvd25yZXYueG1sUEsBAhQAFAAAAAgAh07iQDMv&#10;BZ47AAAAOQAAABAAAAAAAAAAAQAgAAAADQEAAGRycy9zaGFwZXhtbC54bWxQSwUGAAAAAAYABgBb&#10;AQAAtwMAAAAA&#10;">
                      <v:path arrowok="t"/>
                      <v:fill on="f" focussize="0,0"/>
                      <v:stroke weight="1pt" color="#000000" endarrow="open"/>
                      <v:imagedata o:title=""/>
                      <o:lock v:ext="edit" aspectratio="f"/>
                    </v:shape>
                    <v:shape id="直接箭头连接符 66" o:spid="_x0000_s2084" o:spt="32" type="#_x0000_t32" style="position:absolute;left:11959;top:287507;flip:x;height:451;width:8;" filled="f" stroked="t" coordsize="21600,21600" o:gfxdata="UEsDBAoAAAAAAIdO4kAAAAAAAAAAAAAAAAAEAAAAZHJzL1BLAwQUAAAACACHTuJAjAyxEL0AAADb&#10;AAAADwAAAGRycy9kb3ducmV2LnhtbEWPS4vCMBSF94L/IdwBN6JpFVrpGEUGBgRdjA+Q7q7NnbZM&#10;c1Oa+Pr3ZkBweTiPjzNf3k0jrtS52rKCeByBIC6srrlUcDx8j2YgnEfW2FgmBQ9ysFz0e3PMtL3x&#10;jq57X4owwi5DBZX3bSalKyoy6Ma2JQ7er+0M+iC7UuoOb2HcNHISRYk0WHMgVNjSV0XF3/5iAuSc&#10;p7N4muqf4eY0yfO6WJlkq9TgI44+QXi6+3f41V5rBUkC/1/CD5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DLEQvQAA&#10;ANsAAAAPAAAAAAAAAAEAIAAAACIAAABkcnMvZG93bnJldi54bWxQSwECFAAUAAAACACHTuJAMy8F&#10;njsAAAA5AAAAEAAAAAAAAAABACAAAAAMAQAAZHJzL3NoYXBleG1sLnhtbFBLBQYAAAAABgAGAFsB&#10;AAC2AwAAAAA=&#10;">
                      <v:path arrowok="t"/>
                      <v:fill on="f" focussize="0,0"/>
                      <v:stroke weight="1pt" color="#000000" endarrow="open"/>
                      <v:imagedata o:title=""/>
                      <o:lock v:ext="edit" aspectratio="f"/>
                    </v:shape>
                    <v:shape id="直接箭头连接符 67" o:spid="_x0000_s2085" o:spt="32" type="#_x0000_t32" style="position:absolute;left:10525;top:288212;flip:x;height:0;width:386;" filled="f" stroked="t" coordsize="21600,21600" o:gfxdata="UEsDBAoAAAAAAIdO4kAAAAAAAAAAAAAAAAAEAAAAZHJzL1BLAwQUAAAACACHTuJA40AUi70AAADb&#10;AAAADwAAAGRycy9kb3ducmV2LnhtbEWPS4vCMBSF9wP+h3AFN8OYVqGVjlFEEARdOCpId3eaO22x&#10;uSlNfP17Iwy4PJzHx5nO76YRV+pcbVlBPIxAEBdW11wqOB5WXxMQziNrbCyTggc5mM96H1PMtL3x&#10;D133vhRhhF2GCirv20xKV1Rk0A1tSxy8P9sZ9EF2pdQd3sK4aeQoihJpsOZAqLClZUXFeX8xAfKb&#10;p5N4nOrd5+Y0yvO6WJhkq9SgH0ffIDzd/Tv8315rBUkKry/hB8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QBSLvQAA&#10;ANsAAAAPAAAAAAAAAAEAIAAAACIAAABkcnMvZG93bnJldi54bWxQSwECFAAUAAAACACHTuJAMy8F&#10;njsAAAA5AAAAEAAAAAAAAAABACAAAAAMAQAAZHJzL3NoYXBleG1sLnhtbFBLBQYAAAAABgAGAFsB&#10;AAC2AwAAAAA=&#10;">
                      <v:path arrowok="t"/>
                      <v:fill on="f" focussize="0,0"/>
                      <v:stroke weight="1pt" color="#000000" endarrow="open"/>
                      <v:imagedata o:title=""/>
                      <o:lock v:ext="edit" aspectratio="f"/>
                    </v:shape>
                    <v:shape id="直接箭头连接符 68" o:spid="_x0000_s2086" o:spt="32" type="#_x0000_t32" style="position:absolute;left:8903;top:288212;flip:x;height:15;width:356;" filled="f" stroked="t" coordsize="21600,21600" o:gfxdata="UEsDBAoAAAAAAIdO4kAAAAAAAAAAAAAAAAAEAAAAZHJzL1BLAwQUAAAACACHTuJAkt+A+bsAAADb&#10;AAAADwAAAGRycy9kb3ducmV2LnhtbEVPS2vCQBC+F/wPyxS8lLqJQpToKiIIBT20Kkhu0+yYhGZn&#10;Q3br4987h0KPH997sbq7Vl2pD41nA+koAUVcettwZeB03L7PQIWIbLH1TAYeFGC1HLwsMLf+xl90&#10;PcRKSQiHHA3UMXa51qGsyWEY+Y5YuIvvHUaBfaVtjzcJd60eJ0mmHTYsDTV2tKmp/Dn8Oin5Lqaz&#10;dDK1n2+787gomnLtsr0xw9c0mYOKdI//4j/3hzWQyVj5Ij9AL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t+A+bsAAADb&#10;AAAADwAAAAAAAAABACAAAAAiAAAAZHJzL2Rvd25yZXYueG1sUEsBAhQAFAAAAAgAh07iQDMvBZ47&#10;AAAAOQAAABAAAAAAAAAAAQAgAAAACgEAAGRycy9zaGFwZXhtbC54bWxQSwUGAAAAAAYABgBbAQAA&#10;tAMAAAAA&#10;">
                      <v:path arrowok="t"/>
                      <v:fill on="f" focussize="0,0"/>
                      <v:stroke weight="1pt" color="#000000" endarrow="open"/>
                      <v:imagedata o:title=""/>
                      <o:lock v:ext="edit" aspectratio="f"/>
                    </v:shape>
                    <v:shape id="直接箭头连接符 69" o:spid="_x0000_s2087" o:spt="32" type="#_x0000_t32" style="position:absolute;left:6627;top:288227;flip:x;height:4;width:327;" filled="f" stroked="t" coordsize="21600,21600" o:gfxdata="UEsDBAoAAAAAAIdO4kAAAAAAAAAAAAAAAAAEAAAAZHJzL1BLAwQUAAAACACHTuJA/ZMlYr8AAADb&#10;AAAADwAAAGRycy9kb3ducmV2LnhtbEWPX2vCMBTF34V9h3AHe5GZVqHWapQxGAz0wXUD6du1uWvL&#10;mpuSZOq+/SIIPh7Onx9ntbmYXpzI+c6ygnSSgCCure64UfD1+facg/ABWWNvmRT8kYfN+mG0wkLb&#10;M3/QqQyNiCPsC1TQhjAUUvq6JYN+Ygfi6H1bZzBE6RqpHZ7juOnlNEkyabDjSGhxoNeW6p/y10TI&#10;sZrn6Wyu9+PtYVpVXf1isp1ST49psgQR6BLu4Vv7XSvIFnD9En+AX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TJWK/&#10;AAAA2wAAAA8AAAAAAAAAAQAgAAAAIgAAAGRycy9kb3ducmV2LnhtbFBLAQIUABQAAAAIAIdO4kAz&#10;LwWeOwAAADkAAAAQAAAAAAAAAAEAIAAAAA4BAABkcnMvc2hhcGV4bWwueG1sUEsFBgAAAAAGAAYA&#10;WwEAALgDAAAAAA==&#10;">
                      <v:path arrowok="t"/>
                      <v:fill on="f" focussize="0,0"/>
                      <v:stroke weight="1pt" color="#000000" endarrow="open"/>
                      <v:imagedata o:title=""/>
                      <o:lock v:ext="edit" aspectratio="f"/>
                    </v:shape>
                  </v:group>
                  <v:group id="组合 27" o:spid="_x0000_s2088" o:spt="203" style="position:absolute;left:6064;top:232401;height:4115;width:7991;" coordorigin="6064,232401" coordsize="7991,4115"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group id="_x0000_s2089" o:spid="_x0000_s2089" o:spt="203" style="position:absolute;left:6064;top:232401;height:4115;width:7991;" coordorigin="6064,233218" coordsize="7991,4115"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ect id="矩形 71" o:spid="_x0000_s2090" o:spt="1" style="position:absolute;left:6064;top:233218;height:4115;width:7991;v-text-anchor:middle;" filled="f" stroked="t" coordsize="21600,21600" o:gfxdata="UEsDBAoAAAAAAIdO4kAAAAAAAAAAAAAAAAAEAAAAZHJzL1BLAwQUAAAACACHTuJAqILCLL4AAADb&#10;AAAADwAAAGRycy9kb3ducmV2LnhtbEWPT4vCMBTE74LfIbyFvWlaF1SqUVaXBQ8ia/Xi7dk822Lz&#10;Upr4p356syB4HGbmN8x0fjeVuFLjSssK4n4EgjizuuRcwX732xuDcB5ZY2WZFLTkYD7rdqaYaHvj&#10;LV1Tn4sAYZeggsL7OpHSZQUZdH1bEwfvZBuDPsgml7rBW4CbSg6iaCgNlhwWCqxpWVB2Ti9GgcGf&#10;r8ffseV2d1zvq8Vhs3l8X5T6/IijCQhPd/8Ov9orrWAUw/+X8AP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LCLL4A&#10;AADbAAAADwAAAAAAAAABACAAAAAiAAAAZHJzL2Rvd25yZXYueG1sUEsBAhQAFAAAAAgAh07iQDMv&#10;BZ47AAAAOQAAABAAAAAAAAAAAQAgAAAADQEAAGRycy9zaGFwZXhtbC54bWxQSwUGAAAAAAYABgBb&#10;AQAAtwMAAAAA&#10;">
                        <v:path/>
                        <v:fill on="f" focussize="0,0"/>
                        <v:stroke weight="1.5pt" color="#000000" joinstyle="round"/>
                        <v:imagedata o:title=""/>
                        <o:lock v:ext="edit" aspectratio="f"/>
                      </v:rect>
                      <v:group id="组合 23" o:spid="_x0000_s2091" o:spt="203" style="position:absolute;left:6190;top:233289;height:3952;width:6965;" coordorigin="6190,233289" coordsize="6965,3952"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流程图: 过程 1" o:spid="_x0000_s2092" o:spt="109" type="#_x0000_t109" style="position:absolute;left:10486;top:233289;height:503;width:1718;v-text-anchor:middle;" filled="f" stroked="t" coordsize="21600,21600" o:gfxdata="UEsDBAoAAAAAAIdO4kAAAAAAAAAAAAAAAAAEAAAAZHJzL1BLAwQUAAAACACHTuJA/8FLDb0AAADa&#10;AAAADwAAAGRycy9kb3ducmV2LnhtbEWPzWsCMRTE70L/h/AK3txkVUS2Rg8FS0E9+EFpb4/N6+62&#10;m5cliV//vREEj8PMb4aZLS62FSfyoXGsIc8UCOLSmYYrDYf9cjAFESKywdYxabhSgMX8pTfDwrgz&#10;b+m0i5VIJRwK1FDH2BVShrImiyFzHXHyfp23GJP0lTQez6nctnKo1ERabDgt1NjRe03l/+5oNYxW&#10;zd/6axgnH5ur+llKP97k42+t+6+5egMR6RKf4Qf9aRIH9yvpBs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UsNvQAA&#10;ANoAAAAPAAAAAAAAAAEAIAAAACIAAABkcnMvZG93bnJldi54bWxQSwECFAAUAAAACACHTuJAMy8F&#10;njsAAAA5AAAAEAAAAAAAAAABACAAAAAMAQAAZHJzL3NoYXBleG1sLnhtbFBLBQYAAAAABgAGAFsB&#10;AAC2AwAAAAA=&#10;">
                          <v:path/>
                          <v:fill on="f" focussize="0,0"/>
                          <v:stroke weight="1.5pt" color="#000000" joinstyle="round"/>
                          <v:imagedata o:title=""/>
                          <o:lock v:ext="edit" aspectratio="f"/>
                          <v:textbox>
                            <w:txbxContent>
                              <w:p w14:paraId="05732B66">
                                <w:pPr>
                                  <w:jc w:val="center"/>
                                  <w:rPr>
                                    <w:color w:val="000000" w:themeColor="text1"/>
                                  </w:rPr>
                                </w:pPr>
                                <w:r>
                                  <w:rPr>
                                    <w:rFonts w:hint="eastAsia"/>
                                    <w:color w:val="000000" w:themeColor="text1"/>
                                  </w:rPr>
                                  <w:t>噪声、扬尘</w:t>
                                </w:r>
                              </w:p>
                            </w:txbxContent>
                          </v:textbox>
                        </v:shape>
                        <v:line id="直接连接符 3" o:spid="_x0000_s2093" o:spt="20" style="position:absolute;left:10065;top:233792;flip:y;height:187;width:128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path arrowok="t"/>
                          <v:fill on="f" focussize="0,0"/>
                          <v:stroke color="#000000"/>
                          <v:imagedata o:title=""/>
                          <o:lock v:ext="edit" aspectratio="f"/>
                        </v:line>
                        <v:line id="直接连接符 4" o:spid="_x0000_s2094" o:spt="20" style="position:absolute;left:11250;top:233786;flip:x y;height:218;width:886;" filled="f" stroked="t" coordsize="21600,21600" o:gfxdata="UEsDBAoAAAAAAIdO4kAAAAAAAAAAAAAAAAAEAAAAZHJzL1BLAwQUAAAACACHTuJAbG6znLgAAADa&#10;AAAADwAAAGRycy9kb3ducmV2LnhtbEWPzYrCMBSF98K8Q7iCO006i2mpRheCMFsdkVlemmtTTG5q&#10;k7H69kYQZnk4Px9ntbl7J240xC6whmKhQBA3wXTcajj+7OYViJiQDbrApOFBETbrj8kKaxNG3tPt&#10;kFqRRzjWqMGm1NdSxsaSx7gIPXH2zmHwmLIcWmkGHPO4d/JTqS/pseNMsNjT1lJzOfx5Da5S1fW0&#10;LcffvcmU3clZLgutZ9NCLUEkuqf/8Lv9bTSU8LqSb4BcP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G6znLgAAADaAAAA&#10;DwAAAAAAAAABACAAAAAiAAAAZHJzL2Rvd25yZXYueG1sUEsBAhQAFAAAAAgAh07iQDMvBZ47AAAA&#10;OQAAABAAAAAAAAAAAQAgAAAABwEAAGRycy9zaGFwZXhtbC54bWxQSwUGAAAAAAYABgBbAQAAsQMA&#10;AAAA&#10;">
                          <v:path arrowok="t"/>
                          <v:fill on="f" focussize="0,0"/>
                          <v:stroke color="#000000"/>
                          <v:imagedata o:title=""/>
                          <o:lock v:ext="edit" aspectratio="f"/>
                        </v:line>
                        <v:shape id="流程图: 过程 8" o:spid="_x0000_s2095" o:spt="109" type="#_x0000_t109" style="position:absolute;left:9825;top:235957;height:503;width:1718;v-text-anchor:middle;" filled="f" stroked="t" coordsize="21600,21600" o:gfxdata="UEsDBAoAAAAAAIdO4kAAAAAAAAAAAAAAAAAEAAAAZHJzL1BLAwQUAAAACACHTuJA8WXZfLoAAADa&#10;AAAADwAAAGRycy9kb3ducmV2LnhtbEVPy4rCMBTdC/MP4Q6406SOyFCNLgYchNGFDwbdXZprW21u&#10;ShJff28WgsvDeU9md9uIK/lQO9aQ9RUI4sKZmksNu+289w0iRGSDjWPS8KAAs+lHZ4K5cTde03UT&#10;S5FCOOSooYqxzaUMRUUWQ9+1xIk7Om8xJuhLaTzeUrht5ECpkbRYc2qosKWfiorz5mI1fP3Vp+X/&#10;II5+Vw91mEs/XGXDvdbdz0yNQUS6x7f45V4YDWlrupJu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Zdl8ugAAANoA&#10;AAAPAAAAAAAAAAEAIAAAACIAAABkcnMvZG93bnJldi54bWxQSwECFAAUAAAACACHTuJAMy8FnjsA&#10;AAA5AAAAEAAAAAAAAAABACAAAAAJAQAAZHJzL3NoYXBleG1sLnhtbFBLBQYAAAAABgAGAFsBAACz&#10;AwAAAAA=&#10;">
                          <v:path/>
                          <v:fill on="f" focussize="0,0"/>
                          <v:stroke weight="1.5pt" color="#000000" joinstyle="round"/>
                          <v:imagedata o:title=""/>
                          <o:lock v:ext="edit" aspectratio="f"/>
                          <v:textbox>
                            <w:txbxContent>
                              <w:p w14:paraId="0573183A">
                                <w:pPr>
                                  <w:jc w:val="center"/>
                                  <w:rPr>
                                    <w:color w:val="000000" w:themeColor="text1"/>
                                  </w:rPr>
                                </w:pPr>
                                <w:r>
                                  <w:rPr>
                                    <w:rFonts w:hint="eastAsia"/>
                                    <w:color w:val="000000" w:themeColor="text1"/>
                                  </w:rPr>
                                  <w:t>噪声、扬尘</w:t>
                                </w:r>
                              </w:p>
                            </w:txbxContent>
                          </v:textbox>
                        </v:shape>
                        <v:line id="直接连接符 9" o:spid="_x0000_s2096" o:spt="20" style="position:absolute;left:9330;top:235488;height:469;width:1354;" filled="f" stroked="t" coordsize="21600,21600" o:gfxdata="UEsDBAoAAAAAAIdO4kAAAAAAAAAAAAAAAAAEAAAAZHJzL1BLAwQUAAAACACHTuJABXaDgrwAAADa&#10;AAAADwAAAGRycy9kb3ducmV2LnhtbEWPT4vCMBTE7wt+h/AEL2ITFWStRg9qYQ97UVe8PppnW2xe&#10;ahP/7H56Iwh7HGbmN8x8+bC1uFHrK8cahokCQZw7U3Gh4WefDT5B+IBssHZMGn7Jw3LR+Zhjatyd&#10;t3TbhUJECPsUNZQhNKmUPi/Jok9cQxy9k2sthijbQpoW7xFuazlSaiItVhwXSmxoVVJ+3l2tBp8d&#10;6JL99fO+Oo4LR6PL+nuDWve6QzUDEegR/sPv9pfRMIX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2g4K8AAAA&#10;2gAAAA8AAAAAAAAAAQAgAAAAIgAAAGRycy9kb3ducmV2LnhtbFBLAQIUABQAAAAIAIdO4kAzLwWe&#10;OwAAADkAAAAQAAAAAAAAAAEAIAAAAAsBAABkcnMvc2hhcGV4bWwueG1sUEsFBgAAAAAGAAYAWwEA&#10;ALUDAAAAAA==&#10;">
                          <v:path arrowok="t"/>
                          <v:fill on="f" focussize="0,0"/>
                          <v:stroke color="#000000"/>
                          <v:imagedata o:title=""/>
                          <o:lock v:ext="edit" aspectratio="f"/>
                        </v:line>
                        <v:line id="直接连接符 10" o:spid="_x0000_s2097" o:spt="20" style="position:absolute;left:10684;top:235460;flip:x;height:497;width:2471;" filled="f" stroked="t" coordsize="21600,21600" o:gfxdata="UEsDBAoAAAAAAIdO4kAAAAAAAAAAAAAAAAAEAAAAZHJzL1BLAwQUAAAACACHTuJAFjLugr0AAADb&#10;AAAADwAAAGRycy9kb3ducmV2LnhtbEWPQWvCQBCF70L/wzKF3nRXC0Wjq5SipVAoGNOex+yYBLOz&#10;IbuN9t93DoK3Gd6b975Zba6+VQP1sQlsYToxoIjL4BquLBSH3XgOKiZkh21gsvBHETbrh9EKMxcu&#10;vKchT5WSEI4ZWqhT6jKtY1mTxzgJHbFop9B7TLL2lXY9XiTct3pmzIv22LA01NjRW03lOf/1Fl5/&#10;PrfPX8PRh9YtquLb+cK8z6x9epyaJahE13Q3364/nOALvf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u6CvQAA&#10;ANsAAAAPAAAAAAAAAAEAIAAAACIAAABkcnMvZG93bnJldi54bWxQSwECFAAUAAAACACHTuJAMy8F&#10;njsAAAA5AAAAEAAAAAAAAAABACAAAAAMAQAAZHJzL3NoYXBleG1sLnhtbFBLBQYAAAAABgAGAFsB&#10;AAC2AwAAAAA=&#10;">
                          <v:path arrowok="t"/>
                          <v:fill on="f" focussize="0,0"/>
                          <v:stroke color="#000000"/>
                          <v:imagedata o:title=""/>
                          <o:lock v:ext="edit" aspectratio="f"/>
                        </v:line>
                        <v:rect id="矩形 12" o:spid="_x0000_s2098" o:spt="1" style="position:absolute;left:6190;top:236560;height:627;width:1118;v-text-anchor:middle;" filled="f" stroked="t" coordsize="21600,21600" o:gfxdata="UEsDBAoAAAAAAIdO4kAAAAAAAAAAAAAAAAAEAAAAZHJzL1BLAwQUAAAACACHTuJAhY+5+70AAADb&#10;AAAADwAAAGRycy9kb3ducmV2LnhtbEVPS2vCQBC+C/6HZYTedGMKpaTZSB8UeijSRi+9jdkxCWZn&#10;Q3aTGH99VxC8zcf3nHRzNo0YqHO1ZQXrVQSCuLC65lLBfve5fAbhPLLGxjIpmMjBJpvPUky0HfmX&#10;htyXIoSwS1BB5X2bSOmKigy6lW2JA3e0nUEfYFdK3eEYwk0j4yh6kgZrDg0VtvReUXHKe6PA4Mfj&#10;5ecw8bQ7fO+bt7/t9vLaK/WwWEcvIDyd/V18c3/pMD+G6y/hAJ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j7n7vQAA&#10;ANsAAAAPAAAAAAAAAAEAIAAAACIAAABkcnMvZG93bnJldi54bWxQSwECFAAUAAAACACHTuJAMy8F&#10;njsAAAA5AAAAEAAAAAAAAAABACAAAAAMAQAAZHJzL3NoYXBleG1sLnhtbFBLBQYAAAAABgAGAFsB&#10;AAC2AwAAAAA=&#10;">
                          <v:path/>
                          <v:fill on="f" focussize="0,0"/>
                          <v:stroke weight="1.5pt" color="#000000" joinstyle="round"/>
                          <v:imagedata o:title=""/>
                          <o:lock v:ext="edit" aspectratio="f"/>
                          <v:textbox>
                            <w:txbxContent>
                              <w:p w14:paraId="6FFA6265">
                                <w:pPr>
                                  <w:jc w:val="center"/>
                                  <w:rPr>
                                    <w:color w:val="000000" w:themeColor="text1"/>
                                  </w:rPr>
                                </w:pPr>
                                <w:r>
                                  <w:rPr>
                                    <w:rFonts w:hint="eastAsia"/>
                                    <w:color w:val="000000" w:themeColor="text1"/>
                                  </w:rPr>
                                  <w:t>生活区</w:t>
                                </w:r>
                              </w:p>
                            </w:txbxContent>
                          </v:textbox>
                        </v:rect>
                        <v:shape id="直接箭头连接符 13" o:spid="_x0000_s2099" o:spt="32" type="#_x0000_t32" style="position:absolute;left:7308;top:236874;height:13;width:859;" filled="f" stroked="t" coordsize="21600,21600" o:gfxdata="UEsDBAoAAAAAAIdO4kAAAAAAAAAAAAAAAAAEAAAAZHJzL1BLAwQUAAAACACHTuJALkvLzrwAAADb&#10;AAAADwAAAGRycy9kb3ducmV2LnhtbEVPzWrCQBC+C77DMoKXops0ICZ1FZpS9WALpn2AaXZMgtnZ&#10;kF2jffuuUPA2H9/vrDY304qBetdYVhDPIxDEpdUNVwq+v95nSxDOI2tsLZOCX3KwWY9HK8y0vfKR&#10;hsJXIoSwy1BB7X2XSenKmgy6ue2IA3eyvUEfYF9J3eM1hJtWPkfRQhpsODTU2FFeU3kuLkbBMRnM&#10;58+hTJOP5Mmk+dvudatZqekkjl5AeLr5h/jfvddhfgL3X8I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Ly868AAAA&#10;2wAAAA8AAAAAAAAAAQAgAAAAIgAAAGRycy9kb3ducmV2LnhtbFBLAQIUABQAAAAIAIdO4kAzLwWe&#10;OwAAADkAAAAQAAAAAAAAAAEAIAAAAAsBAABkcnMvc2hhcGV4bWwueG1sUEsFBgAAAAAGAAYAWwEA&#10;ALUDAAAAAA==&#10;">
                          <v:path arrowok="t"/>
                          <v:fill on="f" focussize="0,0"/>
                          <v:stroke weight="1.5pt" color="#000000" endarrow="open"/>
                          <v:imagedata o:title=""/>
                          <o:lock v:ext="edit" aspectratio="f"/>
                        </v:shape>
                        <v:rect id="矩形 22" o:spid="_x0000_s2100" o:spt="1" style="position:absolute;left:8154;top:236586;height:655;width:2232;v-text-anchor:middle;" filled="f" stroked="t" coordsize="21600,21600" o:gfxdata="UEsDBAoAAAAAAIdO4kAAAAAAAAAAAAAAAAAEAAAAZHJzL1BLAwQUAAAACACHTuJAS+NzRr8AAADb&#10;AAAADwAAAGRycy9kb3ducmV2LnhtbEWPT2vCQBTE7wW/w/KE3urGFEqJWaV/KPRQpE28eHvJPpNg&#10;9m3Ironx03cFweMwM79h0s3ZtGKg3jWWFSwXEQji0uqGKwW7/OvpFYTzyBpby6RgIgeb9ewhxUTb&#10;kf9oyHwlAoRdggpq77tESlfWZNAtbEccvIPtDfog+0rqHscAN62Mo+hFGmw4LNTY0UdN5TE7GQUG&#10;P58vv8XEU1787Nr3/XZ7eTsp9ThfRisQns7+Hr61v7WCOIbrl/AD5P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jc0a/&#10;AAAA2wAAAA8AAAAAAAAAAQAgAAAAIgAAAGRycy9kb3ducmV2LnhtbFBLAQIUABQAAAAIAIdO4kAz&#10;LwWeOwAAADkAAAAQAAAAAAAAAAEAIAAAAA4BAABkcnMvc2hhcGV4bWwueG1sUEsFBgAAAAAGAAYA&#10;WwEAALgDAAAAAA==&#10;">
                          <v:path/>
                          <v:fill on="f" focussize="0,0"/>
                          <v:stroke weight="1.5pt" color="#000000" joinstyle="round"/>
                          <v:imagedata o:title=""/>
                          <o:lock v:ext="edit" aspectratio="f"/>
                          <v:textbox>
                            <w:txbxContent>
                              <w:p w14:paraId="063EAF66">
                                <w:pPr>
                                  <w:jc w:val="center"/>
                                  <w:rPr>
                                    <w:color w:val="000000" w:themeColor="text1"/>
                                  </w:rPr>
                                </w:pPr>
                                <w:r>
                                  <w:rPr>
                                    <w:rFonts w:hint="eastAsia"/>
                                    <w:color w:val="000000" w:themeColor="text1"/>
                                  </w:rPr>
                                  <w:t>生活污水、生活垃圾</w:t>
                                </w:r>
                              </w:p>
                            </w:txbxContent>
                          </v:textbox>
                        </v:rect>
                      </v:group>
                    </v:group>
                    <v:rect id="矩形 25" o:spid="_x0000_s2101" o:spt="1" style="position:absolute;left:12027;top:235104;height:681;width:1977;v-text-anchor:middle;" filled="f" stroked="t" coordsize="21600,21600" o:gfxdata="UEsDBAoAAAAAAIdO4kAAAAAAAAAAAAAAAAAEAAAAZHJzL1BLAwQUAAAACACHTuJAxArrMr0AAADb&#10;AAAADwAAAGRycy9kb3ducmV2LnhtbEWPS6vCMBSE94L/IRzBnaYqXqQaxQeCCxGvunF3bI5tsTkp&#10;TXzUX2+EC3c5zMw3zGT2MoV4UOVyywp63QgEcWJ1zqmC03HdGYFwHlljYZkU1ORgNm02Jhhr++Rf&#10;ehx8KgKEXYwKMu/LWEqXZGTQdW1JHLyrrQz6IKtU6gqfAW4K2Y+iH2kw57CQYUnLjJLb4W4UGFwN&#10;3vtLzfXxsj0Vi/Nu957flWq3etEYhKeX/w//tTdaQX8I3y/hB8j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usyvQAA&#10;ANsAAAAPAAAAAAAAAAEAIAAAACIAAABkcnMvZG93bnJldi54bWxQSwECFAAUAAAACACHTuJAMy8F&#10;njsAAAA5AAAAEAAAAAAAAAABACAAAAAMAQAAZHJzL3NoYXBleG1sLnhtbFBLBQYAAAAABgAGAFsB&#10;AAC2AwAAAAA=&#10;">
                      <v:path/>
                      <v:fill on="f" focussize="0,0"/>
                      <v:stroke weight="1.5pt" color="#000000" joinstyle="round"/>
                      <v:imagedata o:title=""/>
                      <o:lock v:ext="edit" aspectratio="f"/>
                      <v:textbox>
                        <w:txbxContent>
                          <w:p w14:paraId="493763DE">
                            <w:pPr>
                              <w:jc w:val="center"/>
                              <w:rPr>
                                <w:color w:val="000000" w:themeColor="text1"/>
                              </w:rPr>
                            </w:pPr>
                            <w:r>
                              <w:rPr>
                                <w:rFonts w:hint="eastAsia"/>
                                <w:color w:val="000000" w:themeColor="text1"/>
                              </w:rPr>
                              <w:t>过期或残损的烟花爆竹</w:t>
                            </w:r>
                          </w:p>
                        </w:txbxContent>
                      </v:textbox>
                    </v:rect>
                    <v:line id="直接连接符 26" o:spid="_x0000_s2102" o:spt="20" style="position:absolute;left:13155;top:234643;height:475;width:563;"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path arrowok="t"/>
                      <v:fill on="f" focussize="0,0"/>
                      <v:stroke color="#000000"/>
                      <v:imagedata o:title=""/>
                      <o:lock v:ext="edit" aspectratio="f"/>
                    </v:line>
                  </v:group>
                  <w10:wrap type="square"/>
                </v:group>
              </w:pict>
            </w:r>
            <w:r>
              <w:rPr>
                <w:b/>
                <w:bCs/>
                <w:color w:val="auto"/>
                <w:szCs w:val="21"/>
                <w:highlight w:val="none"/>
              </w:rPr>
              <w:t>图2-</w:t>
            </w:r>
            <w:r>
              <w:rPr>
                <w:rFonts w:hint="eastAsia"/>
                <w:b/>
                <w:bCs/>
                <w:color w:val="auto"/>
                <w:szCs w:val="21"/>
                <w:highlight w:val="none"/>
                <w:lang w:val="en-US" w:eastAsia="zh-CN"/>
              </w:rPr>
              <w:t>4</w:t>
            </w:r>
            <w:r>
              <w:rPr>
                <w:b/>
                <w:bCs/>
                <w:color w:val="auto"/>
                <w:szCs w:val="21"/>
                <w:highlight w:val="none"/>
              </w:rPr>
              <w:t xml:space="preserve">  </w:t>
            </w:r>
            <w:r>
              <w:rPr>
                <w:rFonts w:hint="eastAsia"/>
                <w:b/>
                <w:bCs/>
                <w:color w:val="auto"/>
                <w:szCs w:val="21"/>
                <w:highlight w:val="none"/>
                <w:lang w:val="en-US" w:eastAsia="zh-CN"/>
              </w:rPr>
              <w:t>现有</w:t>
            </w:r>
            <w:r>
              <w:rPr>
                <w:b/>
                <w:bCs/>
                <w:color w:val="auto"/>
                <w:szCs w:val="21"/>
                <w:highlight w:val="none"/>
              </w:rPr>
              <w:t>项目运营期工艺流程及产污节点图</w:t>
            </w:r>
          </w:p>
          <w:p w14:paraId="7B38CC4A">
            <w:pPr>
              <w:numPr>
                <w:ilvl w:val="0"/>
                <w:numId w:val="4"/>
              </w:num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现有项目排污情况</w:t>
            </w:r>
          </w:p>
          <w:p w14:paraId="4856C63A">
            <w:pPr>
              <w:adjustRightInd w:val="0"/>
              <w:snapToGrid w:val="0"/>
              <w:jc w:val="center"/>
              <w:rPr>
                <w:rFonts w:hint="default" w:eastAsia="宋体"/>
                <w:b/>
                <w:color w:val="auto"/>
                <w:szCs w:val="21"/>
                <w:highlight w:val="none"/>
                <w:lang w:val="en-US" w:eastAsia="zh-CN"/>
              </w:rPr>
            </w:pPr>
            <w:r>
              <w:rPr>
                <w:b/>
                <w:color w:val="auto"/>
                <w:szCs w:val="21"/>
                <w:highlight w:val="none"/>
              </w:rPr>
              <w:t>表2</w:t>
            </w:r>
            <w:r>
              <w:rPr>
                <w:rFonts w:hint="eastAsia"/>
                <w:b/>
                <w:color w:val="auto"/>
                <w:szCs w:val="21"/>
                <w:highlight w:val="none"/>
                <w:lang w:val="en-US" w:eastAsia="zh-CN"/>
              </w:rPr>
              <w:t>-15</w:t>
            </w:r>
            <w:r>
              <w:rPr>
                <w:b/>
                <w:color w:val="auto"/>
                <w:szCs w:val="21"/>
                <w:highlight w:val="none"/>
              </w:rPr>
              <w:t xml:space="preserve">  现有项目</w:t>
            </w:r>
            <w:r>
              <w:rPr>
                <w:rFonts w:hint="eastAsia"/>
                <w:b/>
                <w:color w:val="auto"/>
                <w:szCs w:val="21"/>
                <w:highlight w:val="none"/>
                <w:lang w:val="en-US" w:eastAsia="zh-CN"/>
              </w:rPr>
              <w:t>污染物产排情况</w:t>
            </w:r>
          </w:p>
          <w:tbl>
            <w:tblPr>
              <w:tblStyle w:val="23"/>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296"/>
              <w:gridCol w:w="1319"/>
              <w:gridCol w:w="1935"/>
              <w:gridCol w:w="2166"/>
            </w:tblGrid>
            <w:tr w14:paraId="443BD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8" w:type="pct"/>
                  <w:tcBorders>
                    <w:tl2br w:val="single" w:color="auto" w:sz="4" w:space="0"/>
                  </w:tcBorders>
                  <w:vAlign w:val="center"/>
                </w:tcPr>
                <w:p w14:paraId="0D746D72">
                  <w:pPr>
                    <w:spacing w:line="360" w:lineRule="auto"/>
                    <w:jc w:val="right"/>
                    <w:rPr>
                      <w:b/>
                      <w:bCs/>
                      <w:color w:val="auto"/>
                      <w:szCs w:val="21"/>
                      <w:highlight w:val="none"/>
                    </w:rPr>
                  </w:pPr>
                  <w:r>
                    <w:rPr>
                      <w:b/>
                      <w:bCs/>
                      <w:color w:val="auto"/>
                      <w:szCs w:val="21"/>
                      <w:highlight w:val="none"/>
                    </w:rPr>
                    <w:t>内容</w:t>
                  </w:r>
                </w:p>
                <w:p w14:paraId="5A9286C2">
                  <w:pPr>
                    <w:spacing w:line="360" w:lineRule="auto"/>
                    <w:jc w:val="left"/>
                    <w:rPr>
                      <w:b/>
                      <w:bCs/>
                      <w:color w:val="auto"/>
                      <w:szCs w:val="21"/>
                      <w:highlight w:val="none"/>
                    </w:rPr>
                  </w:pPr>
                  <w:r>
                    <w:rPr>
                      <w:b/>
                      <w:bCs/>
                      <w:color w:val="auto"/>
                      <w:szCs w:val="21"/>
                      <w:highlight w:val="none"/>
                    </w:rPr>
                    <w:t>要素</w:t>
                  </w:r>
                </w:p>
              </w:tc>
              <w:tc>
                <w:tcPr>
                  <w:tcW w:w="830" w:type="pct"/>
                  <w:vAlign w:val="center"/>
                </w:tcPr>
                <w:p w14:paraId="0ED4F197">
                  <w:pPr>
                    <w:spacing w:line="360" w:lineRule="auto"/>
                    <w:jc w:val="center"/>
                    <w:rPr>
                      <w:b/>
                      <w:bCs/>
                      <w:color w:val="auto"/>
                      <w:szCs w:val="21"/>
                      <w:highlight w:val="none"/>
                    </w:rPr>
                  </w:pPr>
                  <w:r>
                    <w:rPr>
                      <w:b/>
                      <w:bCs/>
                      <w:color w:val="auto"/>
                      <w:szCs w:val="21"/>
                      <w:highlight w:val="none"/>
                    </w:rPr>
                    <w:t>污染源</w:t>
                  </w:r>
                </w:p>
              </w:tc>
              <w:tc>
                <w:tcPr>
                  <w:tcW w:w="845" w:type="pct"/>
                  <w:vAlign w:val="center"/>
                </w:tcPr>
                <w:p w14:paraId="1C842393">
                  <w:pPr>
                    <w:spacing w:line="360" w:lineRule="auto"/>
                    <w:jc w:val="center"/>
                    <w:rPr>
                      <w:b/>
                      <w:bCs/>
                      <w:color w:val="auto"/>
                      <w:szCs w:val="21"/>
                      <w:highlight w:val="none"/>
                    </w:rPr>
                  </w:pPr>
                  <w:r>
                    <w:rPr>
                      <w:b/>
                      <w:bCs/>
                      <w:color w:val="auto"/>
                      <w:szCs w:val="21"/>
                      <w:highlight w:val="none"/>
                    </w:rPr>
                    <w:t>污染物项目</w:t>
                  </w:r>
                </w:p>
              </w:tc>
              <w:tc>
                <w:tcPr>
                  <w:tcW w:w="1239" w:type="pct"/>
                  <w:vAlign w:val="center"/>
                </w:tcPr>
                <w:p w14:paraId="70107317">
                  <w:pPr>
                    <w:spacing w:line="360" w:lineRule="auto"/>
                    <w:jc w:val="center"/>
                    <w:rPr>
                      <w:b/>
                      <w:bCs/>
                      <w:color w:val="auto"/>
                      <w:szCs w:val="21"/>
                      <w:highlight w:val="none"/>
                    </w:rPr>
                  </w:pPr>
                  <w:r>
                    <w:rPr>
                      <w:b/>
                      <w:bCs/>
                      <w:color w:val="auto"/>
                      <w:szCs w:val="21"/>
                      <w:highlight w:val="none"/>
                    </w:rPr>
                    <w:t>环境保护措施</w:t>
                  </w:r>
                </w:p>
              </w:tc>
              <w:tc>
                <w:tcPr>
                  <w:tcW w:w="1387" w:type="pct"/>
                  <w:vAlign w:val="center"/>
                </w:tcPr>
                <w:p w14:paraId="0B65D92E">
                  <w:pPr>
                    <w:spacing w:line="360" w:lineRule="auto"/>
                    <w:jc w:val="center"/>
                    <w:rPr>
                      <w:b/>
                      <w:bCs/>
                      <w:color w:val="auto"/>
                      <w:szCs w:val="21"/>
                      <w:highlight w:val="none"/>
                    </w:rPr>
                  </w:pPr>
                  <w:r>
                    <w:rPr>
                      <w:b/>
                      <w:bCs/>
                      <w:color w:val="auto"/>
                      <w:szCs w:val="21"/>
                      <w:highlight w:val="none"/>
                    </w:rPr>
                    <w:t>执行标准</w:t>
                  </w:r>
                </w:p>
              </w:tc>
            </w:tr>
            <w:tr w14:paraId="0D0F0B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8" w:type="pct"/>
                  <w:vAlign w:val="center"/>
                </w:tcPr>
                <w:p w14:paraId="497BD436">
                  <w:pPr>
                    <w:spacing w:line="360" w:lineRule="auto"/>
                    <w:jc w:val="center"/>
                    <w:rPr>
                      <w:color w:val="auto"/>
                      <w:szCs w:val="21"/>
                      <w:highlight w:val="none"/>
                    </w:rPr>
                  </w:pPr>
                  <w:r>
                    <w:rPr>
                      <w:color w:val="auto"/>
                      <w:szCs w:val="21"/>
                      <w:highlight w:val="none"/>
                    </w:rPr>
                    <w:t>大气环境</w:t>
                  </w:r>
                </w:p>
              </w:tc>
              <w:tc>
                <w:tcPr>
                  <w:tcW w:w="830" w:type="pct"/>
                  <w:vAlign w:val="center"/>
                </w:tcPr>
                <w:p w14:paraId="06A9C247">
                  <w:pPr>
                    <w:spacing w:line="360" w:lineRule="auto"/>
                    <w:jc w:val="center"/>
                    <w:rPr>
                      <w:color w:val="auto"/>
                      <w:szCs w:val="21"/>
                      <w:highlight w:val="none"/>
                    </w:rPr>
                  </w:pPr>
                  <w:r>
                    <w:rPr>
                      <w:color w:val="auto"/>
                      <w:szCs w:val="21"/>
                      <w:highlight w:val="none"/>
                    </w:rPr>
                    <w:t>运输车辆</w:t>
                  </w:r>
                </w:p>
              </w:tc>
              <w:tc>
                <w:tcPr>
                  <w:tcW w:w="845" w:type="pct"/>
                  <w:vAlign w:val="center"/>
                </w:tcPr>
                <w:p w14:paraId="795E9D7D">
                  <w:pPr>
                    <w:spacing w:line="360" w:lineRule="auto"/>
                    <w:jc w:val="center"/>
                    <w:rPr>
                      <w:color w:val="auto"/>
                      <w:szCs w:val="21"/>
                      <w:highlight w:val="none"/>
                    </w:rPr>
                  </w:pPr>
                  <w:r>
                    <w:rPr>
                      <w:color w:val="auto"/>
                      <w:szCs w:val="21"/>
                      <w:highlight w:val="none"/>
                    </w:rPr>
                    <w:t>车辆尾气及行驶过程扬尘</w:t>
                  </w:r>
                </w:p>
              </w:tc>
              <w:tc>
                <w:tcPr>
                  <w:tcW w:w="1239" w:type="pct"/>
                  <w:vAlign w:val="center"/>
                </w:tcPr>
                <w:p w14:paraId="44EFEA88">
                  <w:pPr>
                    <w:spacing w:line="360" w:lineRule="auto"/>
                    <w:jc w:val="center"/>
                    <w:rPr>
                      <w:color w:val="auto"/>
                      <w:szCs w:val="21"/>
                      <w:highlight w:val="none"/>
                    </w:rPr>
                  </w:pPr>
                  <w:r>
                    <w:rPr>
                      <w:color w:val="auto"/>
                      <w:szCs w:val="21"/>
                      <w:highlight w:val="none"/>
                    </w:rPr>
                    <w:t>对车辆进场道路及时清扫，以降低道路地面扬尘；对运输道路进行定时洒水降尘；在库区四周设置绿化带，并以种植阔叶树为主</w:t>
                  </w:r>
                </w:p>
              </w:tc>
              <w:tc>
                <w:tcPr>
                  <w:tcW w:w="1387" w:type="pct"/>
                  <w:vAlign w:val="center"/>
                </w:tcPr>
                <w:p w14:paraId="49402D99">
                  <w:pPr>
                    <w:spacing w:line="360" w:lineRule="auto"/>
                    <w:jc w:val="center"/>
                    <w:rPr>
                      <w:color w:val="auto"/>
                      <w:szCs w:val="21"/>
                      <w:highlight w:val="none"/>
                    </w:rPr>
                  </w:pPr>
                  <w:r>
                    <w:rPr>
                      <w:color w:val="auto"/>
                      <w:szCs w:val="21"/>
                      <w:highlight w:val="none"/>
                    </w:rPr>
                    <w:t>《大气污染物综合排放标准》（GB16297-1996）中表2中无组织排放监控浓度限值，即颗粒物，≤1.0mg/m</w:t>
                  </w:r>
                  <w:r>
                    <w:rPr>
                      <w:color w:val="auto"/>
                      <w:szCs w:val="21"/>
                      <w:highlight w:val="none"/>
                      <w:vertAlign w:val="superscript"/>
                    </w:rPr>
                    <w:t>3</w:t>
                  </w:r>
                </w:p>
              </w:tc>
            </w:tr>
            <w:tr w14:paraId="661F7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8" w:type="pct"/>
                  <w:vAlign w:val="center"/>
                </w:tcPr>
                <w:p w14:paraId="579D4761">
                  <w:pPr>
                    <w:spacing w:line="360" w:lineRule="auto"/>
                    <w:jc w:val="center"/>
                    <w:rPr>
                      <w:color w:val="auto"/>
                      <w:szCs w:val="21"/>
                      <w:highlight w:val="none"/>
                    </w:rPr>
                  </w:pPr>
                  <w:r>
                    <w:rPr>
                      <w:color w:val="auto"/>
                      <w:szCs w:val="21"/>
                      <w:highlight w:val="none"/>
                    </w:rPr>
                    <w:t>地表水环境</w:t>
                  </w:r>
                </w:p>
              </w:tc>
              <w:tc>
                <w:tcPr>
                  <w:tcW w:w="830" w:type="pct"/>
                  <w:vAlign w:val="center"/>
                </w:tcPr>
                <w:p w14:paraId="67F0C146">
                  <w:pPr>
                    <w:spacing w:line="360" w:lineRule="auto"/>
                    <w:jc w:val="center"/>
                    <w:rPr>
                      <w:color w:val="auto"/>
                      <w:szCs w:val="21"/>
                      <w:highlight w:val="none"/>
                    </w:rPr>
                  </w:pPr>
                  <w:r>
                    <w:rPr>
                      <w:color w:val="auto"/>
                      <w:szCs w:val="21"/>
                      <w:highlight w:val="none"/>
                    </w:rPr>
                    <w:t>员工办公生活</w:t>
                  </w:r>
                </w:p>
              </w:tc>
              <w:tc>
                <w:tcPr>
                  <w:tcW w:w="845" w:type="pct"/>
                  <w:vAlign w:val="center"/>
                </w:tcPr>
                <w:p w14:paraId="4542E616">
                  <w:pPr>
                    <w:spacing w:line="360" w:lineRule="auto"/>
                    <w:jc w:val="center"/>
                    <w:rPr>
                      <w:color w:val="auto"/>
                      <w:szCs w:val="21"/>
                      <w:highlight w:val="none"/>
                    </w:rPr>
                  </w:pPr>
                  <w:r>
                    <w:rPr>
                      <w:color w:val="auto"/>
                      <w:szCs w:val="21"/>
                      <w:highlight w:val="none"/>
                    </w:rPr>
                    <w:t>生活废水</w:t>
                  </w:r>
                  <w:r>
                    <w:rPr>
                      <w:color w:val="auto"/>
                      <w:highlight w:val="none"/>
                    </w:rPr>
                    <w:t>0.</w:t>
                  </w:r>
                  <w:r>
                    <w:rPr>
                      <w:rFonts w:hint="eastAsia"/>
                      <w:color w:val="auto"/>
                      <w:highlight w:val="none"/>
                      <w:lang w:val="en-US" w:eastAsia="zh-CN"/>
                    </w:rPr>
                    <w:t>44</w:t>
                  </w:r>
                  <w:r>
                    <w:rPr>
                      <w:color w:val="auto"/>
                      <w:highlight w:val="none"/>
                    </w:rPr>
                    <w:t>m</w:t>
                  </w:r>
                  <w:r>
                    <w:rPr>
                      <w:color w:val="auto"/>
                      <w:highlight w:val="none"/>
                      <w:vertAlign w:val="superscript"/>
                    </w:rPr>
                    <w:t>3</w:t>
                  </w:r>
                  <w:r>
                    <w:rPr>
                      <w:color w:val="auto"/>
                      <w:highlight w:val="none"/>
                    </w:rPr>
                    <w:t>/d，</w:t>
                  </w:r>
                  <w:r>
                    <w:rPr>
                      <w:rFonts w:hint="eastAsia"/>
                      <w:color w:val="auto"/>
                      <w:highlight w:val="none"/>
                      <w:lang w:val="en-US" w:eastAsia="zh-CN"/>
                    </w:rPr>
                    <w:t>110</w:t>
                  </w:r>
                  <w:r>
                    <w:rPr>
                      <w:color w:val="auto"/>
                      <w:highlight w:val="none"/>
                    </w:rPr>
                    <w:t>m</w:t>
                  </w:r>
                  <w:r>
                    <w:rPr>
                      <w:color w:val="auto"/>
                      <w:highlight w:val="none"/>
                      <w:vertAlign w:val="superscript"/>
                    </w:rPr>
                    <w:t>3</w:t>
                  </w:r>
                  <w:r>
                    <w:rPr>
                      <w:color w:val="auto"/>
                      <w:highlight w:val="none"/>
                    </w:rPr>
                    <w:t>/a</w:t>
                  </w:r>
                </w:p>
              </w:tc>
              <w:tc>
                <w:tcPr>
                  <w:tcW w:w="1239" w:type="pct"/>
                  <w:vAlign w:val="center"/>
                </w:tcPr>
                <w:p w14:paraId="4A7865A5">
                  <w:pPr>
                    <w:spacing w:line="360" w:lineRule="auto"/>
                    <w:jc w:val="center"/>
                    <w:rPr>
                      <w:color w:val="auto"/>
                      <w:szCs w:val="21"/>
                      <w:highlight w:val="none"/>
                    </w:rPr>
                  </w:pPr>
                  <w:r>
                    <w:rPr>
                      <w:color w:val="auto"/>
                      <w:szCs w:val="21"/>
                      <w:highlight w:val="none"/>
                    </w:rPr>
                    <w:t>排入化粪池后委托</w:t>
                  </w:r>
                  <w:r>
                    <w:rPr>
                      <w:rFonts w:hint="eastAsia"/>
                      <w:color w:val="auto"/>
                      <w:szCs w:val="21"/>
                      <w:highlight w:val="none"/>
                    </w:rPr>
                    <w:t>寻甸县</w:t>
                  </w:r>
                  <w:r>
                    <w:rPr>
                      <w:color w:val="auto"/>
                      <w:szCs w:val="21"/>
                      <w:highlight w:val="none"/>
                    </w:rPr>
                    <w:t>环卫部门</w:t>
                  </w:r>
                  <w:r>
                    <w:rPr>
                      <w:rFonts w:hint="eastAsia"/>
                      <w:color w:val="auto"/>
                      <w:szCs w:val="21"/>
                      <w:highlight w:val="none"/>
                      <w:lang w:val="en-US" w:eastAsia="zh-CN"/>
                    </w:rPr>
                    <w:t>15天</w:t>
                  </w:r>
                  <w:r>
                    <w:rPr>
                      <w:color w:val="auto"/>
                      <w:szCs w:val="21"/>
                      <w:highlight w:val="none"/>
                    </w:rPr>
                    <w:t>抽运一次</w:t>
                  </w:r>
                  <w:r>
                    <w:rPr>
                      <w:rFonts w:hint="eastAsia"/>
                      <w:color w:val="auto"/>
                      <w:szCs w:val="21"/>
                      <w:highlight w:val="none"/>
                    </w:rPr>
                    <w:t>，运至寻甸县污水处理厂处理，不外排</w:t>
                  </w:r>
                </w:p>
              </w:tc>
              <w:tc>
                <w:tcPr>
                  <w:tcW w:w="1387" w:type="pct"/>
                  <w:vAlign w:val="center"/>
                </w:tcPr>
                <w:p w14:paraId="64EABD4F">
                  <w:pPr>
                    <w:spacing w:line="360" w:lineRule="auto"/>
                    <w:jc w:val="center"/>
                    <w:rPr>
                      <w:color w:val="auto"/>
                      <w:szCs w:val="21"/>
                      <w:highlight w:val="none"/>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污水综合排放标准</w:t>
                  </w:r>
                  <w:r>
                    <w:rPr>
                      <w:rFonts w:hint="default" w:ascii="Times New Roman" w:hAnsi="Times New Roman" w:eastAsia="宋体" w:cs="Times New Roman"/>
                      <w:color w:val="auto"/>
                      <w:sz w:val="21"/>
                      <w:szCs w:val="21"/>
                      <w:highlight w:val="none"/>
                    </w:rPr>
                    <w:t>》(GB</w:t>
                  </w:r>
                  <w:r>
                    <w:rPr>
                      <w:rFonts w:hint="eastAsia" w:ascii="Times New Roman" w:hAnsi="Times New Roman" w:eastAsia="宋体" w:cs="Times New Roman"/>
                      <w:color w:val="auto"/>
                      <w:sz w:val="21"/>
                      <w:szCs w:val="21"/>
                      <w:highlight w:val="none"/>
                      <w:lang w:val="en-US" w:eastAsia="zh-CN"/>
                    </w:rPr>
                    <w:t>8978</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1996</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三级标准</w:t>
                  </w:r>
                </w:p>
              </w:tc>
            </w:tr>
            <w:tr w14:paraId="74BFE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8" w:type="pct"/>
                  <w:vAlign w:val="center"/>
                </w:tcPr>
                <w:p w14:paraId="35772BA4">
                  <w:pPr>
                    <w:spacing w:line="360" w:lineRule="auto"/>
                    <w:jc w:val="center"/>
                    <w:rPr>
                      <w:color w:val="auto"/>
                      <w:szCs w:val="21"/>
                      <w:highlight w:val="none"/>
                    </w:rPr>
                  </w:pPr>
                  <w:r>
                    <w:rPr>
                      <w:color w:val="auto"/>
                      <w:szCs w:val="21"/>
                      <w:highlight w:val="none"/>
                    </w:rPr>
                    <w:t>声环境</w:t>
                  </w:r>
                </w:p>
              </w:tc>
              <w:tc>
                <w:tcPr>
                  <w:tcW w:w="830" w:type="pct"/>
                  <w:vAlign w:val="center"/>
                </w:tcPr>
                <w:p w14:paraId="420387D6">
                  <w:pPr>
                    <w:spacing w:line="360" w:lineRule="auto"/>
                    <w:jc w:val="center"/>
                    <w:rPr>
                      <w:color w:val="auto"/>
                      <w:szCs w:val="21"/>
                      <w:highlight w:val="none"/>
                    </w:rPr>
                  </w:pPr>
                  <w:r>
                    <w:rPr>
                      <w:color w:val="auto"/>
                      <w:szCs w:val="21"/>
                      <w:highlight w:val="none"/>
                    </w:rPr>
                    <w:t>运输车辆</w:t>
                  </w:r>
                </w:p>
              </w:tc>
              <w:tc>
                <w:tcPr>
                  <w:tcW w:w="845" w:type="pct"/>
                  <w:vAlign w:val="center"/>
                </w:tcPr>
                <w:p w14:paraId="1457F197">
                  <w:pPr>
                    <w:spacing w:line="360" w:lineRule="auto"/>
                    <w:jc w:val="center"/>
                    <w:rPr>
                      <w:color w:val="auto"/>
                      <w:szCs w:val="21"/>
                      <w:highlight w:val="none"/>
                    </w:rPr>
                  </w:pPr>
                  <w:r>
                    <w:rPr>
                      <w:color w:val="auto"/>
                      <w:szCs w:val="21"/>
                      <w:highlight w:val="none"/>
                    </w:rPr>
                    <w:t>噪声，75~85dB(A)</w:t>
                  </w:r>
                </w:p>
              </w:tc>
              <w:tc>
                <w:tcPr>
                  <w:tcW w:w="1239" w:type="pct"/>
                  <w:vAlign w:val="center"/>
                </w:tcPr>
                <w:p w14:paraId="4AA6819A">
                  <w:pPr>
                    <w:spacing w:line="360" w:lineRule="auto"/>
                    <w:rPr>
                      <w:color w:val="auto"/>
                      <w:szCs w:val="21"/>
                      <w:highlight w:val="none"/>
                    </w:rPr>
                  </w:pPr>
                  <w:r>
                    <w:rPr>
                      <w:color w:val="auto"/>
                      <w:highlight w:val="none"/>
                    </w:rPr>
                    <w:t>控制运输车辆进出场的车速，防止因车子怠速、车速过快等产生高噪声。</w:t>
                  </w:r>
                  <w:r>
                    <w:rPr>
                      <w:rFonts w:hint="eastAsia"/>
                      <w:color w:val="auto"/>
                      <w:highlight w:val="none"/>
                    </w:rPr>
                    <w:t>站内设“限速”、“禁鸣”标识，</w:t>
                  </w:r>
                  <w:r>
                    <w:rPr>
                      <w:color w:val="auto"/>
                      <w:highlight w:val="none"/>
                    </w:rPr>
                    <w:t>禁止运输车辆在场内鸣笛</w:t>
                  </w:r>
                  <w:r>
                    <w:rPr>
                      <w:rFonts w:hint="eastAsia"/>
                      <w:color w:val="auto"/>
                      <w:highlight w:val="none"/>
                      <w:lang w:eastAsia="zh-CN"/>
                    </w:rPr>
                    <w:t>，</w:t>
                  </w:r>
                  <w:r>
                    <w:rPr>
                      <w:rFonts w:hint="eastAsia"/>
                      <w:color w:val="auto"/>
                      <w:highlight w:val="none"/>
                      <w:lang w:val="en-US" w:eastAsia="zh-CN"/>
                    </w:rPr>
                    <w:t>合理安排运输车辆路线和运输时间</w:t>
                  </w:r>
                  <w:r>
                    <w:rPr>
                      <w:color w:val="auto"/>
                      <w:highlight w:val="none"/>
                    </w:rPr>
                    <w:t>；</w:t>
                  </w:r>
                </w:p>
              </w:tc>
              <w:tc>
                <w:tcPr>
                  <w:tcW w:w="1387" w:type="pct"/>
                  <w:vAlign w:val="center"/>
                </w:tcPr>
                <w:p w14:paraId="7ED505CF">
                  <w:pPr>
                    <w:spacing w:line="360" w:lineRule="auto"/>
                    <w:jc w:val="center"/>
                    <w:rPr>
                      <w:color w:val="auto"/>
                      <w:szCs w:val="21"/>
                      <w:highlight w:val="none"/>
                    </w:rPr>
                  </w:pPr>
                  <w:r>
                    <w:rPr>
                      <w:color w:val="auto"/>
                      <w:szCs w:val="21"/>
                      <w:highlight w:val="none"/>
                    </w:rPr>
                    <w:t>《工业企业厂界环境噪声排放标准》（GB12348-20</w:t>
                  </w:r>
                  <w:r>
                    <w:rPr>
                      <w:rFonts w:hint="eastAsia"/>
                      <w:color w:val="auto"/>
                      <w:szCs w:val="21"/>
                      <w:highlight w:val="none"/>
                      <w:lang w:val="en-US" w:eastAsia="zh-CN"/>
                    </w:rPr>
                    <w:t>08</w:t>
                  </w:r>
                  <w:r>
                    <w:rPr>
                      <w:color w:val="auto"/>
                      <w:szCs w:val="21"/>
                      <w:highlight w:val="none"/>
                    </w:rPr>
                    <w:t>）中2类标准，即：昼间 ≤60dB（A），夜间≤50dB（A）</w:t>
                  </w:r>
                </w:p>
              </w:tc>
            </w:tr>
            <w:tr w14:paraId="21489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98" w:type="pct"/>
                  <w:vMerge w:val="restart"/>
                  <w:vAlign w:val="center"/>
                </w:tcPr>
                <w:p w14:paraId="7E878814">
                  <w:pPr>
                    <w:spacing w:line="360" w:lineRule="auto"/>
                    <w:jc w:val="center"/>
                    <w:rPr>
                      <w:color w:val="auto"/>
                      <w:szCs w:val="21"/>
                      <w:highlight w:val="none"/>
                    </w:rPr>
                  </w:pPr>
                  <w:r>
                    <w:rPr>
                      <w:color w:val="auto"/>
                      <w:szCs w:val="21"/>
                      <w:highlight w:val="none"/>
                    </w:rPr>
                    <w:t>固废</w:t>
                  </w:r>
                </w:p>
              </w:tc>
              <w:tc>
                <w:tcPr>
                  <w:tcW w:w="830" w:type="pct"/>
                  <w:vAlign w:val="center"/>
                </w:tcPr>
                <w:p w14:paraId="196E9679">
                  <w:pPr>
                    <w:spacing w:line="360" w:lineRule="auto"/>
                    <w:jc w:val="center"/>
                    <w:rPr>
                      <w:color w:val="auto"/>
                      <w:szCs w:val="21"/>
                      <w:highlight w:val="none"/>
                    </w:rPr>
                  </w:pPr>
                  <w:r>
                    <w:rPr>
                      <w:color w:val="auto"/>
                      <w:szCs w:val="21"/>
                      <w:highlight w:val="none"/>
                    </w:rPr>
                    <w:t>员工办公生活</w:t>
                  </w:r>
                </w:p>
              </w:tc>
              <w:tc>
                <w:tcPr>
                  <w:tcW w:w="845" w:type="pct"/>
                  <w:vAlign w:val="center"/>
                </w:tcPr>
                <w:p w14:paraId="360451E3">
                  <w:pPr>
                    <w:spacing w:line="360" w:lineRule="auto"/>
                    <w:jc w:val="center"/>
                    <w:rPr>
                      <w:color w:val="auto"/>
                      <w:szCs w:val="21"/>
                      <w:highlight w:val="none"/>
                    </w:rPr>
                  </w:pPr>
                  <w:r>
                    <w:rPr>
                      <w:color w:val="auto"/>
                      <w:szCs w:val="21"/>
                      <w:highlight w:val="none"/>
                    </w:rPr>
                    <w:t>生活垃圾</w:t>
                  </w:r>
                  <w:r>
                    <w:rPr>
                      <w:color w:val="auto"/>
                      <w:highlight w:val="none"/>
                    </w:rPr>
                    <w:t>5kg/d，</w:t>
                  </w:r>
                  <w:r>
                    <w:rPr>
                      <w:rFonts w:hint="eastAsia"/>
                      <w:color w:val="auto"/>
                      <w:highlight w:val="none"/>
                      <w:lang w:val="en-US" w:eastAsia="zh-CN"/>
                    </w:rPr>
                    <w:t>1.25</w:t>
                  </w:r>
                  <w:r>
                    <w:rPr>
                      <w:color w:val="auto"/>
                      <w:highlight w:val="none"/>
                    </w:rPr>
                    <w:t>t/a</w:t>
                  </w:r>
                </w:p>
              </w:tc>
              <w:tc>
                <w:tcPr>
                  <w:tcW w:w="1239" w:type="pct"/>
                  <w:vAlign w:val="center"/>
                </w:tcPr>
                <w:p w14:paraId="11415C9E">
                  <w:pPr>
                    <w:spacing w:line="360" w:lineRule="auto"/>
                    <w:jc w:val="center"/>
                    <w:rPr>
                      <w:color w:val="auto"/>
                      <w:szCs w:val="21"/>
                      <w:highlight w:val="none"/>
                    </w:rPr>
                  </w:pPr>
                  <w:r>
                    <w:rPr>
                      <w:color w:val="auto"/>
                      <w:szCs w:val="21"/>
                      <w:highlight w:val="none"/>
                    </w:rPr>
                    <w:t>经垃圾桶统一收集后定期运至寻甸县垃圾转载点处置</w:t>
                  </w:r>
                </w:p>
              </w:tc>
              <w:tc>
                <w:tcPr>
                  <w:tcW w:w="1387" w:type="pct"/>
                  <w:vAlign w:val="center"/>
                </w:tcPr>
                <w:p w14:paraId="005D3551">
                  <w:pPr>
                    <w:spacing w:line="360" w:lineRule="auto"/>
                    <w:jc w:val="center"/>
                    <w:rPr>
                      <w:rFonts w:hint="default" w:eastAsia="宋体"/>
                      <w:color w:val="auto"/>
                      <w:szCs w:val="21"/>
                      <w:highlight w:val="none"/>
                      <w:lang w:val="en-US" w:eastAsia="zh-CN"/>
                    </w:rPr>
                  </w:pPr>
                  <w:r>
                    <w:rPr>
                      <w:rFonts w:hint="eastAsia"/>
                      <w:color w:val="auto"/>
                      <w:szCs w:val="21"/>
                      <w:highlight w:val="none"/>
                      <w:lang w:val="en-US" w:eastAsia="zh-CN"/>
                    </w:rPr>
                    <w:t>处置率100%</w:t>
                  </w:r>
                </w:p>
              </w:tc>
            </w:tr>
            <w:tr w14:paraId="283E2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698" w:type="pct"/>
                  <w:vMerge w:val="continue"/>
                  <w:vAlign w:val="center"/>
                </w:tcPr>
                <w:p w14:paraId="2A0CCC80">
                  <w:pPr>
                    <w:spacing w:line="360" w:lineRule="auto"/>
                    <w:jc w:val="center"/>
                    <w:rPr>
                      <w:color w:val="auto"/>
                      <w:szCs w:val="21"/>
                      <w:highlight w:val="none"/>
                    </w:rPr>
                  </w:pPr>
                </w:p>
              </w:tc>
              <w:tc>
                <w:tcPr>
                  <w:tcW w:w="830" w:type="pct"/>
                  <w:vAlign w:val="center"/>
                </w:tcPr>
                <w:p w14:paraId="25666E64">
                  <w:pPr>
                    <w:spacing w:line="360" w:lineRule="auto"/>
                    <w:jc w:val="center"/>
                    <w:rPr>
                      <w:color w:val="auto"/>
                      <w:szCs w:val="21"/>
                      <w:highlight w:val="none"/>
                    </w:rPr>
                  </w:pPr>
                  <w:r>
                    <w:rPr>
                      <w:color w:val="auto"/>
                      <w:szCs w:val="21"/>
                      <w:highlight w:val="none"/>
                    </w:rPr>
                    <w:t>存储过程</w:t>
                  </w:r>
                </w:p>
              </w:tc>
              <w:tc>
                <w:tcPr>
                  <w:tcW w:w="845" w:type="pct"/>
                  <w:vAlign w:val="center"/>
                </w:tcPr>
                <w:p w14:paraId="60482F66">
                  <w:pPr>
                    <w:spacing w:line="360" w:lineRule="auto"/>
                    <w:jc w:val="center"/>
                    <w:rPr>
                      <w:color w:val="auto"/>
                      <w:szCs w:val="21"/>
                      <w:highlight w:val="none"/>
                    </w:rPr>
                  </w:pPr>
                  <w:r>
                    <w:rPr>
                      <w:color w:val="auto"/>
                      <w:szCs w:val="21"/>
                      <w:highlight w:val="none"/>
                    </w:rPr>
                    <w:t>过期或残损的烟花爆竹</w:t>
                  </w:r>
                  <w:r>
                    <w:rPr>
                      <w:color w:val="auto"/>
                      <w:highlight w:val="none"/>
                    </w:rPr>
                    <w:t>0.6t/a</w:t>
                  </w:r>
                </w:p>
              </w:tc>
              <w:tc>
                <w:tcPr>
                  <w:tcW w:w="1239" w:type="pct"/>
                  <w:vAlign w:val="center"/>
                </w:tcPr>
                <w:p w14:paraId="71383BFB">
                  <w:pPr>
                    <w:spacing w:line="360" w:lineRule="auto"/>
                    <w:jc w:val="center"/>
                    <w:rPr>
                      <w:color w:val="auto"/>
                      <w:szCs w:val="21"/>
                      <w:highlight w:val="none"/>
                    </w:rPr>
                  </w:pPr>
                  <w:r>
                    <w:rPr>
                      <w:rFonts w:hint="eastAsia"/>
                      <w:color w:val="auto"/>
                      <w:szCs w:val="21"/>
                      <w:highlight w:val="none"/>
                    </w:rPr>
                    <w:t>收集于危废暂存间后</w:t>
                  </w:r>
                  <w:r>
                    <w:rPr>
                      <w:color w:val="auto"/>
                      <w:szCs w:val="21"/>
                      <w:highlight w:val="none"/>
                    </w:rPr>
                    <w:t>交由公安部门组织统一销毁、处置</w:t>
                  </w:r>
                </w:p>
              </w:tc>
              <w:tc>
                <w:tcPr>
                  <w:tcW w:w="1387" w:type="pct"/>
                  <w:vAlign w:val="center"/>
                </w:tcPr>
                <w:p w14:paraId="3151B362">
                  <w:pPr>
                    <w:spacing w:line="360" w:lineRule="auto"/>
                    <w:jc w:val="center"/>
                    <w:rPr>
                      <w:color w:val="auto"/>
                      <w:szCs w:val="21"/>
                      <w:highlight w:val="none"/>
                    </w:rPr>
                  </w:pPr>
                  <w:r>
                    <w:rPr>
                      <w:rFonts w:hint="eastAsia"/>
                      <w:color w:val="auto"/>
                      <w:szCs w:val="21"/>
                      <w:highlight w:val="none"/>
                    </w:rPr>
                    <w:t>《危险废物贮存污染控制标准》（GB18597-20</w:t>
                  </w:r>
                  <w:r>
                    <w:rPr>
                      <w:rFonts w:hint="eastAsia"/>
                      <w:color w:val="auto"/>
                      <w:szCs w:val="21"/>
                      <w:highlight w:val="none"/>
                      <w:lang w:val="en-US" w:eastAsia="zh-CN"/>
                    </w:rPr>
                    <w:t>23</w:t>
                  </w:r>
                  <w:r>
                    <w:rPr>
                      <w:rFonts w:hint="eastAsia"/>
                      <w:color w:val="auto"/>
                      <w:szCs w:val="21"/>
                      <w:highlight w:val="none"/>
                    </w:rPr>
                    <w:t>）的有关规定。</w:t>
                  </w:r>
                </w:p>
              </w:tc>
            </w:tr>
          </w:tbl>
          <w:p w14:paraId="44F3D76F">
            <w:pPr>
              <w:pStyle w:val="66"/>
              <w:pageBreakBefore w:val="0"/>
              <w:kinsoku/>
              <w:overflowPunct/>
              <w:topLinePunct w:val="0"/>
              <w:bidi w:val="0"/>
              <w:spacing w:line="360" w:lineRule="auto"/>
              <w:ind w:firstLineChars="200"/>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9、</w:t>
            </w:r>
            <w:r>
              <w:rPr>
                <w:rFonts w:hint="default" w:ascii="Times New Roman" w:hAnsi="Times New Roman" w:eastAsia="宋体" w:cs="Times New Roman"/>
                <w:b/>
                <w:bCs/>
                <w:color w:val="auto"/>
                <w:sz w:val="24"/>
                <w:highlight w:val="none"/>
              </w:rPr>
              <w:t>无组织废气</w:t>
            </w:r>
          </w:p>
          <w:p w14:paraId="179493F2">
            <w:pPr>
              <w:pStyle w:val="66"/>
              <w:pageBreakBefore w:val="0"/>
              <w:kinsoku/>
              <w:overflowPunct/>
              <w:topLinePunct w:val="0"/>
              <w:bidi w:val="0"/>
              <w:spacing w:line="360" w:lineRule="auto"/>
              <w:ind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现有项目</w:t>
            </w:r>
            <w:r>
              <w:rPr>
                <w:rFonts w:hint="default" w:ascii="Times New Roman" w:hAnsi="Times New Roman" w:eastAsia="宋体" w:cs="Times New Roman"/>
                <w:color w:val="auto"/>
                <w:sz w:val="24"/>
                <w:highlight w:val="none"/>
              </w:rPr>
              <w:t>无组织废气包括</w:t>
            </w:r>
            <w:r>
              <w:rPr>
                <w:rFonts w:hint="eastAsia" w:cs="Times New Roman"/>
                <w:color w:val="auto"/>
                <w:sz w:val="24"/>
                <w:highlight w:val="none"/>
                <w:lang w:val="en-US" w:eastAsia="zh-CN"/>
              </w:rPr>
              <w:t>颗粒物</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kern w:val="0"/>
                <w:sz w:val="24"/>
                <w:szCs w:val="24"/>
                <w:highlight w:val="none"/>
                <w:lang w:bidi="ar"/>
              </w:rPr>
              <w:t>根据云南鼎祺检测有限公司202</w:t>
            </w:r>
            <w:r>
              <w:rPr>
                <w:rFonts w:hint="eastAsia"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bidi="ar"/>
              </w:rPr>
              <w:t>年</w:t>
            </w:r>
            <w:r>
              <w:rPr>
                <w:rFonts w:hint="eastAsia" w:cs="Times New Roman"/>
                <w:color w:val="auto"/>
                <w:kern w:val="0"/>
                <w:sz w:val="24"/>
                <w:szCs w:val="24"/>
                <w:highlight w:val="none"/>
                <w:lang w:val="en-US" w:eastAsia="zh-CN" w:bidi="ar"/>
              </w:rPr>
              <w:t>4月5日-6日</w:t>
            </w:r>
            <w:r>
              <w:rPr>
                <w:rFonts w:hint="default" w:ascii="Times New Roman" w:hAnsi="Times New Roman" w:eastAsia="宋体" w:cs="Times New Roman"/>
                <w:color w:val="auto"/>
                <w:kern w:val="0"/>
                <w:sz w:val="24"/>
                <w:szCs w:val="24"/>
                <w:highlight w:val="none"/>
                <w:lang w:bidi="ar"/>
              </w:rPr>
              <w:t>《昆明优竹商贸有限公司烟花爆竹存储仓库新建项目</w:t>
            </w:r>
            <w:r>
              <w:rPr>
                <w:rFonts w:hint="eastAsia" w:cs="Times New Roman"/>
                <w:color w:val="auto"/>
                <w:kern w:val="0"/>
                <w:sz w:val="24"/>
                <w:szCs w:val="24"/>
                <w:highlight w:val="none"/>
                <w:lang w:val="en-US" w:eastAsia="zh-CN" w:bidi="ar"/>
              </w:rPr>
              <w:t>竣工验收</w:t>
            </w:r>
            <w:r>
              <w:rPr>
                <w:rFonts w:hint="default" w:ascii="Times New Roman" w:hAnsi="Times New Roman" w:eastAsia="宋体" w:cs="Times New Roman"/>
                <w:color w:val="auto"/>
                <w:kern w:val="0"/>
                <w:sz w:val="24"/>
                <w:szCs w:val="24"/>
                <w:highlight w:val="none"/>
                <w:lang w:bidi="ar"/>
              </w:rPr>
              <w:t>检测报告》</w:t>
            </w:r>
            <w:r>
              <w:rPr>
                <w:rFonts w:hint="eastAsia" w:cs="Times New Roman"/>
                <w:color w:val="auto"/>
                <w:kern w:val="0"/>
                <w:sz w:val="24"/>
                <w:szCs w:val="24"/>
                <w:highlight w:val="none"/>
                <w:lang w:eastAsia="zh-CN" w:bidi="ar"/>
              </w:rPr>
              <w:t>（</w:t>
            </w:r>
            <w:r>
              <w:rPr>
                <w:rFonts w:hint="eastAsia" w:cs="Times New Roman"/>
                <w:color w:val="auto"/>
                <w:kern w:val="0"/>
                <w:sz w:val="24"/>
                <w:szCs w:val="24"/>
                <w:highlight w:val="none"/>
                <w:lang w:val="en-US" w:eastAsia="zh-CN" w:bidi="ar"/>
              </w:rPr>
              <w:t>附件9</w:t>
            </w:r>
            <w:r>
              <w:rPr>
                <w:rFonts w:hint="eastAsia" w:cs="Times New Roman"/>
                <w:color w:val="auto"/>
                <w:kern w:val="0"/>
                <w:sz w:val="24"/>
                <w:szCs w:val="24"/>
                <w:highlight w:val="none"/>
                <w:lang w:eastAsia="zh-CN" w:bidi="ar"/>
              </w:rPr>
              <w:t>），</w:t>
            </w:r>
            <w:r>
              <w:rPr>
                <w:rFonts w:hint="default" w:ascii="Times New Roman" w:hAnsi="Times New Roman" w:cs="Times New Roman"/>
                <w:color w:val="auto"/>
                <w:spacing w:val="8"/>
                <w:sz w:val="24"/>
                <w:highlight w:val="none"/>
                <w:lang w:eastAsia="zh-CN"/>
              </w:rPr>
              <w:t>现有项目</w:t>
            </w:r>
            <w:r>
              <w:rPr>
                <w:rFonts w:hint="default" w:ascii="Times New Roman" w:hAnsi="Times New Roman" w:eastAsia="宋体" w:cs="Times New Roman"/>
                <w:color w:val="auto"/>
                <w:spacing w:val="8"/>
                <w:sz w:val="24"/>
                <w:highlight w:val="none"/>
              </w:rPr>
              <w:t>无组织废气排放情况如下表：</w:t>
            </w:r>
          </w:p>
          <w:p w14:paraId="7217FEC1">
            <w:pPr>
              <w:pStyle w:val="12"/>
              <w:pageBreakBefore w:val="0"/>
              <w:kinsoku/>
              <w:overflowPunct/>
              <w:topLinePunct w:val="0"/>
              <w:bidi w:val="0"/>
              <w:spacing w:before="120" w:beforeLines="5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ascii="Times New Roman" w:hAnsi="Times New Roman" w:cs="Times New Roman"/>
                <w:b/>
                <w:bCs/>
                <w:color w:val="auto"/>
                <w:sz w:val="21"/>
                <w:szCs w:val="21"/>
                <w:highlight w:val="none"/>
                <w:lang w:val="en-US" w:eastAsia="zh-CN"/>
              </w:rPr>
              <w:t>16</w:t>
            </w:r>
            <w:r>
              <w:rPr>
                <w:rFonts w:hint="default" w:ascii="Times New Roman" w:hAnsi="Times New Roman" w:eastAsia="宋体" w:cs="Times New Roman"/>
                <w:b/>
                <w:bCs/>
                <w:color w:val="auto"/>
                <w:sz w:val="21"/>
                <w:szCs w:val="21"/>
                <w:highlight w:val="none"/>
              </w:rPr>
              <w:t xml:space="preserve">  项目厂界废气无组织</w:t>
            </w:r>
            <w:r>
              <w:rPr>
                <w:rFonts w:hint="eastAsia" w:ascii="Times New Roman" w:hAnsi="Times New Roman" w:cs="Times New Roman"/>
                <w:b/>
                <w:bCs/>
                <w:color w:val="auto"/>
                <w:sz w:val="21"/>
                <w:szCs w:val="21"/>
                <w:highlight w:val="none"/>
                <w:lang w:val="en-US" w:eastAsia="zh-CN"/>
              </w:rPr>
              <w:t>颗粒物</w:t>
            </w:r>
            <w:r>
              <w:rPr>
                <w:rFonts w:hint="default" w:ascii="Times New Roman" w:hAnsi="Times New Roman" w:eastAsia="宋体" w:cs="Times New Roman"/>
                <w:b/>
                <w:bCs/>
                <w:color w:val="auto"/>
                <w:sz w:val="21"/>
                <w:szCs w:val="21"/>
                <w:highlight w:val="none"/>
              </w:rPr>
              <w:t>排放监测结果（单位：mg/m³）</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1984"/>
              <w:gridCol w:w="1525"/>
              <w:gridCol w:w="1521"/>
              <w:gridCol w:w="1524"/>
            </w:tblGrid>
            <w:tr w14:paraId="56AF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noWrap w:val="0"/>
                  <w:vAlign w:val="center"/>
                </w:tcPr>
                <w:p w14:paraId="395EEA0C">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监测点位</w:t>
                  </w:r>
                </w:p>
              </w:tc>
              <w:tc>
                <w:tcPr>
                  <w:tcW w:w="1268" w:type="pct"/>
                  <w:noWrap w:val="0"/>
                  <w:vAlign w:val="center"/>
                </w:tcPr>
                <w:p w14:paraId="35982DAD">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监测时间</w:t>
                  </w:r>
                </w:p>
              </w:tc>
              <w:tc>
                <w:tcPr>
                  <w:tcW w:w="975" w:type="pct"/>
                  <w:noWrap w:val="0"/>
                  <w:vAlign w:val="center"/>
                </w:tcPr>
                <w:p w14:paraId="133E254E">
                  <w:pPr>
                    <w:pageBreakBefore w:val="0"/>
                    <w:kinsoku/>
                    <w:overflowPunct/>
                    <w:topLinePunct w:val="0"/>
                    <w:bidi w:val="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最大值</w:t>
                  </w:r>
                </w:p>
              </w:tc>
              <w:tc>
                <w:tcPr>
                  <w:tcW w:w="972" w:type="pct"/>
                  <w:noWrap w:val="0"/>
                  <w:vAlign w:val="center"/>
                </w:tcPr>
                <w:p w14:paraId="22B8CD7C">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标准限值</w:t>
                  </w:r>
                </w:p>
              </w:tc>
              <w:tc>
                <w:tcPr>
                  <w:tcW w:w="974" w:type="pct"/>
                  <w:noWrap w:val="0"/>
                  <w:vAlign w:val="center"/>
                </w:tcPr>
                <w:p w14:paraId="1DE0F03F">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达标情况</w:t>
                  </w:r>
                </w:p>
              </w:tc>
            </w:tr>
            <w:tr w14:paraId="6DDD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restart"/>
                  <w:noWrap w:val="0"/>
                  <w:vAlign w:val="center"/>
                </w:tcPr>
                <w:p w14:paraId="62C5A9D2">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厂界上风向1#</w:t>
                  </w:r>
                </w:p>
              </w:tc>
              <w:tc>
                <w:tcPr>
                  <w:tcW w:w="1268" w:type="pct"/>
                  <w:noWrap w:val="0"/>
                  <w:vAlign w:val="center"/>
                </w:tcPr>
                <w:p w14:paraId="691AB925">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2026年4月5日</w:t>
                  </w:r>
                </w:p>
              </w:tc>
              <w:tc>
                <w:tcPr>
                  <w:tcW w:w="975" w:type="pct"/>
                  <w:noWrap w:val="0"/>
                  <w:vAlign w:val="center"/>
                </w:tcPr>
                <w:p w14:paraId="0503817B">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0.349</w:t>
                  </w:r>
                </w:p>
              </w:tc>
              <w:tc>
                <w:tcPr>
                  <w:tcW w:w="972" w:type="pct"/>
                  <w:noWrap w:val="0"/>
                  <w:vAlign w:val="center"/>
                </w:tcPr>
                <w:p w14:paraId="3A324F6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0E8A3D51">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6E3F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continue"/>
                  <w:noWrap w:val="0"/>
                  <w:vAlign w:val="center"/>
                </w:tcPr>
                <w:p w14:paraId="0387F103">
                  <w:pPr>
                    <w:pageBreakBefore w:val="0"/>
                    <w:kinsoku/>
                    <w:overflowPunct/>
                    <w:topLinePunct w:val="0"/>
                    <w:bidi w:val="0"/>
                    <w:jc w:val="center"/>
                    <w:rPr>
                      <w:rFonts w:hint="default" w:ascii="Times New Roman" w:hAnsi="Times New Roman" w:eastAsia="宋体" w:cs="Times New Roman"/>
                      <w:color w:val="auto"/>
                      <w:highlight w:val="none"/>
                    </w:rPr>
                  </w:pPr>
                </w:p>
              </w:tc>
              <w:tc>
                <w:tcPr>
                  <w:tcW w:w="1268" w:type="pct"/>
                  <w:noWrap w:val="0"/>
                  <w:vAlign w:val="center"/>
                </w:tcPr>
                <w:p w14:paraId="7F65DA3C">
                  <w:pPr>
                    <w:pageBreakBefore w:val="0"/>
                    <w:kinsoku/>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2026年4月6日</w:t>
                  </w:r>
                </w:p>
              </w:tc>
              <w:tc>
                <w:tcPr>
                  <w:tcW w:w="975" w:type="pct"/>
                  <w:noWrap w:val="0"/>
                  <w:vAlign w:val="center"/>
                </w:tcPr>
                <w:p w14:paraId="108EC57F">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0.311</w:t>
                  </w:r>
                </w:p>
              </w:tc>
              <w:tc>
                <w:tcPr>
                  <w:tcW w:w="972" w:type="pct"/>
                  <w:noWrap w:val="0"/>
                  <w:vAlign w:val="center"/>
                </w:tcPr>
                <w:p w14:paraId="277060C5">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655CE5F9">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680D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restart"/>
                  <w:noWrap w:val="0"/>
                  <w:vAlign w:val="center"/>
                </w:tcPr>
                <w:p w14:paraId="3BEA8EA7">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厂界下风向1#</w:t>
                  </w:r>
                </w:p>
              </w:tc>
              <w:tc>
                <w:tcPr>
                  <w:tcW w:w="2007" w:type="dxa"/>
                  <w:noWrap w:val="0"/>
                  <w:vAlign w:val="center"/>
                </w:tcPr>
                <w:p w14:paraId="7B5807EA">
                  <w:pPr>
                    <w:pageBreakBefore w:val="0"/>
                    <w:kinsoku/>
                    <w:overflowPunct/>
                    <w:topLinePunct w:val="0"/>
                    <w:bidi w:val="0"/>
                    <w:jc w:val="center"/>
                    <w:rPr>
                      <w:rFonts w:hint="default" w:ascii="Times New Roman" w:hAnsi="Times New Roman" w:eastAsia="宋体" w:cs="Times New Roman"/>
                      <w:color w:val="auto"/>
                      <w:highlight w:val="none"/>
                    </w:rPr>
                  </w:pPr>
                  <w:r>
                    <w:rPr>
                      <w:rFonts w:hint="eastAsia" w:ascii="Times New Roman" w:hAnsi="Times New Roman" w:cs="Times New Roman"/>
                      <w:color w:val="auto"/>
                      <w:highlight w:val="none"/>
                      <w:lang w:val="en-US" w:eastAsia="zh-CN"/>
                    </w:rPr>
                    <w:t>2026年4月5日</w:t>
                  </w:r>
                </w:p>
              </w:tc>
              <w:tc>
                <w:tcPr>
                  <w:tcW w:w="975" w:type="pct"/>
                  <w:noWrap w:val="0"/>
                  <w:vAlign w:val="center"/>
                </w:tcPr>
                <w:p w14:paraId="010E0C5F">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0.558</w:t>
                  </w:r>
                </w:p>
              </w:tc>
              <w:tc>
                <w:tcPr>
                  <w:tcW w:w="972" w:type="pct"/>
                  <w:noWrap w:val="0"/>
                  <w:vAlign w:val="center"/>
                </w:tcPr>
                <w:p w14:paraId="6CD541E8">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5A64E4CE">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3A69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continue"/>
                  <w:noWrap w:val="0"/>
                  <w:vAlign w:val="center"/>
                </w:tcPr>
                <w:p w14:paraId="5168A477">
                  <w:pPr>
                    <w:pageBreakBefore w:val="0"/>
                    <w:kinsoku/>
                    <w:overflowPunct/>
                    <w:topLinePunct w:val="0"/>
                    <w:bidi w:val="0"/>
                    <w:jc w:val="center"/>
                    <w:rPr>
                      <w:rFonts w:hint="default" w:ascii="Times New Roman" w:hAnsi="Times New Roman" w:eastAsia="宋体" w:cs="Times New Roman"/>
                      <w:color w:val="auto"/>
                      <w:highlight w:val="none"/>
                    </w:rPr>
                  </w:pPr>
                </w:p>
              </w:tc>
              <w:tc>
                <w:tcPr>
                  <w:tcW w:w="2007" w:type="dxa"/>
                  <w:noWrap w:val="0"/>
                  <w:vAlign w:val="center"/>
                </w:tcPr>
                <w:p w14:paraId="78878CD3">
                  <w:pPr>
                    <w:pageBreakBefore w:val="0"/>
                    <w:kinsoku/>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2026年4月6日</w:t>
                  </w:r>
                </w:p>
              </w:tc>
              <w:tc>
                <w:tcPr>
                  <w:tcW w:w="975" w:type="pct"/>
                  <w:noWrap w:val="0"/>
                  <w:vAlign w:val="center"/>
                </w:tcPr>
                <w:p w14:paraId="0D9A946C">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0.587</w:t>
                  </w:r>
                </w:p>
              </w:tc>
              <w:tc>
                <w:tcPr>
                  <w:tcW w:w="972" w:type="pct"/>
                  <w:noWrap w:val="0"/>
                  <w:vAlign w:val="center"/>
                </w:tcPr>
                <w:p w14:paraId="187ECC6A">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6D5B7DAA">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547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restart"/>
                  <w:noWrap w:val="0"/>
                  <w:vAlign w:val="center"/>
                </w:tcPr>
                <w:p w14:paraId="5A982FAD">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厂界下风向3#</w:t>
                  </w:r>
                </w:p>
              </w:tc>
              <w:tc>
                <w:tcPr>
                  <w:tcW w:w="2007" w:type="dxa"/>
                  <w:noWrap w:val="0"/>
                  <w:vAlign w:val="center"/>
                </w:tcPr>
                <w:p w14:paraId="7C7EA1FF">
                  <w:pPr>
                    <w:pageBreakBefore w:val="0"/>
                    <w:kinsoku/>
                    <w:overflowPunct/>
                    <w:topLinePunct w:val="0"/>
                    <w:bidi w:val="0"/>
                    <w:jc w:val="center"/>
                    <w:rPr>
                      <w:rFonts w:hint="default" w:ascii="Times New Roman" w:hAnsi="Times New Roman" w:eastAsia="宋体" w:cs="Times New Roman"/>
                      <w:color w:val="auto"/>
                      <w:highlight w:val="none"/>
                    </w:rPr>
                  </w:pPr>
                  <w:r>
                    <w:rPr>
                      <w:rFonts w:hint="eastAsia" w:ascii="Times New Roman" w:hAnsi="Times New Roman" w:cs="Times New Roman"/>
                      <w:color w:val="auto"/>
                      <w:highlight w:val="none"/>
                      <w:lang w:val="en-US" w:eastAsia="zh-CN"/>
                    </w:rPr>
                    <w:t>2026年4月5日</w:t>
                  </w:r>
                </w:p>
              </w:tc>
              <w:tc>
                <w:tcPr>
                  <w:tcW w:w="975" w:type="pct"/>
                  <w:noWrap w:val="0"/>
                  <w:vAlign w:val="center"/>
                </w:tcPr>
                <w:p w14:paraId="270830F3">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0.579</w:t>
                  </w:r>
                </w:p>
              </w:tc>
              <w:tc>
                <w:tcPr>
                  <w:tcW w:w="972" w:type="pct"/>
                  <w:noWrap w:val="0"/>
                  <w:vAlign w:val="center"/>
                </w:tcPr>
                <w:p w14:paraId="3C02A45B">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301D882B">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6079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continue"/>
                  <w:noWrap w:val="0"/>
                  <w:vAlign w:val="center"/>
                </w:tcPr>
                <w:p w14:paraId="17D765B1">
                  <w:pPr>
                    <w:pageBreakBefore w:val="0"/>
                    <w:kinsoku/>
                    <w:overflowPunct/>
                    <w:topLinePunct w:val="0"/>
                    <w:bidi w:val="0"/>
                    <w:jc w:val="center"/>
                    <w:rPr>
                      <w:rFonts w:hint="default" w:ascii="Times New Roman" w:hAnsi="Times New Roman" w:eastAsia="宋体" w:cs="Times New Roman"/>
                      <w:color w:val="auto"/>
                      <w:highlight w:val="none"/>
                    </w:rPr>
                  </w:pPr>
                </w:p>
              </w:tc>
              <w:tc>
                <w:tcPr>
                  <w:tcW w:w="2007" w:type="dxa"/>
                  <w:noWrap w:val="0"/>
                  <w:vAlign w:val="center"/>
                </w:tcPr>
                <w:p w14:paraId="75B30513">
                  <w:pPr>
                    <w:pageBreakBefore w:val="0"/>
                    <w:kinsoku/>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2026年4月6日</w:t>
                  </w:r>
                </w:p>
              </w:tc>
              <w:tc>
                <w:tcPr>
                  <w:tcW w:w="975" w:type="pct"/>
                  <w:noWrap w:val="0"/>
                  <w:vAlign w:val="center"/>
                </w:tcPr>
                <w:p w14:paraId="65457CB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0.560</w:t>
                  </w:r>
                </w:p>
              </w:tc>
              <w:tc>
                <w:tcPr>
                  <w:tcW w:w="972" w:type="pct"/>
                  <w:noWrap w:val="0"/>
                  <w:vAlign w:val="center"/>
                </w:tcPr>
                <w:p w14:paraId="6159CB07">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00DC2541">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64C7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restart"/>
                  <w:noWrap w:val="0"/>
                  <w:vAlign w:val="center"/>
                </w:tcPr>
                <w:p w14:paraId="33B759E8">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厂界下风向4#</w:t>
                  </w:r>
                </w:p>
              </w:tc>
              <w:tc>
                <w:tcPr>
                  <w:tcW w:w="2007" w:type="dxa"/>
                  <w:noWrap w:val="0"/>
                  <w:vAlign w:val="center"/>
                </w:tcPr>
                <w:p w14:paraId="0DF4A68F">
                  <w:pPr>
                    <w:pageBreakBefore w:val="0"/>
                    <w:kinsoku/>
                    <w:overflowPunct/>
                    <w:topLinePunct w:val="0"/>
                    <w:bidi w:val="0"/>
                    <w:jc w:val="center"/>
                    <w:rPr>
                      <w:rFonts w:hint="default" w:ascii="Times New Roman" w:hAnsi="Times New Roman" w:eastAsia="宋体" w:cs="Times New Roman"/>
                      <w:color w:val="auto"/>
                      <w:highlight w:val="none"/>
                    </w:rPr>
                  </w:pPr>
                  <w:r>
                    <w:rPr>
                      <w:rFonts w:hint="eastAsia" w:ascii="Times New Roman" w:hAnsi="Times New Roman" w:cs="Times New Roman"/>
                      <w:color w:val="auto"/>
                      <w:highlight w:val="none"/>
                      <w:lang w:val="en-US" w:eastAsia="zh-CN"/>
                    </w:rPr>
                    <w:t>2026年4月5日</w:t>
                  </w:r>
                </w:p>
              </w:tc>
              <w:tc>
                <w:tcPr>
                  <w:tcW w:w="975" w:type="pct"/>
                  <w:noWrap w:val="0"/>
                  <w:vAlign w:val="center"/>
                </w:tcPr>
                <w:p w14:paraId="01D2642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0.579</w:t>
                  </w:r>
                </w:p>
              </w:tc>
              <w:tc>
                <w:tcPr>
                  <w:tcW w:w="972" w:type="pct"/>
                  <w:noWrap w:val="0"/>
                  <w:vAlign w:val="center"/>
                </w:tcPr>
                <w:p w14:paraId="63CCFED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7137550B">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2C49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pct"/>
                  <w:vMerge w:val="continue"/>
                  <w:noWrap w:val="0"/>
                  <w:vAlign w:val="center"/>
                </w:tcPr>
                <w:p w14:paraId="666A2892">
                  <w:pPr>
                    <w:pageBreakBefore w:val="0"/>
                    <w:kinsoku/>
                    <w:overflowPunct/>
                    <w:topLinePunct w:val="0"/>
                    <w:bidi w:val="0"/>
                    <w:jc w:val="center"/>
                    <w:rPr>
                      <w:rFonts w:hint="default" w:ascii="Times New Roman" w:hAnsi="Times New Roman" w:eastAsia="宋体" w:cs="Times New Roman"/>
                      <w:color w:val="auto"/>
                      <w:highlight w:val="none"/>
                    </w:rPr>
                  </w:pPr>
                </w:p>
              </w:tc>
              <w:tc>
                <w:tcPr>
                  <w:tcW w:w="2007" w:type="dxa"/>
                  <w:noWrap w:val="0"/>
                  <w:vAlign w:val="center"/>
                </w:tcPr>
                <w:p w14:paraId="112C406C">
                  <w:pPr>
                    <w:pageBreakBefore w:val="0"/>
                    <w:kinsoku/>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2026年4月6日</w:t>
                  </w:r>
                </w:p>
              </w:tc>
              <w:tc>
                <w:tcPr>
                  <w:tcW w:w="975" w:type="pct"/>
                  <w:noWrap w:val="0"/>
                  <w:vAlign w:val="center"/>
                </w:tcPr>
                <w:p w14:paraId="044D44C9">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0.650</w:t>
                  </w:r>
                </w:p>
              </w:tc>
              <w:tc>
                <w:tcPr>
                  <w:tcW w:w="972" w:type="pct"/>
                  <w:noWrap w:val="0"/>
                  <w:vAlign w:val="center"/>
                </w:tcPr>
                <w:p w14:paraId="2266AD33">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974" w:type="pct"/>
                  <w:noWrap w:val="0"/>
                  <w:vAlign w:val="center"/>
                </w:tcPr>
                <w:p w14:paraId="6B741676">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bl>
          <w:p w14:paraId="29F9D6E8">
            <w:pPr>
              <w:pStyle w:val="66"/>
              <w:pageBreakBefore w:val="0"/>
              <w:kinsoku/>
              <w:overflowPunct/>
              <w:topLinePunct w:val="0"/>
              <w:bidi w:val="0"/>
              <w:spacing w:line="360" w:lineRule="auto"/>
              <w:ind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根据在厂界设置4个无组织废气监测点（上风向1</w:t>
            </w:r>
            <w:r>
              <w:rPr>
                <w:rFonts w:hint="default" w:ascii="Times New Roman" w:hAnsi="Times New Roman" w:eastAsia="宋体" w:cs="Times New Roman"/>
                <w:color w:val="auto"/>
                <w:sz w:val="24"/>
                <w:highlight w:val="none"/>
                <w:vertAlign w:val="superscript"/>
              </w:rPr>
              <w:t>#</w:t>
            </w:r>
            <w:r>
              <w:rPr>
                <w:rFonts w:hint="default" w:ascii="Times New Roman" w:hAnsi="Times New Roman" w:eastAsia="宋体" w:cs="Times New Roman"/>
                <w:color w:val="auto"/>
                <w:sz w:val="24"/>
                <w:highlight w:val="none"/>
              </w:rPr>
              <w:t>、下风向2</w:t>
            </w:r>
            <w:r>
              <w:rPr>
                <w:rFonts w:hint="default" w:ascii="Times New Roman" w:hAnsi="Times New Roman" w:eastAsia="宋体" w:cs="Times New Roman"/>
                <w:color w:val="auto"/>
                <w:sz w:val="24"/>
                <w:highlight w:val="none"/>
                <w:vertAlign w:val="superscript"/>
              </w:rPr>
              <w:t>#</w:t>
            </w:r>
            <w:r>
              <w:rPr>
                <w:rFonts w:hint="default" w:ascii="Times New Roman" w:hAnsi="Times New Roman" w:eastAsia="宋体" w:cs="Times New Roman"/>
                <w:color w:val="auto"/>
                <w:sz w:val="24"/>
                <w:highlight w:val="none"/>
              </w:rPr>
              <w:t>、下风向3</w:t>
            </w:r>
            <w:r>
              <w:rPr>
                <w:rFonts w:hint="default" w:ascii="Times New Roman" w:hAnsi="Times New Roman" w:eastAsia="宋体" w:cs="Times New Roman"/>
                <w:color w:val="auto"/>
                <w:sz w:val="24"/>
                <w:highlight w:val="none"/>
                <w:vertAlign w:val="superscript"/>
              </w:rPr>
              <w:t>#</w:t>
            </w:r>
            <w:r>
              <w:rPr>
                <w:rFonts w:hint="default" w:ascii="Times New Roman" w:hAnsi="Times New Roman" w:eastAsia="宋体" w:cs="Times New Roman"/>
                <w:color w:val="auto"/>
                <w:sz w:val="24"/>
                <w:highlight w:val="none"/>
              </w:rPr>
              <w:t>、下风向4</w:t>
            </w:r>
            <w:r>
              <w:rPr>
                <w:rFonts w:hint="default" w:ascii="Times New Roman" w:hAnsi="Times New Roman" w:eastAsia="宋体" w:cs="Times New Roman"/>
                <w:color w:val="auto"/>
                <w:sz w:val="24"/>
                <w:highlight w:val="none"/>
                <w:vertAlign w:val="superscript"/>
              </w:rPr>
              <w:t>#</w:t>
            </w:r>
            <w:r>
              <w:rPr>
                <w:rFonts w:hint="default" w:ascii="Times New Roman" w:hAnsi="Times New Roman" w:eastAsia="宋体" w:cs="Times New Roman"/>
                <w:color w:val="auto"/>
                <w:sz w:val="24"/>
                <w:highlight w:val="none"/>
              </w:rPr>
              <w:t>），4个监测点中</w:t>
            </w:r>
            <w:r>
              <w:rPr>
                <w:rFonts w:hint="eastAsia" w:cs="Times New Roman"/>
                <w:color w:val="auto"/>
                <w:sz w:val="24"/>
                <w:highlight w:val="none"/>
                <w:lang w:val="en-US" w:eastAsia="zh-CN"/>
              </w:rPr>
              <w:t>颗粒物</w:t>
            </w:r>
            <w:r>
              <w:rPr>
                <w:rFonts w:hint="default" w:ascii="Times New Roman" w:hAnsi="Times New Roman" w:eastAsia="宋体" w:cs="Times New Roman"/>
                <w:color w:val="auto"/>
                <w:sz w:val="24"/>
                <w:highlight w:val="none"/>
              </w:rPr>
              <w:t>最高浓度</w:t>
            </w:r>
            <w:r>
              <w:rPr>
                <w:rFonts w:hint="eastAsia" w:cs="Times New Roman"/>
                <w:color w:val="auto"/>
                <w:sz w:val="24"/>
                <w:highlight w:val="none"/>
                <w:lang w:val="en-US" w:eastAsia="zh-CN"/>
              </w:rPr>
              <w:t>0.650</w:t>
            </w:r>
            <w:r>
              <w:rPr>
                <w:rFonts w:hint="default" w:ascii="Times New Roman" w:hAnsi="Times New Roman" w:eastAsia="宋体" w:cs="Times New Roman"/>
                <w:color w:val="auto"/>
                <w:sz w:val="24"/>
                <w:highlight w:val="none"/>
              </w:rPr>
              <w:t>mg/m³，满足《大气污染物综合排放标准》(GB16297-1996)中无组织排放要求。</w:t>
            </w:r>
            <w:r>
              <w:rPr>
                <w:rFonts w:hint="default" w:ascii="Times New Roman" w:hAnsi="Times New Roman" w:eastAsia="宋体" w:cs="Times New Roman"/>
                <w:b/>
                <w:bCs/>
                <w:color w:val="auto"/>
                <w:sz w:val="24"/>
                <w:highlight w:val="none"/>
              </w:rPr>
              <w:t>项目厂界无组织废气达标排放。</w:t>
            </w:r>
          </w:p>
          <w:p w14:paraId="69186E2D">
            <w:pPr>
              <w:spacing w:line="360" w:lineRule="auto"/>
              <w:ind w:right="105" w:rightChars="50" w:firstLine="482" w:firstLineChars="200"/>
              <w:rPr>
                <w:rFonts w:hint="default"/>
                <w:b/>
                <w:color w:val="auto"/>
                <w:sz w:val="24"/>
                <w:szCs w:val="24"/>
                <w:highlight w:val="none"/>
                <w:lang w:val="en-US" w:eastAsia="zh-CN"/>
              </w:rPr>
            </w:pPr>
            <w:r>
              <w:rPr>
                <w:rFonts w:hint="eastAsia"/>
                <w:b/>
                <w:color w:val="auto"/>
                <w:sz w:val="24"/>
                <w:szCs w:val="24"/>
                <w:highlight w:val="none"/>
                <w:lang w:val="en-US" w:eastAsia="zh-CN"/>
              </w:rPr>
              <w:t>10、</w:t>
            </w:r>
            <w:r>
              <w:rPr>
                <w:rFonts w:hint="eastAsia" w:ascii="Times New Roman" w:hAnsi="Times New Roman" w:cs="Times New Roman"/>
                <w:b/>
                <w:bCs/>
                <w:color w:val="auto"/>
                <w:sz w:val="24"/>
                <w:highlight w:val="none"/>
                <w:lang w:val="en-US" w:eastAsia="zh-CN"/>
              </w:rPr>
              <w:t>废水</w:t>
            </w:r>
          </w:p>
          <w:p w14:paraId="417A5552">
            <w:pPr>
              <w:spacing w:line="360" w:lineRule="auto"/>
              <w:ind w:right="105" w:rightChars="50" w:firstLine="480" w:firstLineChars="200"/>
              <w:rPr>
                <w:rFonts w:hint="eastAsia" w:eastAsia="宋体"/>
                <w:b/>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bidi="ar"/>
              </w:rPr>
              <w:t>根据云南鼎祺检测有限公司202</w:t>
            </w:r>
            <w:r>
              <w:rPr>
                <w:rFonts w:hint="eastAsia" w:cs="Times New Roman"/>
                <w:color w:val="auto"/>
                <w:kern w:val="0"/>
                <w:sz w:val="24"/>
                <w:szCs w:val="24"/>
                <w:highlight w:val="none"/>
                <w:lang w:val="en-US" w:eastAsia="zh-CN" w:bidi="ar"/>
              </w:rPr>
              <w:t>6年4月5日-6日</w:t>
            </w:r>
            <w:r>
              <w:rPr>
                <w:rFonts w:hint="default" w:ascii="Times New Roman" w:hAnsi="Times New Roman" w:eastAsia="宋体" w:cs="Times New Roman"/>
                <w:color w:val="auto"/>
                <w:kern w:val="0"/>
                <w:sz w:val="24"/>
                <w:szCs w:val="24"/>
                <w:highlight w:val="none"/>
                <w:lang w:bidi="ar"/>
              </w:rPr>
              <w:t>《昆明优竹商贸有限公司烟花爆竹存储仓库新建项目</w:t>
            </w:r>
            <w:r>
              <w:rPr>
                <w:rFonts w:hint="eastAsia" w:cs="Times New Roman"/>
                <w:color w:val="auto"/>
                <w:kern w:val="0"/>
                <w:sz w:val="24"/>
                <w:szCs w:val="24"/>
                <w:highlight w:val="none"/>
                <w:lang w:val="en-US" w:eastAsia="zh-CN" w:bidi="ar"/>
              </w:rPr>
              <w:t>竣工验收</w:t>
            </w:r>
            <w:r>
              <w:rPr>
                <w:rFonts w:hint="default" w:ascii="Times New Roman" w:hAnsi="Times New Roman" w:eastAsia="宋体" w:cs="Times New Roman"/>
                <w:color w:val="auto"/>
                <w:kern w:val="0"/>
                <w:sz w:val="24"/>
                <w:szCs w:val="24"/>
                <w:highlight w:val="none"/>
                <w:lang w:bidi="ar"/>
              </w:rPr>
              <w:t>检测报告》</w:t>
            </w:r>
            <w:r>
              <w:rPr>
                <w:rFonts w:hint="eastAsia" w:ascii="Times New Roman" w:hAnsi="Times New Roman" w:cs="Times New Roman"/>
                <w:color w:val="auto"/>
                <w:kern w:val="0"/>
                <w:sz w:val="24"/>
                <w:szCs w:val="24"/>
                <w:highlight w:val="none"/>
                <w:lang w:eastAsia="zh-CN" w:bidi="ar"/>
              </w:rPr>
              <w:t>，</w:t>
            </w:r>
            <w:r>
              <w:rPr>
                <w:rFonts w:hint="eastAsia" w:ascii="Times New Roman" w:hAnsi="Times New Roman" w:cs="Times New Roman"/>
                <w:color w:val="auto"/>
                <w:kern w:val="0"/>
                <w:sz w:val="24"/>
                <w:szCs w:val="24"/>
                <w:highlight w:val="none"/>
                <w:lang w:val="en-US" w:eastAsia="zh-CN" w:bidi="ar"/>
              </w:rPr>
              <w:t>现有项目废水</w:t>
            </w:r>
            <w:r>
              <w:rPr>
                <w:rFonts w:hint="default" w:ascii="Times New Roman" w:hAnsi="Times New Roman" w:eastAsia="宋体" w:cs="Times New Roman"/>
                <w:color w:val="auto"/>
                <w:sz w:val="24"/>
                <w:highlight w:val="none"/>
              </w:rPr>
              <w:t>污染物排放情况见</w:t>
            </w:r>
            <w:r>
              <w:rPr>
                <w:rFonts w:hint="eastAsia" w:ascii="Times New Roman" w:hAnsi="Times New Roman" w:cs="Times New Roman"/>
                <w:color w:val="auto"/>
                <w:sz w:val="24"/>
                <w:highlight w:val="none"/>
                <w:lang w:val="en-US" w:eastAsia="zh-CN"/>
              </w:rPr>
              <w:t>下</w:t>
            </w:r>
            <w:r>
              <w:rPr>
                <w:rFonts w:hint="default" w:ascii="Times New Roman" w:hAnsi="Times New Roman" w:eastAsia="宋体" w:cs="Times New Roman"/>
                <w:color w:val="auto"/>
                <w:sz w:val="24"/>
                <w:highlight w:val="none"/>
              </w:rPr>
              <w:t>表</w:t>
            </w:r>
            <w:r>
              <w:rPr>
                <w:rFonts w:hint="eastAsia" w:ascii="Times New Roman" w:hAnsi="Times New Roman" w:cs="Times New Roman"/>
                <w:color w:val="auto"/>
                <w:sz w:val="24"/>
                <w:highlight w:val="none"/>
                <w:lang w:eastAsia="zh-CN"/>
              </w:rPr>
              <w:t>。</w:t>
            </w:r>
          </w:p>
          <w:p w14:paraId="0FA0A628">
            <w:pPr>
              <w:pStyle w:val="66"/>
              <w:pageBreakBefore w:val="0"/>
              <w:kinsoku/>
              <w:overflowPunct/>
              <w:topLinePunct w:val="0"/>
              <w:bidi w:val="0"/>
              <w:spacing w:line="240" w:lineRule="auto"/>
              <w:ind w:firstLine="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17</w:t>
            </w:r>
            <w:r>
              <w:rPr>
                <w:rFonts w:hint="default" w:ascii="Times New Roman" w:hAnsi="Times New Roman" w:eastAsia="宋体" w:cs="Times New Roman"/>
                <w:b/>
                <w:bCs/>
                <w:color w:val="auto"/>
                <w:sz w:val="21"/>
                <w:szCs w:val="21"/>
                <w:highlight w:val="none"/>
              </w:rPr>
              <w:t xml:space="preserve">  项目</w:t>
            </w:r>
            <w:r>
              <w:rPr>
                <w:rFonts w:hint="eastAsia" w:cs="Times New Roman"/>
                <w:b/>
                <w:bCs/>
                <w:color w:val="auto"/>
                <w:sz w:val="21"/>
                <w:szCs w:val="21"/>
                <w:highlight w:val="none"/>
                <w:lang w:val="en-US" w:eastAsia="zh-CN"/>
              </w:rPr>
              <w:t>化粪池</w:t>
            </w:r>
            <w:r>
              <w:rPr>
                <w:rFonts w:hint="default" w:ascii="Times New Roman" w:hAnsi="Times New Roman" w:eastAsia="宋体" w:cs="Times New Roman"/>
                <w:b/>
                <w:bCs/>
                <w:color w:val="auto"/>
                <w:sz w:val="21"/>
                <w:szCs w:val="21"/>
                <w:highlight w:val="none"/>
              </w:rPr>
              <w:t>污</w:t>
            </w:r>
            <w:r>
              <w:rPr>
                <w:rFonts w:hint="eastAsia" w:cs="Times New Roman"/>
                <w:b/>
                <w:bCs/>
                <w:color w:val="auto"/>
                <w:sz w:val="21"/>
                <w:szCs w:val="21"/>
                <w:highlight w:val="none"/>
                <w:lang w:val="en-US" w:eastAsia="zh-CN"/>
              </w:rPr>
              <w:t>废水监测</w:t>
            </w:r>
            <w:r>
              <w:rPr>
                <w:rFonts w:hint="default" w:ascii="Times New Roman" w:hAnsi="Times New Roman" w:eastAsia="宋体" w:cs="Times New Roman"/>
                <w:b/>
                <w:bCs/>
                <w:color w:val="auto"/>
                <w:sz w:val="21"/>
                <w:szCs w:val="21"/>
                <w:highlight w:val="none"/>
              </w:rPr>
              <w:t>情况表</w:t>
            </w:r>
          </w:p>
          <w:tbl>
            <w:tblPr>
              <w:tblStyle w:val="23"/>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9"/>
              <w:gridCol w:w="2214"/>
              <w:gridCol w:w="1061"/>
              <w:gridCol w:w="965"/>
              <w:gridCol w:w="1242"/>
              <w:gridCol w:w="1270"/>
            </w:tblGrid>
            <w:tr w14:paraId="5B6A1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683" w:type="pct"/>
                  <w:vMerge w:val="restart"/>
                  <w:noWrap w:val="0"/>
                  <w:vAlign w:val="center"/>
                </w:tcPr>
                <w:p w14:paraId="5849C151">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检测点位</w:t>
                  </w:r>
                </w:p>
              </w:tc>
              <w:tc>
                <w:tcPr>
                  <w:tcW w:w="1415" w:type="pct"/>
                  <w:noWrap w:val="0"/>
                  <w:vAlign w:val="center"/>
                </w:tcPr>
                <w:p w14:paraId="7CD9ECCC">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检测项目</w:t>
                  </w:r>
                </w:p>
              </w:tc>
              <w:tc>
                <w:tcPr>
                  <w:tcW w:w="678" w:type="pct"/>
                  <w:tcBorders>
                    <w:right w:val="single" w:color="auto" w:sz="4" w:space="0"/>
                  </w:tcBorders>
                  <w:noWrap w:val="0"/>
                  <w:vAlign w:val="center"/>
                </w:tcPr>
                <w:p w14:paraId="5261E6CB">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单位</w:t>
                  </w:r>
                </w:p>
              </w:tc>
              <w:tc>
                <w:tcPr>
                  <w:tcW w:w="617" w:type="pct"/>
                  <w:vMerge w:val="restart"/>
                  <w:tcBorders>
                    <w:left w:val="single" w:color="auto" w:sz="4" w:space="0"/>
                    <w:right w:val="single" w:color="auto" w:sz="4" w:space="0"/>
                  </w:tcBorders>
                  <w:noWrap w:val="0"/>
                  <w:vAlign w:val="center"/>
                </w:tcPr>
                <w:p w14:paraId="54D1B182">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平均值</w:t>
                  </w:r>
                </w:p>
              </w:tc>
              <w:tc>
                <w:tcPr>
                  <w:tcW w:w="794" w:type="pct"/>
                  <w:vMerge w:val="restart"/>
                  <w:noWrap w:val="0"/>
                  <w:vAlign w:val="center"/>
                </w:tcPr>
                <w:p w14:paraId="64929C1F">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标准值</w:t>
                  </w:r>
                </w:p>
              </w:tc>
              <w:tc>
                <w:tcPr>
                  <w:tcW w:w="812" w:type="pct"/>
                  <w:vMerge w:val="restart"/>
                  <w:noWrap w:val="0"/>
                  <w:vAlign w:val="center"/>
                </w:tcPr>
                <w:p w14:paraId="3F5787A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是否达标</w:t>
                  </w:r>
                </w:p>
              </w:tc>
            </w:tr>
            <w:tr w14:paraId="0163C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tcBorders>
                    <w:bottom w:val="single" w:color="auto" w:sz="4" w:space="0"/>
                  </w:tcBorders>
                  <w:noWrap w:val="0"/>
                  <w:vAlign w:val="center"/>
                </w:tcPr>
                <w:p w14:paraId="1FC80DE9">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p>
              </w:tc>
              <w:tc>
                <w:tcPr>
                  <w:tcW w:w="2093" w:type="pct"/>
                  <w:gridSpan w:val="2"/>
                  <w:tcBorders>
                    <w:bottom w:val="single" w:color="auto" w:sz="4" w:space="0"/>
                    <w:right w:val="single" w:color="auto" w:sz="4" w:space="0"/>
                  </w:tcBorders>
                  <w:noWrap w:val="0"/>
                  <w:vAlign w:val="center"/>
                </w:tcPr>
                <w:p w14:paraId="186EC54F">
                  <w:pPr>
                    <w:pageBreakBefore w:val="0"/>
                    <w:kinsoku/>
                    <w:overflowPunct/>
                    <w:topLinePunct w:val="0"/>
                    <w:bidi w:val="0"/>
                    <w:jc w:val="center"/>
                    <w:rPr>
                      <w:rFonts w:hint="default" w:ascii="Times New Roman" w:hAnsi="Times New Roman" w:eastAsia="宋体" w:cs="Times New Roman"/>
                      <w:snapToGrid w:val="0"/>
                      <w:color w:val="auto"/>
                      <w:kern w:val="0"/>
                      <w:highlight w:val="none"/>
                      <w:lang w:val="en-US" w:eastAsia="zh-CN"/>
                    </w:rPr>
                  </w:pPr>
                  <w:r>
                    <w:rPr>
                      <w:rFonts w:hint="default" w:ascii="Times New Roman" w:hAnsi="Times New Roman" w:eastAsia="宋体" w:cs="Times New Roman"/>
                      <w:snapToGrid w:val="0"/>
                      <w:color w:val="auto"/>
                      <w:kern w:val="0"/>
                      <w:highlight w:val="none"/>
                    </w:rPr>
                    <w:t>监测日期</w:t>
                  </w:r>
                  <w:r>
                    <w:rPr>
                      <w:rFonts w:hint="eastAsia" w:cs="Times New Roman"/>
                      <w:snapToGrid w:val="0"/>
                      <w:color w:val="auto"/>
                      <w:kern w:val="0"/>
                      <w:highlight w:val="none"/>
                      <w:lang w:eastAsia="zh-CN"/>
                    </w:rPr>
                    <w:t>：</w:t>
                  </w:r>
                  <w:r>
                    <w:rPr>
                      <w:rFonts w:hint="eastAsia"/>
                      <w:color w:val="auto"/>
                      <w:lang w:val="en-US" w:eastAsia="zh-CN"/>
                    </w:rPr>
                    <w:t>2026.4.5-2026.4.6</w:t>
                  </w:r>
                </w:p>
              </w:tc>
              <w:tc>
                <w:tcPr>
                  <w:tcW w:w="617" w:type="pct"/>
                  <w:vMerge w:val="continue"/>
                  <w:tcBorders>
                    <w:left w:val="single" w:color="auto" w:sz="4" w:space="0"/>
                    <w:right w:val="single" w:color="auto" w:sz="4" w:space="0"/>
                  </w:tcBorders>
                  <w:noWrap w:val="0"/>
                  <w:vAlign w:val="center"/>
                </w:tcPr>
                <w:p w14:paraId="351E7916">
                  <w:pPr>
                    <w:pageBreakBefore w:val="0"/>
                    <w:kinsoku/>
                    <w:overflowPunct/>
                    <w:topLinePunct w:val="0"/>
                    <w:bidi w:val="0"/>
                    <w:jc w:val="center"/>
                    <w:rPr>
                      <w:rFonts w:hint="default" w:ascii="Times New Roman" w:hAnsi="Times New Roman" w:eastAsia="宋体" w:cs="Times New Roman"/>
                      <w:color w:val="auto"/>
                      <w:highlight w:val="none"/>
                    </w:rPr>
                  </w:pPr>
                </w:p>
              </w:tc>
              <w:tc>
                <w:tcPr>
                  <w:tcW w:w="794" w:type="pct"/>
                  <w:vMerge w:val="continue"/>
                  <w:noWrap w:val="0"/>
                  <w:vAlign w:val="center"/>
                </w:tcPr>
                <w:p w14:paraId="61A0969D">
                  <w:pPr>
                    <w:pageBreakBefore w:val="0"/>
                    <w:kinsoku/>
                    <w:overflowPunct/>
                    <w:topLinePunct w:val="0"/>
                    <w:bidi w:val="0"/>
                    <w:jc w:val="center"/>
                    <w:rPr>
                      <w:rFonts w:hint="default" w:ascii="Times New Roman" w:hAnsi="Times New Roman" w:eastAsia="宋体" w:cs="Times New Roman"/>
                      <w:color w:val="auto"/>
                      <w:highlight w:val="none"/>
                    </w:rPr>
                  </w:pPr>
                </w:p>
              </w:tc>
              <w:tc>
                <w:tcPr>
                  <w:tcW w:w="812" w:type="pct"/>
                  <w:vMerge w:val="continue"/>
                  <w:noWrap w:val="0"/>
                  <w:vAlign w:val="center"/>
                </w:tcPr>
                <w:p w14:paraId="6E6CEA86">
                  <w:pPr>
                    <w:pageBreakBefore w:val="0"/>
                    <w:kinsoku/>
                    <w:overflowPunct/>
                    <w:topLinePunct w:val="0"/>
                    <w:bidi w:val="0"/>
                    <w:jc w:val="center"/>
                    <w:rPr>
                      <w:rFonts w:hint="default" w:ascii="Times New Roman" w:hAnsi="Times New Roman" w:eastAsia="宋体" w:cs="Times New Roman"/>
                      <w:color w:val="auto"/>
                      <w:highlight w:val="none"/>
                    </w:rPr>
                  </w:pPr>
                </w:p>
              </w:tc>
            </w:tr>
            <w:tr w14:paraId="334DC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restart"/>
                  <w:tcBorders>
                    <w:top w:val="single" w:color="auto" w:sz="4" w:space="0"/>
                  </w:tcBorders>
                  <w:noWrap w:val="0"/>
                  <w:vAlign w:val="center"/>
                </w:tcPr>
                <w:p w14:paraId="2F7FA69C">
                  <w:pPr>
                    <w:pageBreakBefore w:val="0"/>
                    <w:kinsoku/>
                    <w:overflowPunct/>
                    <w:topLinePunct w:val="0"/>
                    <w:bidi w:val="0"/>
                    <w:jc w:val="center"/>
                    <w:rPr>
                      <w:rFonts w:hint="default" w:ascii="Times New Roman" w:hAnsi="Times New Roman" w:eastAsia="宋体" w:cs="Times New Roman"/>
                      <w:color w:val="auto"/>
                      <w:highlight w:val="none"/>
                    </w:rPr>
                  </w:pPr>
                  <w:r>
                    <w:rPr>
                      <w:rFonts w:hint="eastAsia" w:ascii="Times New Roman" w:hAnsi="Times New Roman" w:cs="Times New Roman"/>
                      <w:color w:val="auto"/>
                      <w:highlight w:val="none"/>
                      <w:lang w:val="en-US" w:eastAsia="zh-CN"/>
                    </w:rPr>
                    <w:t>化粪池</w:t>
                  </w:r>
                  <w:r>
                    <w:rPr>
                      <w:rFonts w:hint="default" w:ascii="Times New Roman" w:hAnsi="Times New Roman" w:eastAsia="宋体" w:cs="Times New Roman"/>
                      <w:color w:val="auto"/>
                      <w:highlight w:val="none"/>
                    </w:rPr>
                    <w:t>出水口</w:t>
                  </w:r>
                </w:p>
              </w:tc>
              <w:tc>
                <w:tcPr>
                  <w:tcW w:w="1415" w:type="pct"/>
                  <w:tcBorders>
                    <w:top w:val="single" w:color="auto" w:sz="4" w:space="0"/>
                  </w:tcBorders>
                  <w:noWrap w:val="0"/>
                  <w:vAlign w:val="center"/>
                </w:tcPr>
                <w:p w14:paraId="1955F30C">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pH</w:t>
                  </w:r>
                </w:p>
              </w:tc>
              <w:tc>
                <w:tcPr>
                  <w:tcW w:w="678" w:type="pct"/>
                  <w:tcBorders>
                    <w:right w:val="single" w:color="auto" w:sz="4" w:space="0"/>
                  </w:tcBorders>
                  <w:noWrap w:val="0"/>
                  <w:vAlign w:val="center"/>
                </w:tcPr>
                <w:p w14:paraId="7B854B93">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无量纲</w:t>
                  </w:r>
                </w:p>
              </w:tc>
              <w:tc>
                <w:tcPr>
                  <w:tcW w:w="617" w:type="pct"/>
                  <w:tcBorders>
                    <w:left w:val="single" w:color="auto" w:sz="4" w:space="0"/>
                    <w:right w:val="single" w:color="auto" w:sz="4" w:space="0"/>
                  </w:tcBorders>
                  <w:noWrap w:val="0"/>
                  <w:vAlign w:val="center"/>
                </w:tcPr>
                <w:p w14:paraId="53B409E9">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7.0-7.4</w:t>
                  </w:r>
                </w:p>
              </w:tc>
              <w:tc>
                <w:tcPr>
                  <w:tcW w:w="794" w:type="pct"/>
                  <w:noWrap w:val="0"/>
                  <w:vAlign w:val="center"/>
                </w:tcPr>
                <w:p w14:paraId="60874061">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6-9</w:t>
                  </w:r>
                </w:p>
              </w:tc>
              <w:tc>
                <w:tcPr>
                  <w:tcW w:w="812" w:type="pct"/>
                  <w:noWrap w:val="0"/>
                  <w:vAlign w:val="center"/>
                </w:tcPr>
                <w:p w14:paraId="61D13B0A">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6E5ED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45C3AC99">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7B3E7579">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化学需氧量</w:t>
                  </w:r>
                </w:p>
              </w:tc>
              <w:tc>
                <w:tcPr>
                  <w:tcW w:w="678" w:type="pct"/>
                  <w:tcBorders>
                    <w:right w:val="single" w:color="auto" w:sz="4" w:space="0"/>
                  </w:tcBorders>
                  <w:noWrap w:val="0"/>
                  <w:vAlign w:val="center"/>
                </w:tcPr>
                <w:p w14:paraId="10127E31">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0A8B8A12">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446</w:t>
                  </w:r>
                </w:p>
              </w:tc>
              <w:tc>
                <w:tcPr>
                  <w:tcW w:w="794" w:type="pct"/>
                  <w:noWrap w:val="0"/>
                  <w:vAlign w:val="center"/>
                </w:tcPr>
                <w:p w14:paraId="667C8D91">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500</w:t>
                  </w:r>
                </w:p>
              </w:tc>
              <w:tc>
                <w:tcPr>
                  <w:tcW w:w="812" w:type="pct"/>
                  <w:noWrap w:val="0"/>
                  <w:vAlign w:val="center"/>
                </w:tcPr>
                <w:p w14:paraId="78E43E01">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达标</w:t>
                  </w:r>
                </w:p>
              </w:tc>
            </w:tr>
            <w:tr w14:paraId="68AC2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5E0EFA54">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79C53615">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五日生化需氧量</w:t>
                  </w:r>
                </w:p>
              </w:tc>
              <w:tc>
                <w:tcPr>
                  <w:tcW w:w="678" w:type="pct"/>
                  <w:tcBorders>
                    <w:right w:val="single" w:color="auto" w:sz="4" w:space="0"/>
                  </w:tcBorders>
                  <w:noWrap w:val="0"/>
                  <w:vAlign w:val="center"/>
                </w:tcPr>
                <w:p w14:paraId="1EC08EEC">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345E4056">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96.1</w:t>
                  </w:r>
                </w:p>
              </w:tc>
              <w:tc>
                <w:tcPr>
                  <w:tcW w:w="794" w:type="pct"/>
                  <w:noWrap w:val="0"/>
                  <w:vAlign w:val="center"/>
                </w:tcPr>
                <w:p w14:paraId="72809FDB">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lang w:val="en-US" w:eastAsia="zh-CN"/>
                    </w:rPr>
                    <w:t>0</w:t>
                  </w:r>
                </w:p>
              </w:tc>
              <w:tc>
                <w:tcPr>
                  <w:tcW w:w="812" w:type="pct"/>
                  <w:noWrap w:val="0"/>
                  <w:vAlign w:val="center"/>
                </w:tcPr>
                <w:p w14:paraId="12D6022D">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206F2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4BB491FA">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1FA3C8E6">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悬浮物</w:t>
                  </w:r>
                </w:p>
              </w:tc>
              <w:tc>
                <w:tcPr>
                  <w:tcW w:w="678" w:type="pct"/>
                  <w:tcBorders>
                    <w:right w:val="single" w:color="auto" w:sz="4" w:space="0"/>
                  </w:tcBorders>
                  <w:noWrap w:val="0"/>
                  <w:vAlign w:val="center"/>
                </w:tcPr>
                <w:p w14:paraId="7EAC2A6D">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4CF41602">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215</w:t>
                  </w:r>
                </w:p>
              </w:tc>
              <w:tc>
                <w:tcPr>
                  <w:tcW w:w="794" w:type="pct"/>
                  <w:noWrap w:val="0"/>
                  <w:vAlign w:val="center"/>
                </w:tcPr>
                <w:p w14:paraId="60B998A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400</w:t>
                  </w:r>
                </w:p>
              </w:tc>
              <w:tc>
                <w:tcPr>
                  <w:tcW w:w="812" w:type="pct"/>
                  <w:noWrap w:val="0"/>
                  <w:vAlign w:val="center"/>
                </w:tcPr>
                <w:p w14:paraId="7079D03A">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5C3C5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14427A40">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3ECA175A">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氨氮</w:t>
                  </w:r>
                </w:p>
              </w:tc>
              <w:tc>
                <w:tcPr>
                  <w:tcW w:w="678" w:type="pct"/>
                  <w:tcBorders>
                    <w:right w:val="single" w:color="auto" w:sz="4" w:space="0"/>
                  </w:tcBorders>
                  <w:noWrap w:val="0"/>
                  <w:vAlign w:val="center"/>
                </w:tcPr>
                <w:p w14:paraId="53CEE8A2">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087F1679">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38.2</w:t>
                  </w:r>
                </w:p>
              </w:tc>
              <w:tc>
                <w:tcPr>
                  <w:tcW w:w="794" w:type="pct"/>
                  <w:noWrap w:val="0"/>
                  <w:vAlign w:val="center"/>
                </w:tcPr>
                <w:p w14:paraId="7F071F03">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812" w:type="pct"/>
                  <w:noWrap w:val="0"/>
                  <w:vAlign w:val="center"/>
                </w:tcPr>
                <w:p w14:paraId="38BD4A56">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达标</w:t>
                  </w:r>
                </w:p>
              </w:tc>
            </w:tr>
            <w:tr w14:paraId="1F9CB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37CF3197">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35F1496C">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总磷</w:t>
                  </w:r>
                </w:p>
              </w:tc>
              <w:tc>
                <w:tcPr>
                  <w:tcW w:w="678" w:type="pct"/>
                  <w:tcBorders>
                    <w:right w:val="single" w:color="auto" w:sz="4" w:space="0"/>
                  </w:tcBorders>
                  <w:noWrap w:val="0"/>
                  <w:vAlign w:val="center"/>
                </w:tcPr>
                <w:p w14:paraId="4EEA0C78">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261A9BD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7.81</w:t>
                  </w:r>
                </w:p>
              </w:tc>
              <w:tc>
                <w:tcPr>
                  <w:tcW w:w="794" w:type="pct"/>
                  <w:noWrap w:val="0"/>
                  <w:vAlign w:val="center"/>
                </w:tcPr>
                <w:p w14:paraId="725840E9">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812" w:type="pct"/>
                  <w:noWrap w:val="0"/>
                  <w:vAlign w:val="center"/>
                </w:tcPr>
                <w:p w14:paraId="34E48CC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4189B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6185B3ED">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3302C443">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总氮</w:t>
                  </w:r>
                </w:p>
              </w:tc>
              <w:tc>
                <w:tcPr>
                  <w:tcW w:w="678" w:type="pct"/>
                  <w:tcBorders>
                    <w:right w:val="single" w:color="auto" w:sz="4" w:space="0"/>
                  </w:tcBorders>
                  <w:noWrap w:val="0"/>
                  <w:vAlign w:val="center"/>
                </w:tcPr>
                <w:p w14:paraId="0E639A9B">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35E1E39D">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63.8</w:t>
                  </w:r>
                </w:p>
              </w:tc>
              <w:tc>
                <w:tcPr>
                  <w:tcW w:w="794" w:type="pct"/>
                  <w:noWrap w:val="0"/>
                  <w:vAlign w:val="center"/>
                </w:tcPr>
                <w:p w14:paraId="7170E557">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812" w:type="pct"/>
                  <w:noWrap w:val="0"/>
                  <w:vAlign w:val="center"/>
                </w:tcPr>
                <w:p w14:paraId="2BD7D41F">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73DF0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83" w:type="pct"/>
                  <w:vMerge w:val="continue"/>
                  <w:noWrap w:val="0"/>
                  <w:vAlign w:val="center"/>
                </w:tcPr>
                <w:p w14:paraId="0E8E551A">
                  <w:pPr>
                    <w:pageBreakBefore w:val="0"/>
                    <w:kinsoku/>
                    <w:overflowPunct/>
                    <w:topLinePunct w:val="0"/>
                    <w:bidi w:val="0"/>
                    <w:jc w:val="center"/>
                    <w:rPr>
                      <w:rFonts w:hint="default" w:ascii="Times New Roman" w:hAnsi="Times New Roman" w:eastAsia="宋体" w:cs="Times New Roman"/>
                      <w:color w:val="auto"/>
                      <w:highlight w:val="none"/>
                    </w:rPr>
                  </w:pPr>
                </w:p>
              </w:tc>
              <w:tc>
                <w:tcPr>
                  <w:tcW w:w="1415" w:type="pct"/>
                  <w:noWrap w:val="0"/>
                  <w:vAlign w:val="center"/>
                </w:tcPr>
                <w:p w14:paraId="5AE1D6B8">
                  <w:pPr>
                    <w:pageBreakBefore w:val="0"/>
                    <w:kinsoku/>
                    <w:overflowPunct/>
                    <w:topLinePunct w:val="0"/>
                    <w:bidi w:val="0"/>
                    <w:jc w:val="center"/>
                    <w:rPr>
                      <w:rFonts w:hint="eastAsia" w:ascii="Times New Roman" w:hAnsi="Times New Roman" w:eastAsia="宋体" w:cs="Times New Roman"/>
                      <w:snapToGrid w:val="0"/>
                      <w:color w:val="auto"/>
                      <w:kern w:val="0"/>
                      <w:highlight w:val="none"/>
                      <w:lang w:eastAsia="zh-CN"/>
                    </w:rPr>
                  </w:pPr>
                  <w:r>
                    <w:rPr>
                      <w:rFonts w:hint="eastAsia" w:ascii="Times New Roman" w:hAnsi="Times New Roman" w:cs="Times New Roman"/>
                      <w:color w:val="auto"/>
                      <w:highlight w:val="none"/>
                      <w:lang w:val="en-US" w:eastAsia="zh-CN"/>
                    </w:rPr>
                    <w:t>动植物油</w:t>
                  </w:r>
                </w:p>
              </w:tc>
              <w:tc>
                <w:tcPr>
                  <w:tcW w:w="678" w:type="pct"/>
                  <w:tcBorders>
                    <w:right w:val="single" w:color="auto" w:sz="4" w:space="0"/>
                  </w:tcBorders>
                  <w:noWrap w:val="0"/>
                  <w:vAlign w:val="center"/>
                </w:tcPr>
                <w:p w14:paraId="299ABC1C">
                  <w:pPr>
                    <w:pageBreakBefore w:val="0"/>
                    <w:kinsoku/>
                    <w:overflowPunct/>
                    <w:topLinePunct w:val="0"/>
                    <w:bidi w:val="0"/>
                    <w:jc w:val="center"/>
                    <w:rPr>
                      <w:rFonts w:hint="default" w:ascii="Times New Roman" w:hAnsi="Times New Roman" w:eastAsia="宋体" w:cs="Times New Roman"/>
                      <w:snapToGrid w:val="0"/>
                      <w:color w:val="auto"/>
                      <w:kern w:val="0"/>
                      <w:highlight w:val="none"/>
                    </w:rPr>
                  </w:pPr>
                  <w:r>
                    <w:rPr>
                      <w:rFonts w:hint="default" w:ascii="Times New Roman" w:hAnsi="Times New Roman" w:eastAsia="宋体" w:cs="Times New Roman"/>
                      <w:color w:val="auto"/>
                      <w:highlight w:val="none"/>
                    </w:rPr>
                    <w:t>mg/L</w:t>
                  </w:r>
                </w:p>
              </w:tc>
              <w:tc>
                <w:tcPr>
                  <w:tcW w:w="617" w:type="pct"/>
                  <w:tcBorders>
                    <w:left w:val="single" w:color="auto" w:sz="4" w:space="0"/>
                    <w:right w:val="single" w:color="auto" w:sz="4" w:space="0"/>
                  </w:tcBorders>
                  <w:noWrap w:val="0"/>
                  <w:vAlign w:val="center"/>
                </w:tcPr>
                <w:p w14:paraId="64492CE7">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0.63</w:t>
                  </w:r>
                </w:p>
              </w:tc>
              <w:tc>
                <w:tcPr>
                  <w:tcW w:w="794" w:type="pct"/>
                  <w:noWrap w:val="0"/>
                  <w:vAlign w:val="center"/>
                </w:tcPr>
                <w:p w14:paraId="7211E2F8">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100</w:t>
                  </w:r>
                </w:p>
              </w:tc>
              <w:tc>
                <w:tcPr>
                  <w:tcW w:w="812" w:type="pct"/>
                  <w:noWrap w:val="0"/>
                  <w:vAlign w:val="center"/>
                </w:tcPr>
                <w:p w14:paraId="5D1F2CF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bl>
          <w:p w14:paraId="4776E875">
            <w:pPr>
              <w:spacing w:line="360" w:lineRule="auto"/>
              <w:ind w:right="105" w:rightChars="50" w:firstLine="480" w:firstLineChars="200"/>
              <w:rPr>
                <w:rFonts w:hint="default" w:cs="Times New Roman"/>
                <w:color w:val="auto"/>
                <w:kern w:val="0"/>
                <w:sz w:val="24"/>
                <w:szCs w:val="24"/>
                <w:highlight w:val="none"/>
                <w:lang w:val="en-US" w:eastAsia="zh-CN"/>
              </w:rPr>
            </w:pPr>
            <w:r>
              <w:rPr>
                <w:rFonts w:hint="eastAsia" w:cs="Times New Roman"/>
                <w:color w:val="auto"/>
                <w:sz w:val="24"/>
                <w:szCs w:val="24"/>
                <w:highlight w:val="none"/>
                <w:lang w:val="en-US" w:eastAsia="zh-CN"/>
              </w:rPr>
              <w:t>现有</w:t>
            </w:r>
            <w:r>
              <w:rPr>
                <w:rFonts w:hint="default" w:ascii="Times New Roman" w:hAnsi="Times New Roman" w:eastAsia="宋体" w:cs="Times New Roman"/>
                <w:color w:val="auto"/>
                <w:kern w:val="0"/>
                <w:sz w:val="24"/>
                <w:szCs w:val="24"/>
                <w:highlight w:val="none"/>
              </w:rPr>
              <w:t>项目生活污水排放量为</w:t>
            </w:r>
            <w:r>
              <w:rPr>
                <w:rFonts w:hint="eastAsia" w:cs="Times New Roman"/>
                <w:color w:val="auto"/>
                <w:kern w:val="0"/>
                <w:sz w:val="24"/>
                <w:szCs w:val="24"/>
                <w:highlight w:val="none"/>
                <w:lang w:val="en-US" w:eastAsia="zh-CN"/>
              </w:rPr>
              <w:t>0.44</w:t>
            </w:r>
            <w:r>
              <w:rPr>
                <w:rFonts w:hint="default" w:ascii="Times New Roman" w:hAnsi="Times New Roman" w:eastAsia="宋体" w:cs="Times New Roman"/>
                <w:color w:val="auto"/>
                <w:kern w:val="0"/>
                <w:sz w:val="24"/>
                <w:szCs w:val="24"/>
                <w:highlight w:val="none"/>
              </w:rPr>
              <w:t>m³/d，</w:t>
            </w:r>
            <w:r>
              <w:rPr>
                <w:rFonts w:hint="eastAsia" w:cs="Times New Roman"/>
                <w:color w:val="auto"/>
                <w:kern w:val="0"/>
                <w:sz w:val="24"/>
                <w:szCs w:val="24"/>
                <w:highlight w:val="none"/>
                <w:lang w:val="en-US" w:eastAsia="zh-CN"/>
              </w:rPr>
              <w:t>110</w:t>
            </w:r>
            <w:r>
              <w:rPr>
                <w:rFonts w:hint="default" w:ascii="Times New Roman" w:hAnsi="Times New Roman" w:eastAsia="宋体" w:cs="Times New Roman"/>
                <w:color w:val="auto"/>
                <w:kern w:val="0"/>
                <w:sz w:val="24"/>
                <w:szCs w:val="24"/>
                <w:highlight w:val="none"/>
              </w:rPr>
              <w:t>m³/a，其中COD排放量为：0.</w:t>
            </w:r>
            <w:r>
              <w:rPr>
                <w:rFonts w:hint="eastAsia" w:cs="Times New Roman"/>
                <w:color w:val="auto"/>
                <w:kern w:val="0"/>
                <w:sz w:val="24"/>
                <w:szCs w:val="24"/>
                <w:highlight w:val="none"/>
                <w:lang w:val="en-US" w:eastAsia="zh-CN"/>
              </w:rPr>
              <w:t>05</w:t>
            </w:r>
            <w:r>
              <w:rPr>
                <w:rFonts w:hint="default" w:ascii="Times New Roman" w:hAnsi="Times New Roman" w:eastAsia="宋体" w:cs="Times New Roman"/>
                <w:color w:val="auto"/>
                <w:kern w:val="0"/>
                <w:sz w:val="24"/>
                <w:szCs w:val="24"/>
                <w:highlight w:val="none"/>
              </w:rPr>
              <w:t>t/a，氨氮排放量为：</w:t>
            </w:r>
            <w:r>
              <w:rPr>
                <w:rFonts w:hint="eastAsia" w:cs="Times New Roman"/>
                <w:color w:val="auto"/>
                <w:kern w:val="0"/>
                <w:sz w:val="24"/>
                <w:szCs w:val="24"/>
                <w:highlight w:val="none"/>
                <w:lang w:val="en-US" w:eastAsia="zh-CN"/>
              </w:rPr>
              <w:t>0.005</w:t>
            </w:r>
            <w:r>
              <w:rPr>
                <w:rFonts w:hint="default" w:ascii="Times New Roman" w:hAnsi="Times New Roman" w:eastAsia="宋体" w:cs="Times New Roman"/>
                <w:color w:val="auto"/>
                <w:kern w:val="0"/>
                <w:sz w:val="24"/>
                <w:szCs w:val="24"/>
                <w:highlight w:val="none"/>
              </w:rPr>
              <w:t>t/a，总磷排放量为：0.00</w:t>
            </w:r>
            <w:r>
              <w:rPr>
                <w:rFonts w:hint="eastAsia" w:cs="Times New Roman"/>
                <w:color w:val="auto"/>
                <w:kern w:val="0"/>
                <w:sz w:val="24"/>
                <w:szCs w:val="24"/>
                <w:highlight w:val="none"/>
                <w:lang w:val="en-US" w:eastAsia="zh-CN"/>
              </w:rPr>
              <w:t>09</w:t>
            </w:r>
            <w:r>
              <w:rPr>
                <w:rFonts w:hint="default" w:ascii="Times New Roman" w:hAnsi="Times New Roman" w:eastAsia="宋体" w:cs="Times New Roman"/>
                <w:color w:val="auto"/>
                <w:kern w:val="0"/>
                <w:sz w:val="24"/>
                <w:szCs w:val="24"/>
                <w:highlight w:val="none"/>
              </w:rPr>
              <w:t>t/a。</w:t>
            </w:r>
            <w:r>
              <w:rPr>
                <w:rFonts w:hint="eastAsia" w:cs="Times New Roman"/>
                <w:color w:val="auto"/>
                <w:kern w:val="0"/>
                <w:sz w:val="24"/>
                <w:szCs w:val="24"/>
                <w:highlight w:val="none"/>
                <w:lang w:val="en-US" w:eastAsia="zh-CN"/>
              </w:rPr>
              <w:t>现有生活废水经化粪池处理</w:t>
            </w:r>
            <w:r>
              <w:rPr>
                <w:rFonts w:hint="eastAsia" w:ascii="Times New Roman" w:hAnsi="Times New Roman" w:eastAsia="宋体" w:cs="Times New Roman"/>
                <w:color w:val="auto"/>
                <w:sz w:val="24"/>
                <w:szCs w:val="24"/>
                <w:highlight w:val="none"/>
                <w:lang w:val="en-US" w:eastAsia="zh-CN"/>
              </w:rPr>
              <w:t>达到</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eastAsia="宋体" w:cs="Times New Roman"/>
                <w:color w:val="auto"/>
                <w:sz w:val="24"/>
                <w:szCs w:val="24"/>
                <w:highlight w:val="none"/>
              </w:rPr>
              <w:t>》(GB</w:t>
            </w:r>
            <w:r>
              <w:rPr>
                <w:rFonts w:hint="eastAsia" w:ascii="Times New Roman" w:hAnsi="Times New Roman" w:eastAsia="宋体" w:cs="Times New Roman"/>
                <w:color w:val="auto"/>
                <w:sz w:val="24"/>
                <w:szCs w:val="24"/>
                <w:highlight w:val="none"/>
                <w:lang w:val="en-US" w:eastAsia="zh-CN"/>
              </w:rPr>
              <w:t>8978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1996</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三级标准</w:t>
            </w:r>
            <w:r>
              <w:rPr>
                <w:color w:val="auto"/>
                <w:sz w:val="24"/>
                <w:szCs w:val="24"/>
                <w:highlight w:val="none"/>
              </w:rPr>
              <w:t>后委托</w:t>
            </w:r>
            <w:r>
              <w:rPr>
                <w:rFonts w:hint="eastAsia"/>
                <w:color w:val="auto"/>
                <w:sz w:val="24"/>
                <w:szCs w:val="24"/>
                <w:highlight w:val="none"/>
              </w:rPr>
              <w:t>寻甸县</w:t>
            </w:r>
            <w:r>
              <w:rPr>
                <w:color w:val="auto"/>
                <w:sz w:val="24"/>
                <w:szCs w:val="24"/>
                <w:highlight w:val="none"/>
              </w:rPr>
              <w:t>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rPr>
              <w:t>，运至寻甸县污水处理厂处理，不外排</w:t>
            </w:r>
            <w:r>
              <w:rPr>
                <w:rFonts w:hint="eastAsia"/>
                <w:color w:val="auto"/>
                <w:sz w:val="24"/>
                <w:szCs w:val="24"/>
                <w:highlight w:val="none"/>
                <w:lang w:eastAsia="zh-CN"/>
              </w:rPr>
              <w:t>。</w:t>
            </w:r>
          </w:p>
          <w:p w14:paraId="7363E6FD">
            <w:pPr>
              <w:pStyle w:val="66"/>
              <w:pageBreakBefore w:val="0"/>
              <w:kinsoku/>
              <w:overflowPunct/>
              <w:topLinePunct w:val="0"/>
              <w:bidi w:val="0"/>
              <w:spacing w:line="360" w:lineRule="auto"/>
              <w:ind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cs="Times New Roman"/>
                <w:color w:val="auto"/>
                <w:kern w:val="0"/>
                <w:sz w:val="24"/>
                <w:szCs w:val="24"/>
                <w:highlight w:val="none"/>
                <w:lang w:val="en-US" w:eastAsia="zh-CN"/>
              </w:rPr>
              <w:t>根据监测结果，</w:t>
            </w:r>
            <w:r>
              <w:rPr>
                <w:rFonts w:hint="default" w:ascii="Times New Roman" w:hAnsi="Times New Roman" w:cs="Times New Roman"/>
                <w:color w:val="auto"/>
                <w:sz w:val="24"/>
                <w:szCs w:val="24"/>
                <w:highlight w:val="none"/>
                <w:lang w:eastAsia="zh-CN"/>
              </w:rPr>
              <w:t>现有项目</w:t>
            </w:r>
            <w:r>
              <w:rPr>
                <w:rFonts w:hint="eastAsia" w:cs="Times New Roman"/>
                <w:color w:val="auto"/>
                <w:sz w:val="24"/>
                <w:szCs w:val="24"/>
                <w:highlight w:val="none"/>
                <w:lang w:val="en-US" w:eastAsia="zh-CN"/>
              </w:rPr>
              <w:t>生活</w:t>
            </w:r>
            <w:r>
              <w:rPr>
                <w:rFonts w:hint="default" w:ascii="Times New Roman" w:hAnsi="Times New Roman" w:eastAsia="宋体" w:cs="Times New Roman"/>
                <w:color w:val="auto"/>
                <w:sz w:val="24"/>
                <w:szCs w:val="24"/>
                <w:highlight w:val="none"/>
              </w:rPr>
              <w:t>废水污染物指标均能满足《</w:t>
            </w:r>
            <w:r>
              <w:rPr>
                <w:rFonts w:hint="eastAsia"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eastAsia="宋体" w:cs="Times New Roman"/>
                <w:color w:val="auto"/>
                <w:sz w:val="24"/>
                <w:szCs w:val="24"/>
                <w:highlight w:val="none"/>
              </w:rPr>
              <w:t>》(GB</w:t>
            </w:r>
            <w:r>
              <w:rPr>
                <w:rFonts w:hint="eastAsia" w:ascii="Times New Roman" w:hAnsi="Times New Roman" w:eastAsia="宋体" w:cs="Times New Roman"/>
                <w:color w:val="auto"/>
                <w:sz w:val="24"/>
                <w:szCs w:val="24"/>
                <w:highlight w:val="none"/>
                <w:lang w:val="en-US" w:eastAsia="zh-CN"/>
              </w:rPr>
              <w:t>8978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1996</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三级标准</w:t>
            </w:r>
            <w:r>
              <w:rPr>
                <w:rFonts w:hint="default" w:ascii="Times New Roman" w:hAnsi="Times New Roman" w:eastAsia="宋体" w:cs="Times New Roman"/>
                <w:color w:val="auto"/>
                <w:kern w:val="0"/>
                <w:sz w:val="24"/>
                <w:szCs w:val="24"/>
                <w:highlight w:val="none"/>
              </w:rPr>
              <w:t>要求。</w:t>
            </w:r>
          </w:p>
          <w:p w14:paraId="49E0E0D2">
            <w:pPr>
              <w:pStyle w:val="66"/>
              <w:pageBreakBefore w:val="0"/>
              <w:kinsoku/>
              <w:overflowPunct/>
              <w:topLinePunct w:val="0"/>
              <w:bidi w:val="0"/>
              <w:spacing w:line="360" w:lineRule="auto"/>
              <w:ind w:firstLine="482" w:firstLineChars="200"/>
              <w:rPr>
                <w:rFonts w:hint="default" w:ascii="Times New Roman" w:hAnsi="Times New Roman" w:eastAsia="宋体" w:cs="Times New Roman"/>
                <w:color w:val="auto"/>
                <w:sz w:val="24"/>
                <w:szCs w:val="24"/>
                <w:highlight w:val="none"/>
              </w:rPr>
            </w:pPr>
            <w:r>
              <w:rPr>
                <w:rFonts w:hint="eastAsia"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rPr>
              <w:t>噪声</w:t>
            </w:r>
          </w:p>
          <w:p w14:paraId="6ECE6B87">
            <w:pPr>
              <w:pageBreakBefore w:val="0"/>
              <w:kinsoku/>
              <w:overflowPunct/>
              <w:topLinePunct w:val="0"/>
              <w:bidi w:val="0"/>
              <w:spacing w:line="360" w:lineRule="auto"/>
              <w:ind w:firstLine="504" w:firstLineChars="200"/>
              <w:rPr>
                <w:rFonts w:hint="default" w:ascii="Times New Roman" w:hAnsi="Times New Roman" w:eastAsia="宋体" w:cs="Times New Roman"/>
                <w:color w:val="auto"/>
                <w:spacing w:val="6"/>
                <w:sz w:val="24"/>
                <w:szCs w:val="24"/>
                <w:highlight w:val="none"/>
              </w:rPr>
            </w:pPr>
            <w:r>
              <w:rPr>
                <w:rFonts w:hint="eastAsia" w:ascii="Times New Roman" w:hAnsi="Times New Roman" w:cs="Times New Roman"/>
                <w:color w:val="auto"/>
                <w:spacing w:val="6"/>
                <w:sz w:val="24"/>
                <w:szCs w:val="24"/>
                <w:highlight w:val="none"/>
                <w:lang w:val="en-US" w:eastAsia="zh-CN"/>
              </w:rPr>
              <w:t>现有</w:t>
            </w:r>
            <w:r>
              <w:rPr>
                <w:rFonts w:hint="default" w:ascii="Times New Roman" w:hAnsi="Times New Roman" w:eastAsia="宋体" w:cs="Times New Roman"/>
                <w:color w:val="auto"/>
                <w:spacing w:val="6"/>
                <w:sz w:val="24"/>
                <w:szCs w:val="24"/>
                <w:highlight w:val="none"/>
              </w:rPr>
              <w:t>项目营运期噪声主要来源于</w:t>
            </w:r>
            <w:r>
              <w:rPr>
                <w:rFonts w:hint="eastAsia" w:ascii="Times New Roman" w:hAnsi="Times New Roman" w:cs="Times New Roman"/>
                <w:color w:val="auto"/>
                <w:spacing w:val="6"/>
                <w:sz w:val="24"/>
                <w:szCs w:val="24"/>
                <w:highlight w:val="none"/>
                <w:lang w:val="en-US" w:eastAsia="zh-CN"/>
              </w:rPr>
              <w:t>车辆噪声及搬运噪声</w:t>
            </w:r>
            <w:r>
              <w:rPr>
                <w:rFonts w:hint="default" w:ascii="Times New Roman" w:hAnsi="Times New Roman" w:eastAsia="宋体" w:cs="Times New Roman"/>
                <w:color w:val="auto"/>
                <w:spacing w:val="6"/>
                <w:sz w:val="24"/>
                <w:szCs w:val="24"/>
                <w:highlight w:val="none"/>
              </w:rPr>
              <w:t>；项目通过</w:t>
            </w:r>
            <w:r>
              <w:rPr>
                <w:rFonts w:hint="eastAsia" w:ascii="Times New Roman" w:hAnsi="Times New Roman" w:cs="Times New Roman"/>
                <w:color w:val="auto"/>
                <w:spacing w:val="6"/>
                <w:sz w:val="24"/>
                <w:szCs w:val="24"/>
                <w:highlight w:val="none"/>
                <w:lang w:val="en-US" w:eastAsia="zh-CN"/>
              </w:rPr>
              <w:t>减速、禁鸣</w:t>
            </w:r>
            <w:r>
              <w:rPr>
                <w:rFonts w:hint="default" w:ascii="Times New Roman" w:hAnsi="Times New Roman" w:eastAsia="宋体" w:cs="Times New Roman"/>
                <w:color w:val="auto"/>
                <w:spacing w:val="6"/>
                <w:sz w:val="24"/>
                <w:szCs w:val="24"/>
                <w:highlight w:val="none"/>
              </w:rPr>
              <w:t>等措施减小噪声排放。</w:t>
            </w:r>
          </w:p>
          <w:p w14:paraId="5D3BE791">
            <w:pPr>
              <w:pStyle w:val="66"/>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bidi="ar"/>
              </w:rPr>
              <w:t>根据云南鼎祺检测有限公司202</w:t>
            </w:r>
            <w:r>
              <w:rPr>
                <w:rFonts w:hint="eastAsia"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bidi="ar"/>
              </w:rPr>
              <w:t>年</w:t>
            </w:r>
            <w:r>
              <w:rPr>
                <w:rFonts w:hint="eastAsia" w:cs="Times New Roman"/>
                <w:color w:val="auto"/>
                <w:kern w:val="0"/>
                <w:sz w:val="24"/>
                <w:szCs w:val="24"/>
                <w:highlight w:val="none"/>
                <w:lang w:val="en-US" w:eastAsia="zh-CN" w:bidi="ar"/>
              </w:rPr>
              <w:t>4月5日-6日</w:t>
            </w:r>
            <w:r>
              <w:rPr>
                <w:rFonts w:hint="default" w:ascii="Times New Roman" w:hAnsi="Times New Roman" w:eastAsia="宋体" w:cs="Times New Roman"/>
                <w:color w:val="auto"/>
                <w:kern w:val="0"/>
                <w:sz w:val="24"/>
                <w:szCs w:val="24"/>
                <w:highlight w:val="none"/>
                <w:lang w:bidi="ar"/>
              </w:rPr>
              <w:t>《昆明优竹商贸有限公司烟花爆竹存储仓库新建项目</w:t>
            </w:r>
            <w:r>
              <w:rPr>
                <w:rFonts w:hint="eastAsia" w:cs="Times New Roman"/>
                <w:color w:val="auto"/>
                <w:kern w:val="0"/>
                <w:sz w:val="24"/>
                <w:szCs w:val="24"/>
                <w:highlight w:val="none"/>
                <w:lang w:val="en-US" w:eastAsia="zh-CN" w:bidi="ar"/>
              </w:rPr>
              <w:t>竣工验收</w:t>
            </w:r>
            <w:r>
              <w:rPr>
                <w:rFonts w:hint="default" w:ascii="Times New Roman" w:hAnsi="Times New Roman" w:eastAsia="宋体" w:cs="Times New Roman"/>
                <w:color w:val="auto"/>
                <w:kern w:val="0"/>
                <w:sz w:val="24"/>
                <w:szCs w:val="24"/>
                <w:highlight w:val="none"/>
                <w:lang w:bidi="ar"/>
              </w:rPr>
              <w:t>检测报告》</w:t>
            </w:r>
            <w:r>
              <w:rPr>
                <w:rFonts w:hint="eastAsia" w:ascii="Times New Roman" w:hAnsi="Times New Roman" w:cs="Times New Roman"/>
                <w:color w:val="auto"/>
                <w:kern w:val="0"/>
                <w:sz w:val="24"/>
                <w:szCs w:val="24"/>
                <w:highlight w:val="none"/>
                <w:lang w:eastAsia="zh-CN" w:bidi="ar"/>
              </w:rPr>
              <w:t>，</w:t>
            </w:r>
            <w:r>
              <w:rPr>
                <w:rFonts w:hint="default" w:ascii="Times New Roman" w:hAnsi="Times New Roman" w:eastAsia="宋体" w:cs="Times New Roman"/>
                <w:color w:val="auto"/>
                <w:sz w:val="24"/>
                <w:szCs w:val="24"/>
                <w:highlight w:val="none"/>
              </w:rPr>
              <w:t>噪声监测结果见</w:t>
            </w:r>
            <w:r>
              <w:rPr>
                <w:rFonts w:hint="eastAsia"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rPr>
              <w:t>表。</w:t>
            </w:r>
          </w:p>
          <w:p w14:paraId="2BB787D5">
            <w:pPr>
              <w:pStyle w:val="66"/>
              <w:pageBreakBefore w:val="0"/>
              <w:kinsoku/>
              <w:overflowPunct/>
              <w:topLinePunct w:val="0"/>
              <w:bidi w:val="0"/>
              <w:spacing w:line="240" w:lineRule="auto"/>
              <w:ind w:firstLine="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18</w:t>
            </w:r>
            <w:r>
              <w:rPr>
                <w:rFonts w:hint="default" w:ascii="Times New Roman" w:hAnsi="Times New Roman" w:eastAsia="宋体" w:cs="Times New Roman"/>
                <w:b/>
                <w:bCs/>
                <w:color w:val="auto"/>
                <w:sz w:val="21"/>
                <w:szCs w:val="21"/>
                <w:highlight w:val="none"/>
              </w:rPr>
              <w:t xml:space="preserve">  厂界噪声监测结果一览表   单位：dB(A)</w:t>
            </w:r>
          </w:p>
          <w:tbl>
            <w:tblPr>
              <w:tblStyle w:val="23"/>
              <w:tblpPr w:leftFromText="180" w:rightFromText="180" w:vertAnchor="text" w:horzAnchor="page" w:tblpX="242" w:tblpY="11"/>
              <w:tblOverlap w:val="never"/>
              <w:tblW w:w="49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6"/>
              <w:gridCol w:w="1569"/>
              <w:gridCol w:w="1395"/>
              <w:gridCol w:w="1742"/>
              <w:gridCol w:w="1665"/>
            </w:tblGrid>
            <w:tr w14:paraId="40AF3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0" w:type="pct"/>
                  <w:tcBorders>
                    <w:left w:val="single" w:color="000000" w:sz="4" w:space="0"/>
                  </w:tcBorders>
                  <w:noWrap w:val="0"/>
                  <w:vAlign w:val="center"/>
                </w:tcPr>
                <w:p w14:paraId="12DAE905">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监测点位</w:t>
                  </w:r>
                </w:p>
              </w:tc>
              <w:tc>
                <w:tcPr>
                  <w:tcW w:w="1021" w:type="pct"/>
                  <w:noWrap w:val="0"/>
                  <w:vAlign w:val="center"/>
                </w:tcPr>
                <w:p w14:paraId="6CC61F28">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昼间</w:t>
                  </w:r>
                </w:p>
              </w:tc>
              <w:tc>
                <w:tcPr>
                  <w:tcW w:w="908" w:type="pct"/>
                  <w:tcBorders>
                    <w:right w:val="single" w:color="000000" w:sz="4" w:space="0"/>
                  </w:tcBorders>
                  <w:noWrap w:val="0"/>
                  <w:vAlign w:val="center"/>
                </w:tcPr>
                <w:p w14:paraId="5506D547">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夜间</w:t>
                  </w:r>
                </w:p>
              </w:tc>
              <w:tc>
                <w:tcPr>
                  <w:tcW w:w="1134" w:type="pct"/>
                  <w:tcBorders>
                    <w:right w:val="single" w:color="000000" w:sz="4" w:space="0"/>
                  </w:tcBorders>
                  <w:noWrap w:val="0"/>
                  <w:vAlign w:val="center"/>
                </w:tcPr>
                <w:p w14:paraId="68C8B31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执行标准</w:t>
                  </w:r>
                </w:p>
              </w:tc>
              <w:tc>
                <w:tcPr>
                  <w:tcW w:w="1084" w:type="pct"/>
                  <w:tcBorders>
                    <w:right w:val="single" w:color="000000" w:sz="4" w:space="0"/>
                  </w:tcBorders>
                  <w:noWrap w:val="0"/>
                  <w:vAlign w:val="center"/>
                </w:tcPr>
                <w:p w14:paraId="4B3AFD44">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是否达标</w:t>
                  </w:r>
                </w:p>
              </w:tc>
            </w:tr>
            <w:tr w14:paraId="5921F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0" w:type="pct"/>
                  <w:tcBorders>
                    <w:left w:val="single" w:color="000000" w:sz="4" w:space="0"/>
                  </w:tcBorders>
                  <w:noWrap w:val="0"/>
                  <w:vAlign w:val="center"/>
                </w:tcPr>
                <w:p w14:paraId="42E86DD6">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vertAlign w:val="superscript"/>
                    </w:rPr>
                    <w:t>#</w:t>
                  </w:r>
                  <w:r>
                    <w:rPr>
                      <w:rFonts w:hint="default" w:ascii="Times New Roman" w:hAnsi="Times New Roman" w:eastAsia="宋体" w:cs="Times New Roman"/>
                      <w:color w:val="auto"/>
                      <w:highlight w:val="none"/>
                    </w:rPr>
                    <w:t xml:space="preserve"> (东侧厂界)</w:t>
                  </w:r>
                </w:p>
              </w:tc>
              <w:tc>
                <w:tcPr>
                  <w:tcW w:w="1021" w:type="pct"/>
                  <w:noWrap w:val="0"/>
                  <w:vAlign w:val="center"/>
                </w:tcPr>
                <w:p w14:paraId="6A1D510B">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52-53</w:t>
                  </w:r>
                </w:p>
              </w:tc>
              <w:tc>
                <w:tcPr>
                  <w:tcW w:w="908" w:type="pct"/>
                  <w:tcBorders>
                    <w:right w:val="single" w:color="000000" w:sz="4" w:space="0"/>
                  </w:tcBorders>
                  <w:noWrap w:val="0"/>
                  <w:vAlign w:val="center"/>
                </w:tcPr>
                <w:p w14:paraId="14E6C088">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39-40</w:t>
                  </w:r>
                </w:p>
              </w:tc>
              <w:tc>
                <w:tcPr>
                  <w:tcW w:w="1134" w:type="pct"/>
                  <w:tcBorders>
                    <w:right w:val="single" w:color="000000" w:sz="4" w:space="0"/>
                  </w:tcBorders>
                  <w:noWrap w:val="0"/>
                  <w:vAlign w:val="center"/>
                </w:tcPr>
                <w:p w14:paraId="764AADA1">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昼间6</w:t>
                  </w:r>
                  <w:r>
                    <w:rPr>
                      <w:rFonts w:hint="eastAsia" w:ascii="Times New Roman" w:hAnsi="Times New Roman"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、夜间5</w:t>
                  </w:r>
                  <w:r>
                    <w:rPr>
                      <w:rFonts w:hint="eastAsia" w:ascii="Times New Roman" w:hAnsi="Times New Roman" w:cs="Times New Roman"/>
                      <w:color w:val="auto"/>
                      <w:highlight w:val="none"/>
                      <w:lang w:val="en-US" w:eastAsia="zh-CN"/>
                    </w:rPr>
                    <w:t>0</w:t>
                  </w:r>
                </w:p>
              </w:tc>
              <w:tc>
                <w:tcPr>
                  <w:tcW w:w="1084" w:type="pct"/>
                  <w:tcBorders>
                    <w:right w:val="single" w:color="000000" w:sz="4" w:space="0"/>
                  </w:tcBorders>
                  <w:noWrap w:val="0"/>
                  <w:vAlign w:val="center"/>
                </w:tcPr>
                <w:p w14:paraId="1195D647">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0CA3E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50" w:type="pct"/>
                  <w:tcBorders>
                    <w:left w:val="single" w:color="000000" w:sz="4" w:space="0"/>
                  </w:tcBorders>
                  <w:noWrap w:val="0"/>
                  <w:vAlign w:val="center"/>
                </w:tcPr>
                <w:p w14:paraId="4A3EA105">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r>
                    <w:rPr>
                      <w:rFonts w:hint="default" w:ascii="Times New Roman" w:hAnsi="Times New Roman" w:eastAsia="宋体" w:cs="Times New Roman"/>
                      <w:color w:val="auto"/>
                      <w:highlight w:val="none"/>
                      <w:vertAlign w:val="superscript"/>
                    </w:rPr>
                    <w:t>#</w:t>
                  </w:r>
                  <w:r>
                    <w:rPr>
                      <w:rFonts w:hint="default" w:ascii="Times New Roman" w:hAnsi="Times New Roman" w:eastAsia="宋体" w:cs="Times New Roman"/>
                      <w:color w:val="auto"/>
                      <w:highlight w:val="none"/>
                    </w:rPr>
                    <w:t xml:space="preserve"> (北侧厂界)</w:t>
                  </w:r>
                </w:p>
              </w:tc>
              <w:tc>
                <w:tcPr>
                  <w:tcW w:w="1021" w:type="pct"/>
                  <w:noWrap w:val="0"/>
                  <w:vAlign w:val="center"/>
                </w:tcPr>
                <w:p w14:paraId="680183F0">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53-54</w:t>
                  </w:r>
                </w:p>
              </w:tc>
              <w:tc>
                <w:tcPr>
                  <w:tcW w:w="908" w:type="pct"/>
                  <w:tcBorders>
                    <w:right w:val="single" w:color="000000" w:sz="4" w:space="0"/>
                  </w:tcBorders>
                  <w:noWrap w:val="0"/>
                  <w:vAlign w:val="center"/>
                </w:tcPr>
                <w:p w14:paraId="238BEE9F">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40-41</w:t>
                  </w:r>
                </w:p>
              </w:tc>
              <w:tc>
                <w:tcPr>
                  <w:tcW w:w="1134" w:type="pct"/>
                  <w:tcBorders>
                    <w:right w:val="single" w:color="000000" w:sz="4" w:space="0"/>
                  </w:tcBorders>
                  <w:noWrap w:val="0"/>
                  <w:vAlign w:val="center"/>
                </w:tcPr>
                <w:p w14:paraId="375F8AB8">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昼间6</w:t>
                  </w:r>
                  <w:r>
                    <w:rPr>
                      <w:rFonts w:hint="eastAsia" w:ascii="Times New Roman" w:hAnsi="Times New Roman"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、夜间5</w:t>
                  </w:r>
                  <w:r>
                    <w:rPr>
                      <w:rFonts w:hint="eastAsia" w:ascii="Times New Roman" w:hAnsi="Times New Roman" w:cs="Times New Roman"/>
                      <w:color w:val="auto"/>
                      <w:highlight w:val="none"/>
                      <w:lang w:val="en-US" w:eastAsia="zh-CN"/>
                    </w:rPr>
                    <w:t>0</w:t>
                  </w:r>
                </w:p>
              </w:tc>
              <w:tc>
                <w:tcPr>
                  <w:tcW w:w="1084" w:type="pct"/>
                  <w:tcBorders>
                    <w:right w:val="single" w:color="000000" w:sz="4" w:space="0"/>
                  </w:tcBorders>
                  <w:noWrap w:val="0"/>
                  <w:vAlign w:val="center"/>
                </w:tcPr>
                <w:p w14:paraId="10B8A3E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3C5EB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50" w:type="pct"/>
                  <w:tcBorders>
                    <w:left w:val="single" w:color="000000" w:sz="4" w:space="0"/>
                  </w:tcBorders>
                  <w:noWrap w:val="0"/>
                  <w:vAlign w:val="center"/>
                </w:tcPr>
                <w:p w14:paraId="52F62811">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vertAlign w:val="superscript"/>
                    </w:rPr>
                    <w:t>#</w:t>
                  </w:r>
                  <w:r>
                    <w:rPr>
                      <w:rFonts w:hint="default" w:ascii="Times New Roman" w:hAnsi="Times New Roman" w:eastAsia="宋体" w:cs="Times New Roman"/>
                      <w:color w:val="auto"/>
                      <w:highlight w:val="none"/>
                    </w:rPr>
                    <w:t xml:space="preserve"> (西侧厂界)</w:t>
                  </w:r>
                </w:p>
              </w:tc>
              <w:tc>
                <w:tcPr>
                  <w:tcW w:w="1021" w:type="pct"/>
                  <w:noWrap w:val="0"/>
                  <w:vAlign w:val="center"/>
                </w:tcPr>
                <w:p w14:paraId="0D7DA025">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53-</w:t>
                  </w:r>
                  <w:r>
                    <w:rPr>
                      <w:rFonts w:hint="eastAsia" w:ascii="Times New Roman" w:hAnsi="Times New Roman" w:cs="Times New Roman"/>
                      <w:color w:val="auto"/>
                      <w:highlight w:val="none"/>
                      <w:lang w:val="en-US" w:eastAsia="zh-CN"/>
                    </w:rPr>
                    <w:t>54</w:t>
                  </w:r>
                </w:p>
              </w:tc>
              <w:tc>
                <w:tcPr>
                  <w:tcW w:w="908" w:type="pct"/>
                  <w:tcBorders>
                    <w:right w:val="single" w:color="000000" w:sz="4" w:space="0"/>
                  </w:tcBorders>
                  <w:noWrap w:val="0"/>
                  <w:vAlign w:val="center"/>
                </w:tcPr>
                <w:p w14:paraId="6F2E9C1E">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r>
                    <w:rPr>
                      <w:rFonts w:hint="eastAsia" w:ascii="Times New Roman" w:hAnsi="Times New Roman" w:cs="Times New Roman"/>
                      <w:color w:val="auto"/>
                      <w:highlight w:val="none"/>
                      <w:lang w:val="en-US" w:eastAsia="zh-CN"/>
                    </w:rPr>
                    <w:t>1-42</w:t>
                  </w:r>
                </w:p>
              </w:tc>
              <w:tc>
                <w:tcPr>
                  <w:tcW w:w="1134" w:type="pct"/>
                  <w:tcBorders>
                    <w:right w:val="single" w:color="000000" w:sz="4" w:space="0"/>
                  </w:tcBorders>
                  <w:noWrap w:val="0"/>
                  <w:vAlign w:val="center"/>
                </w:tcPr>
                <w:p w14:paraId="7230BC96">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昼间6</w:t>
                  </w:r>
                  <w:r>
                    <w:rPr>
                      <w:rFonts w:hint="eastAsia" w:ascii="Times New Roman" w:hAnsi="Times New Roman"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、夜间5</w:t>
                  </w:r>
                  <w:r>
                    <w:rPr>
                      <w:rFonts w:hint="eastAsia" w:ascii="Times New Roman" w:hAnsi="Times New Roman" w:cs="Times New Roman"/>
                      <w:color w:val="auto"/>
                      <w:highlight w:val="none"/>
                      <w:lang w:val="en-US" w:eastAsia="zh-CN"/>
                    </w:rPr>
                    <w:t>0</w:t>
                  </w:r>
                </w:p>
              </w:tc>
              <w:tc>
                <w:tcPr>
                  <w:tcW w:w="1084" w:type="pct"/>
                  <w:tcBorders>
                    <w:right w:val="single" w:color="000000" w:sz="4" w:space="0"/>
                  </w:tcBorders>
                  <w:noWrap w:val="0"/>
                  <w:vAlign w:val="center"/>
                </w:tcPr>
                <w:p w14:paraId="719B7204">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084D1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50" w:type="pct"/>
                  <w:tcBorders>
                    <w:left w:val="single" w:color="000000" w:sz="4" w:space="0"/>
                  </w:tcBorders>
                  <w:noWrap w:val="0"/>
                  <w:vAlign w:val="center"/>
                </w:tcPr>
                <w:p w14:paraId="0608E98C">
                  <w:pPr>
                    <w:pageBreakBefore w:val="0"/>
                    <w:kinsoku/>
                    <w:overflowPunct/>
                    <w:topLinePunct w:val="0"/>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r>
                    <w:rPr>
                      <w:rFonts w:hint="default" w:ascii="Times New Roman" w:hAnsi="Times New Roman" w:eastAsia="宋体" w:cs="Times New Roman"/>
                      <w:color w:val="auto"/>
                      <w:highlight w:val="none"/>
                      <w:vertAlign w:val="superscript"/>
                    </w:rPr>
                    <w:t>#</w:t>
                  </w:r>
                  <w:r>
                    <w:rPr>
                      <w:rFonts w:hint="default" w:ascii="Times New Roman" w:hAnsi="Times New Roman" w:eastAsia="宋体" w:cs="Times New Roman"/>
                      <w:color w:val="auto"/>
                      <w:highlight w:val="none"/>
                    </w:rPr>
                    <w:t xml:space="preserve"> (南侧厂界)</w:t>
                  </w:r>
                </w:p>
              </w:tc>
              <w:tc>
                <w:tcPr>
                  <w:tcW w:w="1021" w:type="pct"/>
                  <w:noWrap w:val="0"/>
                  <w:vAlign w:val="center"/>
                </w:tcPr>
                <w:p w14:paraId="2ACEF063">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53-54</w:t>
                  </w:r>
                </w:p>
              </w:tc>
              <w:tc>
                <w:tcPr>
                  <w:tcW w:w="908" w:type="pct"/>
                  <w:tcBorders>
                    <w:right w:val="single" w:color="000000" w:sz="4" w:space="0"/>
                  </w:tcBorders>
                  <w:noWrap w:val="0"/>
                  <w:vAlign w:val="center"/>
                </w:tcPr>
                <w:p w14:paraId="57C0D9B4">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40-</w:t>
                  </w:r>
                  <w:r>
                    <w:rPr>
                      <w:rFonts w:hint="eastAsia" w:ascii="Times New Roman" w:hAnsi="Times New Roman" w:cs="Times New Roman"/>
                      <w:color w:val="auto"/>
                      <w:highlight w:val="none"/>
                      <w:lang w:val="en-US" w:eastAsia="zh-CN"/>
                    </w:rPr>
                    <w:t>41</w:t>
                  </w:r>
                </w:p>
              </w:tc>
              <w:tc>
                <w:tcPr>
                  <w:tcW w:w="1134" w:type="pct"/>
                  <w:tcBorders>
                    <w:right w:val="single" w:color="000000" w:sz="4" w:space="0"/>
                  </w:tcBorders>
                  <w:noWrap w:val="0"/>
                  <w:vAlign w:val="center"/>
                </w:tcPr>
                <w:p w14:paraId="1F0A6D51">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昼间6</w:t>
                  </w:r>
                  <w:r>
                    <w:rPr>
                      <w:rFonts w:hint="eastAsia" w:ascii="Times New Roman" w:hAnsi="Times New Roman"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、夜间5</w:t>
                  </w:r>
                  <w:r>
                    <w:rPr>
                      <w:rFonts w:hint="eastAsia" w:ascii="Times New Roman" w:hAnsi="Times New Roman" w:cs="Times New Roman"/>
                      <w:color w:val="auto"/>
                      <w:highlight w:val="none"/>
                      <w:lang w:val="en-US" w:eastAsia="zh-CN"/>
                    </w:rPr>
                    <w:t>0</w:t>
                  </w:r>
                </w:p>
              </w:tc>
              <w:tc>
                <w:tcPr>
                  <w:tcW w:w="1084" w:type="pct"/>
                  <w:tcBorders>
                    <w:right w:val="single" w:color="000000" w:sz="4" w:space="0"/>
                  </w:tcBorders>
                  <w:noWrap w:val="0"/>
                  <w:vAlign w:val="center"/>
                </w:tcPr>
                <w:p w14:paraId="0A315E32">
                  <w:pPr>
                    <w:pageBreakBefore w:val="0"/>
                    <w:kinsoku/>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bl>
          <w:p w14:paraId="77C2F5B5">
            <w:pPr>
              <w:pageBreakBefore w:val="0"/>
              <w:kinsoku/>
              <w:overflowPunct/>
              <w:topLinePunct w:val="0"/>
              <w:bidi w:val="0"/>
              <w:spacing w:line="360" w:lineRule="auto"/>
              <w:ind w:firstLine="504" w:firstLineChars="200"/>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由监测结果可知，项目生产过程中厂界噪声可达</w:t>
            </w:r>
            <w:r>
              <w:rPr>
                <w:color w:val="auto"/>
                <w:sz w:val="24"/>
                <w:szCs w:val="24"/>
                <w:highlight w:val="none"/>
              </w:rPr>
              <w:t>《工业企业厂界环境噪声排放标准》（GB12348-20</w:t>
            </w:r>
            <w:r>
              <w:rPr>
                <w:rFonts w:hint="eastAsia"/>
                <w:color w:val="auto"/>
                <w:sz w:val="24"/>
                <w:szCs w:val="24"/>
                <w:highlight w:val="none"/>
                <w:lang w:val="en-US" w:eastAsia="zh-CN"/>
              </w:rPr>
              <w:t>08</w:t>
            </w:r>
            <w:r>
              <w:rPr>
                <w:color w:val="auto"/>
                <w:sz w:val="24"/>
                <w:szCs w:val="24"/>
                <w:highlight w:val="none"/>
              </w:rPr>
              <w:t>）中2类标准</w:t>
            </w:r>
            <w:r>
              <w:rPr>
                <w:rFonts w:hint="default" w:ascii="Times New Roman" w:hAnsi="Times New Roman" w:eastAsia="宋体" w:cs="Times New Roman"/>
                <w:color w:val="auto"/>
                <w:spacing w:val="6"/>
                <w:sz w:val="24"/>
                <w:szCs w:val="24"/>
                <w:highlight w:val="none"/>
              </w:rPr>
              <w:t>。项目噪声达标排放，对周围声环境质量影响不大。</w:t>
            </w:r>
          </w:p>
          <w:p w14:paraId="1B05DA55">
            <w:pPr>
              <w:spacing w:line="360" w:lineRule="auto"/>
              <w:ind w:right="105" w:rightChars="50" w:firstLine="482" w:firstLineChars="200"/>
              <w:rPr>
                <w:b/>
                <w:color w:val="auto"/>
                <w:sz w:val="24"/>
                <w:szCs w:val="24"/>
                <w:highlight w:val="none"/>
              </w:rPr>
            </w:pPr>
            <w:r>
              <w:rPr>
                <w:rFonts w:hint="eastAsia"/>
                <w:b/>
                <w:color w:val="auto"/>
                <w:sz w:val="24"/>
                <w:szCs w:val="24"/>
                <w:highlight w:val="none"/>
                <w:lang w:val="en-US" w:eastAsia="zh-CN"/>
              </w:rPr>
              <w:t>12</w:t>
            </w:r>
            <w:r>
              <w:rPr>
                <w:b/>
                <w:color w:val="auto"/>
                <w:sz w:val="24"/>
                <w:szCs w:val="24"/>
                <w:highlight w:val="none"/>
              </w:rPr>
              <w:t>、现有项目存在的问题及整改措施</w:t>
            </w:r>
          </w:p>
          <w:p w14:paraId="67E9307C">
            <w:pPr>
              <w:adjustRightInd w:val="0"/>
              <w:snapToGrid w:val="0"/>
              <w:spacing w:line="360" w:lineRule="auto"/>
              <w:ind w:firstLine="482" w:firstLineChars="200"/>
              <w:rPr>
                <w:color w:val="auto"/>
                <w:sz w:val="24"/>
                <w:szCs w:val="24"/>
                <w:highlight w:val="none"/>
              </w:rPr>
            </w:pPr>
            <w:r>
              <w:rPr>
                <w:b/>
                <w:color w:val="auto"/>
                <w:sz w:val="24"/>
                <w:szCs w:val="24"/>
                <w:highlight w:val="none"/>
              </w:rPr>
              <w:t>存在问题：</w:t>
            </w:r>
            <w:r>
              <w:rPr>
                <w:rFonts w:hint="eastAsia" w:ascii="宋体" w:hAnsi="宋体" w:cs="宋体"/>
                <w:color w:val="auto"/>
                <w:sz w:val="24"/>
                <w:szCs w:val="24"/>
                <w:highlight w:val="none"/>
                <w:lang w:val="en-US" w:eastAsia="zh-CN"/>
              </w:rPr>
              <w:t>①</w:t>
            </w:r>
            <w:r>
              <w:rPr>
                <w:color w:val="auto"/>
                <w:sz w:val="24"/>
                <w:szCs w:val="24"/>
                <w:highlight w:val="none"/>
              </w:rPr>
              <w:t>危废间标识</w:t>
            </w:r>
            <w:r>
              <w:rPr>
                <w:rFonts w:hint="eastAsia"/>
                <w:color w:val="auto"/>
                <w:sz w:val="24"/>
                <w:szCs w:val="24"/>
                <w:highlight w:val="none"/>
                <w:lang w:val="en-US" w:eastAsia="zh-CN"/>
              </w:rPr>
              <w:t>缺失</w:t>
            </w:r>
            <w:r>
              <w:rPr>
                <w:color w:val="auto"/>
                <w:sz w:val="24"/>
                <w:szCs w:val="24"/>
                <w:highlight w:val="none"/>
              </w:rPr>
              <w:t>。</w:t>
            </w:r>
          </w:p>
          <w:p w14:paraId="29DA959D">
            <w:pPr>
              <w:adjustRightInd w:val="0"/>
              <w:snapToGrid w:val="0"/>
              <w:spacing w:line="360" w:lineRule="auto"/>
              <w:ind w:firstLine="482" w:firstLineChars="200"/>
              <w:rPr>
                <w:rFonts w:hint="eastAsia"/>
                <w:color w:val="auto"/>
                <w:sz w:val="24"/>
                <w:szCs w:val="24"/>
                <w:highlight w:val="none"/>
              </w:rPr>
            </w:pPr>
            <w:r>
              <w:rPr>
                <w:b/>
                <w:color w:val="auto"/>
                <w:sz w:val="24"/>
                <w:szCs w:val="24"/>
                <w:highlight w:val="none"/>
              </w:rPr>
              <w:t>整改措施：</w:t>
            </w:r>
            <w:r>
              <w:rPr>
                <w:rFonts w:hint="eastAsia" w:ascii="宋体" w:hAnsi="宋体" w:cs="宋体"/>
                <w:color w:val="auto"/>
                <w:sz w:val="24"/>
                <w:szCs w:val="24"/>
                <w:highlight w:val="none"/>
              </w:rPr>
              <w:t>①</w:t>
            </w:r>
            <w:r>
              <w:rPr>
                <w:color w:val="auto"/>
                <w:sz w:val="24"/>
                <w:szCs w:val="24"/>
                <w:highlight w:val="none"/>
              </w:rPr>
              <w:t>危废间标识应根据《危险废物识别标志设置技术规范》（HJ1276-2022）的要求及时更新</w:t>
            </w:r>
            <w:r>
              <w:rPr>
                <w:rFonts w:hint="eastAsia"/>
                <w:color w:val="auto"/>
                <w:sz w:val="24"/>
                <w:szCs w:val="24"/>
                <w:highlight w:val="none"/>
                <w:lang w:val="en-US" w:eastAsia="zh-CN"/>
              </w:rPr>
              <w:t>和补充</w:t>
            </w:r>
            <w:r>
              <w:rPr>
                <w:color w:val="auto"/>
                <w:sz w:val="24"/>
                <w:szCs w:val="24"/>
                <w:highlight w:val="none"/>
              </w:rPr>
              <w:t>。</w:t>
            </w:r>
          </w:p>
          <w:p w14:paraId="09E62B7C">
            <w:pPr>
              <w:pStyle w:val="30"/>
              <w:ind w:left="0" w:leftChars="0" w:firstLine="0" w:firstLineChars="0"/>
              <w:jc w:val="both"/>
              <w:rPr>
                <w:rFonts w:hint="eastAsia"/>
                <w:color w:val="auto"/>
                <w:highlight w:val="none"/>
                <w:lang w:val="en-US" w:eastAsia="zh-CN"/>
              </w:rPr>
            </w:pPr>
          </w:p>
        </w:tc>
      </w:tr>
    </w:tbl>
    <w:p w14:paraId="58D77078">
      <w:pPr>
        <w:rPr>
          <w:rFonts w:eastAsia="宋体"/>
          <w:color w:val="auto"/>
        </w:rPr>
      </w:pPr>
      <w:bookmarkStart w:id="37" w:name="_Toc871"/>
      <w:bookmarkStart w:id="38" w:name="_Toc9851"/>
      <w:bookmarkStart w:id="39" w:name="_Toc30778"/>
      <w:r>
        <w:rPr>
          <w:rFonts w:eastAsia="宋体"/>
          <w:color w:val="auto"/>
        </w:rPr>
        <w:br w:type="page"/>
      </w:r>
    </w:p>
    <w:p w14:paraId="2EF56958">
      <w:pPr>
        <w:pStyle w:val="4"/>
        <w:rPr>
          <w:rFonts w:eastAsia="宋体"/>
          <w:color w:val="auto"/>
        </w:rPr>
      </w:pPr>
      <w:r>
        <w:rPr>
          <w:rFonts w:eastAsia="宋体"/>
          <w:color w:val="auto"/>
        </w:rPr>
        <w:t>三、区域环境质量现状、环境保护目标及评价标准</w:t>
      </w:r>
      <w:bookmarkEnd w:id="37"/>
      <w:bookmarkEnd w:id="38"/>
      <w:bookmarkEnd w:id="39"/>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7986"/>
      </w:tblGrid>
      <w:tr w14:paraId="6A3B8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00" w:type="dxa"/>
            <w:vAlign w:val="center"/>
          </w:tcPr>
          <w:p w14:paraId="61AACEA3">
            <w:pPr>
              <w:spacing w:line="360" w:lineRule="auto"/>
              <w:jc w:val="center"/>
              <w:rPr>
                <w:color w:val="auto"/>
                <w:szCs w:val="21"/>
                <w:highlight w:val="none"/>
              </w:rPr>
            </w:pPr>
            <w:r>
              <w:rPr>
                <w:color w:val="auto"/>
                <w:szCs w:val="21"/>
                <w:highlight w:val="none"/>
              </w:rPr>
              <w:t>区域</w:t>
            </w:r>
          </w:p>
          <w:p w14:paraId="520CC746">
            <w:pPr>
              <w:spacing w:line="360" w:lineRule="auto"/>
              <w:jc w:val="center"/>
              <w:rPr>
                <w:color w:val="auto"/>
                <w:szCs w:val="21"/>
                <w:highlight w:val="none"/>
              </w:rPr>
            </w:pPr>
            <w:r>
              <w:rPr>
                <w:color w:val="auto"/>
                <w:szCs w:val="21"/>
                <w:highlight w:val="none"/>
              </w:rPr>
              <w:t>环境</w:t>
            </w:r>
          </w:p>
          <w:p w14:paraId="3741DDF7">
            <w:pPr>
              <w:spacing w:line="360" w:lineRule="auto"/>
              <w:jc w:val="center"/>
              <w:rPr>
                <w:color w:val="auto"/>
                <w:szCs w:val="21"/>
                <w:highlight w:val="none"/>
              </w:rPr>
            </w:pPr>
            <w:r>
              <w:rPr>
                <w:color w:val="auto"/>
                <w:szCs w:val="21"/>
                <w:highlight w:val="none"/>
              </w:rPr>
              <w:t>质量</w:t>
            </w:r>
          </w:p>
          <w:p w14:paraId="4C90F701">
            <w:pPr>
              <w:spacing w:line="360" w:lineRule="auto"/>
              <w:jc w:val="center"/>
              <w:rPr>
                <w:color w:val="auto"/>
                <w:szCs w:val="21"/>
                <w:highlight w:val="none"/>
              </w:rPr>
            </w:pPr>
            <w:r>
              <w:rPr>
                <w:color w:val="auto"/>
                <w:szCs w:val="21"/>
                <w:highlight w:val="none"/>
              </w:rPr>
              <w:t>现状</w:t>
            </w:r>
          </w:p>
        </w:tc>
        <w:tc>
          <w:tcPr>
            <w:tcW w:w="8190" w:type="dxa"/>
            <w:vAlign w:val="center"/>
          </w:tcPr>
          <w:p w14:paraId="6D3CD771">
            <w:pPr>
              <w:spacing w:line="360" w:lineRule="auto"/>
              <w:ind w:firstLine="482" w:firstLineChars="200"/>
              <w:rPr>
                <w:b/>
                <w:bCs/>
                <w:color w:val="auto"/>
                <w:sz w:val="24"/>
                <w:szCs w:val="24"/>
                <w:highlight w:val="none"/>
              </w:rPr>
            </w:pPr>
            <w:r>
              <w:rPr>
                <w:rFonts w:hint="eastAsia"/>
                <w:b/>
                <w:bCs/>
                <w:color w:val="auto"/>
                <w:sz w:val="24"/>
                <w:szCs w:val="24"/>
                <w:highlight w:val="none"/>
              </w:rPr>
              <w:t>一</w:t>
            </w:r>
            <w:r>
              <w:rPr>
                <w:b/>
                <w:bCs/>
                <w:color w:val="auto"/>
                <w:sz w:val="24"/>
                <w:szCs w:val="24"/>
                <w:highlight w:val="none"/>
              </w:rPr>
              <w:t>、环境空气质量现状</w:t>
            </w:r>
          </w:p>
          <w:p w14:paraId="140634FA">
            <w:pPr>
              <w:pStyle w:val="3"/>
              <w:pageBreakBefore w:val="0"/>
              <w:kinsoku/>
              <w:overflowPunct/>
              <w:topLinePunct w:val="0"/>
              <w:bidi w:val="0"/>
              <w:adjustRightInd w:val="0"/>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（1）达标区判定</w:t>
            </w:r>
          </w:p>
          <w:p w14:paraId="032510E5">
            <w:pPr>
              <w:adjustRightInd w:val="0"/>
              <w:spacing w:line="360" w:lineRule="auto"/>
              <w:ind w:firstLine="480" w:firstLineChars="200"/>
              <w:rPr>
                <w:color w:val="auto"/>
                <w:kern w:val="0"/>
                <w:sz w:val="24"/>
                <w:highlight w:val="none"/>
              </w:rPr>
            </w:pPr>
            <w:r>
              <w:rPr>
                <w:rFonts w:hint="default" w:ascii="Times New Roman" w:hAnsi="Times New Roman" w:eastAsia="宋体" w:cs="Times New Roman"/>
                <w:color w:val="auto"/>
                <w:sz w:val="24"/>
                <w:szCs w:val="24"/>
                <w:highlight w:val="none"/>
              </w:rPr>
              <w:t>本项目位于云南省昆明市</w:t>
            </w:r>
            <w:r>
              <w:rPr>
                <w:color w:val="auto"/>
                <w:sz w:val="24"/>
                <w:szCs w:val="24"/>
                <w:highlight w:val="none"/>
              </w:rPr>
              <w:t>寻甸县仁德街道北观社区</w:t>
            </w:r>
            <w:r>
              <w:rPr>
                <w:rFonts w:hint="default" w:ascii="Times New Roman" w:hAnsi="Times New Roman" w:eastAsia="宋体" w:cs="Times New Roman"/>
                <w:color w:val="auto"/>
                <w:sz w:val="24"/>
                <w:szCs w:val="24"/>
                <w:highlight w:val="none"/>
              </w:rPr>
              <w:t>，属环境空气二类区，</w:t>
            </w:r>
            <w:r>
              <w:rPr>
                <w:rFonts w:hint="eastAsia"/>
                <w:color w:val="auto"/>
                <w:sz w:val="24"/>
                <w:highlight w:val="none"/>
              </w:rPr>
              <w:t>项目区环境空气质量执行《环境空气质量标准》（GB3095-2026）过渡阶段二级标准。</w:t>
            </w:r>
          </w:p>
          <w:p w14:paraId="0C74F319">
            <w:pPr>
              <w:pStyle w:val="3"/>
              <w:pageBreakBefore w:val="0"/>
              <w:kinsoku/>
              <w:overflowPunct/>
              <w:topLinePunct w:val="0"/>
              <w:bidi w:val="0"/>
              <w:adjustRightInd w:val="0"/>
              <w:spacing w:before="0" w:after="0" w:line="360" w:lineRule="auto"/>
              <w:ind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t>根据《环境影响评价技术导则 大气环境》（HJ2.2-2018），项目所在区域达标情况判定优先采用国家或地方生态环境主管部门公布发布的环境质量公告或环境质量报告中的数据结论。</w:t>
            </w:r>
            <w:r>
              <w:rPr>
                <w:rFonts w:hint="default" w:ascii="Times New Roman" w:hAnsi="Times New Roman" w:eastAsia="宋体" w:cs="Times New Roman"/>
                <w:color w:val="auto"/>
                <w:sz w:val="24"/>
                <w:szCs w:val="24"/>
              </w:rPr>
              <w:t>根据《202</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年度昆明市生态环境状况公报》：主城区环境空气质量全市主城区环境空气优良率99.7%，其中优221天、良144天、轻度污染1天。与2023年相比，优级天数增加32天，各项污染物均达到二级空气质量日均值（臭氧为日最大8小时平均）标准。</w:t>
            </w:r>
          </w:p>
          <w:p w14:paraId="2E742EED">
            <w:pPr>
              <w:spacing w:before="120" w:beforeLines="50"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根据《202</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年度昆明市生态环境状况公报》：2024年昆明市主城区外所辖的8个县（市）、区环境空气质量总体保持良好，各项污染物平均浓度均达到《环境空气质量标准》（GB3095-2012）二级标准；空气优良天数比例范围为97.50%~100%，与2023年相比，石林县、富民县、宜良县、东川区、寻甸县、嵩明县、禄劝县空气优良天数比例均有提高。</w:t>
            </w:r>
          </w:p>
          <w:p w14:paraId="417B1486">
            <w:pPr>
              <w:spacing w:before="120" w:beforeLines="50" w:line="360" w:lineRule="auto"/>
              <w:ind w:firstLine="480" w:firstLineChars="200"/>
              <w:rPr>
                <w:color w:val="auto"/>
                <w:sz w:val="24"/>
              </w:rPr>
            </w:pPr>
            <w:r>
              <w:rPr>
                <w:rFonts w:hint="eastAsia"/>
                <w:color w:val="auto"/>
                <w:sz w:val="24"/>
              </w:rPr>
              <w:t>对照《环境空气质量标准》（GB3095-2012）及其修改单二级标准（监测阶段有效标准）、《环境空气质量标准》（GB3095-2026）过渡阶段二级浓度限值（现阶段有效标准），</w:t>
            </w:r>
            <w:r>
              <w:rPr>
                <w:rFonts w:hint="eastAsia"/>
                <w:color w:val="auto"/>
                <w:sz w:val="24"/>
                <w:lang w:val="en-US" w:eastAsia="zh-CN"/>
              </w:rPr>
              <w:t>昆明市</w:t>
            </w:r>
            <w:r>
              <w:rPr>
                <w:rFonts w:hint="eastAsia"/>
                <w:color w:val="auto"/>
                <w:sz w:val="24"/>
              </w:rPr>
              <w:t>基本污染物年平均质量浓度和相应百分位24h平均或8h平均质量浓度均能达到《环境空气质量标准》（GB3095-2012）二级标准要求（监测阶段有效标准）和《环境空气质量标准》（GB3095-2026）过渡阶段二级浓度限值（现阶段有效标准）。因此，项目所在区域为环境空气质量达标区。</w:t>
            </w:r>
          </w:p>
          <w:p w14:paraId="00CBFD94">
            <w:pPr>
              <w:pStyle w:val="3"/>
              <w:pageBreakBefore w:val="0"/>
              <w:kinsoku/>
              <w:overflowPunct/>
              <w:topLinePunct w:val="0"/>
              <w:bidi w:val="0"/>
              <w:adjustRightInd w:val="0"/>
              <w:spacing w:before="0" w:after="0" w:line="360" w:lineRule="auto"/>
              <w:ind w:right="0" w:firstLine="480" w:firstLineChars="200"/>
              <w:rPr>
                <w:color w:val="auto"/>
                <w:sz w:val="24"/>
                <w:highlight w:val="none"/>
              </w:rPr>
            </w:pPr>
            <w:r>
              <w:rPr>
                <w:rFonts w:hint="eastAsia"/>
                <w:color w:val="auto"/>
                <w:sz w:val="24"/>
                <w:highlight w:val="none"/>
              </w:rPr>
              <w:t>因此，项目所在区域为环境空气质量达标区。</w:t>
            </w:r>
          </w:p>
          <w:p w14:paraId="7FB86ED5">
            <w:pPr>
              <w:spacing w:line="360" w:lineRule="auto"/>
              <w:ind w:firstLine="480" w:firstLineChars="200"/>
              <w:rPr>
                <w:color w:val="auto"/>
                <w:sz w:val="24"/>
                <w:szCs w:val="24"/>
                <w:highlight w:val="none"/>
              </w:rPr>
            </w:pPr>
            <w:bookmarkStart w:id="40" w:name="_Toc154"/>
            <w:bookmarkStart w:id="41" w:name="_Toc24450"/>
            <w:r>
              <w:rPr>
                <w:color w:val="auto"/>
                <w:sz w:val="24"/>
                <w:szCs w:val="24"/>
                <w:highlight w:val="none"/>
              </w:rPr>
              <w:t>项目主要特征污染物颗粒物由</w:t>
            </w:r>
            <w:r>
              <w:rPr>
                <w:rFonts w:hint="default" w:ascii="Times New Roman" w:hAnsi="Times New Roman" w:eastAsia="宋体" w:cs="Times New Roman"/>
                <w:color w:val="auto"/>
                <w:kern w:val="0"/>
                <w:sz w:val="24"/>
                <w:szCs w:val="24"/>
                <w:highlight w:val="none"/>
                <w:lang w:bidi="ar"/>
              </w:rPr>
              <w:t>云南鼎祺检测有限公司202</w:t>
            </w:r>
            <w:r>
              <w:rPr>
                <w:rFonts w:hint="eastAsia"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bidi="ar"/>
              </w:rPr>
              <w:t>年</w:t>
            </w:r>
            <w:r>
              <w:rPr>
                <w:rFonts w:hint="eastAsia" w:cs="Times New Roman"/>
                <w:color w:val="auto"/>
                <w:kern w:val="0"/>
                <w:sz w:val="24"/>
                <w:szCs w:val="24"/>
                <w:highlight w:val="none"/>
                <w:lang w:val="en-US" w:eastAsia="zh-CN" w:bidi="ar"/>
              </w:rPr>
              <w:t>5</w:t>
            </w:r>
            <w:r>
              <w:rPr>
                <w:color w:val="auto"/>
                <w:sz w:val="24"/>
                <w:szCs w:val="24"/>
                <w:highlight w:val="none"/>
              </w:rPr>
              <w:t>月</w:t>
            </w:r>
            <w:r>
              <w:rPr>
                <w:rFonts w:hint="eastAsia"/>
                <w:color w:val="auto"/>
                <w:sz w:val="24"/>
                <w:szCs w:val="24"/>
                <w:highlight w:val="none"/>
                <w:lang w:val="en-US" w:eastAsia="zh-CN"/>
              </w:rPr>
              <w:t>3日-5日</w:t>
            </w:r>
            <w:r>
              <w:rPr>
                <w:color w:val="auto"/>
                <w:sz w:val="24"/>
                <w:szCs w:val="24"/>
                <w:highlight w:val="none"/>
              </w:rPr>
              <w:t>对该项目区TSP日均值进行检测。</w:t>
            </w:r>
            <w:bookmarkEnd w:id="40"/>
            <w:bookmarkEnd w:id="41"/>
          </w:p>
          <w:p w14:paraId="6E645598">
            <w:pPr>
              <w:spacing w:line="360" w:lineRule="auto"/>
              <w:ind w:firstLine="480" w:firstLineChars="200"/>
              <w:rPr>
                <w:rFonts w:hint="eastAsia" w:eastAsia="宋体"/>
                <w:color w:val="auto"/>
                <w:sz w:val="24"/>
                <w:szCs w:val="24"/>
                <w:highlight w:val="none"/>
                <w:lang w:eastAsia="zh-CN"/>
              </w:rPr>
            </w:pPr>
            <w:r>
              <w:rPr>
                <w:color w:val="auto"/>
                <w:sz w:val="24"/>
                <w:szCs w:val="24"/>
                <w:highlight w:val="none"/>
              </w:rPr>
              <w:t>其监测结果详见表3-</w:t>
            </w:r>
            <w:r>
              <w:rPr>
                <w:rFonts w:hint="eastAsia"/>
                <w:color w:val="auto"/>
                <w:sz w:val="24"/>
                <w:szCs w:val="24"/>
                <w:highlight w:val="none"/>
                <w:lang w:val="en-US" w:eastAsia="zh-CN"/>
              </w:rPr>
              <w:t>1</w:t>
            </w:r>
          </w:p>
          <w:p w14:paraId="02341D7D">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1</w:t>
            </w:r>
            <w:r>
              <w:rPr>
                <w:b/>
                <w:bCs/>
                <w:color w:val="auto"/>
                <w:szCs w:val="21"/>
                <w:highlight w:val="none"/>
              </w:rPr>
              <w:t xml:space="preserve">  TSP日均值检测结果表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1779"/>
              <w:gridCol w:w="1647"/>
              <w:gridCol w:w="1751"/>
              <w:gridCol w:w="1133"/>
            </w:tblGrid>
            <w:tr w14:paraId="2CE3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33" w:type="pct"/>
                  <w:vAlign w:val="center"/>
                </w:tcPr>
                <w:p w14:paraId="0063EDB1">
                  <w:pPr>
                    <w:jc w:val="center"/>
                    <w:rPr>
                      <w:b/>
                      <w:bCs/>
                      <w:color w:val="auto"/>
                      <w:szCs w:val="21"/>
                      <w:highlight w:val="none"/>
                      <w:lang w:val="en-GB"/>
                    </w:rPr>
                  </w:pPr>
                  <w:r>
                    <w:rPr>
                      <w:b/>
                      <w:bCs/>
                      <w:color w:val="auto"/>
                      <w:szCs w:val="21"/>
                      <w:highlight w:val="none"/>
                      <w:lang w:val="en-GB"/>
                    </w:rPr>
                    <w:t>采样点位</w:t>
                  </w:r>
                </w:p>
              </w:tc>
              <w:tc>
                <w:tcPr>
                  <w:tcW w:w="1146" w:type="pct"/>
                  <w:vAlign w:val="center"/>
                </w:tcPr>
                <w:p w14:paraId="2D638AA3">
                  <w:pPr>
                    <w:jc w:val="center"/>
                    <w:rPr>
                      <w:b/>
                      <w:bCs/>
                      <w:color w:val="auto"/>
                      <w:szCs w:val="21"/>
                      <w:highlight w:val="none"/>
                      <w:lang w:val="en-GB"/>
                    </w:rPr>
                  </w:pPr>
                  <w:r>
                    <w:rPr>
                      <w:b/>
                      <w:bCs/>
                      <w:color w:val="auto"/>
                      <w:szCs w:val="21"/>
                      <w:highlight w:val="none"/>
                      <w:lang w:val="en-GB"/>
                    </w:rPr>
                    <w:t>采样时间</w:t>
                  </w:r>
                </w:p>
              </w:tc>
              <w:tc>
                <w:tcPr>
                  <w:tcW w:w="1061" w:type="pct"/>
                  <w:vAlign w:val="center"/>
                </w:tcPr>
                <w:p w14:paraId="43F1F2FC">
                  <w:pPr>
                    <w:jc w:val="center"/>
                    <w:rPr>
                      <w:b/>
                      <w:bCs/>
                      <w:color w:val="auto"/>
                      <w:szCs w:val="21"/>
                      <w:highlight w:val="none"/>
                      <w:lang w:val="en-GB"/>
                    </w:rPr>
                  </w:pPr>
                  <w:r>
                    <w:rPr>
                      <w:b/>
                      <w:bCs/>
                      <w:color w:val="auto"/>
                      <w:szCs w:val="21"/>
                      <w:highlight w:val="none"/>
                      <w:lang w:val="en-GB"/>
                    </w:rPr>
                    <w:t>TSP（μg/m</w:t>
                  </w:r>
                  <w:r>
                    <w:rPr>
                      <w:b/>
                      <w:bCs/>
                      <w:color w:val="auto"/>
                      <w:szCs w:val="21"/>
                      <w:highlight w:val="none"/>
                      <w:vertAlign w:val="superscript"/>
                      <w:lang w:val="en-GB"/>
                    </w:rPr>
                    <w:t>3</w:t>
                  </w:r>
                  <w:r>
                    <w:rPr>
                      <w:b/>
                      <w:bCs/>
                      <w:color w:val="auto"/>
                      <w:szCs w:val="21"/>
                      <w:highlight w:val="none"/>
                      <w:lang w:val="en-GB"/>
                    </w:rPr>
                    <w:t>）</w:t>
                  </w:r>
                </w:p>
              </w:tc>
              <w:tc>
                <w:tcPr>
                  <w:tcW w:w="1128" w:type="pct"/>
                  <w:vAlign w:val="center"/>
                </w:tcPr>
                <w:p w14:paraId="51817C51">
                  <w:pPr>
                    <w:jc w:val="center"/>
                    <w:rPr>
                      <w:b/>
                      <w:bCs/>
                      <w:color w:val="auto"/>
                      <w:szCs w:val="21"/>
                      <w:highlight w:val="none"/>
                    </w:rPr>
                  </w:pPr>
                  <w:r>
                    <w:rPr>
                      <w:b/>
                      <w:bCs/>
                      <w:color w:val="auto"/>
                      <w:szCs w:val="21"/>
                      <w:highlight w:val="none"/>
                    </w:rPr>
                    <w:t>标准值（</w:t>
                  </w:r>
                  <w:r>
                    <w:rPr>
                      <w:b/>
                      <w:bCs/>
                      <w:color w:val="auto"/>
                      <w:szCs w:val="21"/>
                      <w:highlight w:val="none"/>
                      <w:lang w:val="en-GB"/>
                    </w:rPr>
                    <w:t>μg/m</w:t>
                  </w:r>
                  <w:r>
                    <w:rPr>
                      <w:b/>
                      <w:bCs/>
                      <w:color w:val="auto"/>
                      <w:szCs w:val="21"/>
                      <w:highlight w:val="none"/>
                      <w:vertAlign w:val="superscript"/>
                      <w:lang w:val="en-GB"/>
                    </w:rPr>
                    <w:t>3</w:t>
                  </w:r>
                  <w:r>
                    <w:rPr>
                      <w:b/>
                      <w:bCs/>
                      <w:color w:val="auto"/>
                      <w:szCs w:val="21"/>
                      <w:highlight w:val="none"/>
                    </w:rPr>
                    <w:t>）</w:t>
                  </w:r>
                </w:p>
              </w:tc>
              <w:tc>
                <w:tcPr>
                  <w:tcW w:w="730" w:type="pct"/>
                  <w:vAlign w:val="center"/>
                </w:tcPr>
                <w:p w14:paraId="20FFAAAE">
                  <w:pPr>
                    <w:jc w:val="center"/>
                    <w:rPr>
                      <w:b/>
                      <w:bCs/>
                      <w:color w:val="auto"/>
                      <w:szCs w:val="21"/>
                      <w:highlight w:val="none"/>
                    </w:rPr>
                  </w:pPr>
                  <w:r>
                    <w:rPr>
                      <w:b/>
                      <w:bCs/>
                      <w:color w:val="auto"/>
                      <w:szCs w:val="21"/>
                      <w:highlight w:val="none"/>
                    </w:rPr>
                    <w:t>达标情况</w:t>
                  </w:r>
                </w:p>
              </w:tc>
            </w:tr>
            <w:tr w14:paraId="61F5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3" w:type="pct"/>
                  <w:vMerge w:val="restart"/>
                  <w:vAlign w:val="center"/>
                </w:tcPr>
                <w:p w14:paraId="386EA75B">
                  <w:pPr>
                    <w:jc w:val="center"/>
                    <w:rPr>
                      <w:color w:val="auto"/>
                      <w:szCs w:val="21"/>
                      <w:highlight w:val="none"/>
                    </w:rPr>
                  </w:pPr>
                  <w:r>
                    <w:rPr>
                      <w:color w:val="auto"/>
                      <w:szCs w:val="21"/>
                      <w:highlight w:val="none"/>
                    </w:rPr>
                    <w:t>项目区</w:t>
                  </w:r>
                </w:p>
              </w:tc>
              <w:tc>
                <w:tcPr>
                  <w:tcW w:w="1146" w:type="pct"/>
                  <w:vAlign w:val="center"/>
                </w:tcPr>
                <w:p w14:paraId="12CC0F96">
                  <w:pPr>
                    <w:jc w:val="center"/>
                    <w:rPr>
                      <w:color w:val="auto"/>
                      <w:szCs w:val="21"/>
                      <w:highlight w:val="none"/>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3</w:t>
                  </w:r>
                  <w:r>
                    <w:rPr>
                      <w:color w:val="auto"/>
                      <w:szCs w:val="21"/>
                      <w:highlight w:val="none"/>
                    </w:rPr>
                    <w:t>日</w:t>
                  </w:r>
                </w:p>
              </w:tc>
              <w:tc>
                <w:tcPr>
                  <w:tcW w:w="1061" w:type="pct"/>
                  <w:vAlign w:val="center"/>
                </w:tcPr>
                <w:p w14:paraId="14AE02CA">
                  <w:pPr>
                    <w:jc w:val="center"/>
                    <w:rPr>
                      <w:rFonts w:hint="default" w:eastAsia="宋体"/>
                      <w:color w:val="auto"/>
                      <w:szCs w:val="21"/>
                      <w:highlight w:val="none"/>
                      <w:lang w:val="en-US" w:eastAsia="zh-CN"/>
                    </w:rPr>
                  </w:pPr>
                  <w:r>
                    <w:rPr>
                      <w:rFonts w:hint="eastAsia"/>
                      <w:color w:val="auto"/>
                      <w:szCs w:val="21"/>
                      <w:highlight w:val="none"/>
                      <w:lang w:val="en-US" w:eastAsia="zh-CN"/>
                    </w:rPr>
                    <w:t>149</w:t>
                  </w:r>
                </w:p>
              </w:tc>
              <w:tc>
                <w:tcPr>
                  <w:tcW w:w="1128" w:type="pct"/>
                  <w:vAlign w:val="center"/>
                </w:tcPr>
                <w:p w14:paraId="2F54B570">
                  <w:pPr>
                    <w:jc w:val="center"/>
                    <w:rPr>
                      <w:color w:val="auto"/>
                      <w:szCs w:val="21"/>
                      <w:highlight w:val="none"/>
                    </w:rPr>
                  </w:pPr>
                  <w:r>
                    <w:rPr>
                      <w:color w:val="auto"/>
                      <w:szCs w:val="21"/>
                      <w:highlight w:val="none"/>
                    </w:rPr>
                    <w:t>300</w:t>
                  </w:r>
                </w:p>
              </w:tc>
              <w:tc>
                <w:tcPr>
                  <w:tcW w:w="730" w:type="pct"/>
                  <w:vAlign w:val="center"/>
                </w:tcPr>
                <w:p w14:paraId="2FD81B19">
                  <w:pPr>
                    <w:jc w:val="center"/>
                    <w:rPr>
                      <w:color w:val="auto"/>
                      <w:szCs w:val="21"/>
                      <w:highlight w:val="none"/>
                    </w:rPr>
                  </w:pPr>
                  <w:r>
                    <w:rPr>
                      <w:color w:val="auto"/>
                      <w:szCs w:val="21"/>
                      <w:highlight w:val="none"/>
                    </w:rPr>
                    <w:t>达标</w:t>
                  </w:r>
                </w:p>
              </w:tc>
            </w:tr>
            <w:tr w14:paraId="6574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3" w:type="pct"/>
                  <w:vMerge w:val="continue"/>
                  <w:vAlign w:val="center"/>
                </w:tcPr>
                <w:p w14:paraId="53E993CB">
                  <w:pPr>
                    <w:jc w:val="center"/>
                    <w:rPr>
                      <w:color w:val="auto"/>
                      <w:szCs w:val="21"/>
                      <w:highlight w:val="none"/>
                    </w:rPr>
                  </w:pPr>
                </w:p>
              </w:tc>
              <w:tc>
                <w:tcPr>
                  <w:tcW w:w="1146" w:type="pct"/>
                  <w:vAlign w:val="center"/>
                </w:tcPr>
                <w:p w14:paraId="76CA927A">
                  <w:pPr>
                    <w:jc w:val="center"/>
                    <w:rPr>
                      <w:color w:val="auto"/>
                      <w:szCs w:val="21"/>
                      <w:highlight w:val="none"/>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4</w:t>
                  </w:r>
                  <w:r>
                    <w:rPr>
                      <w:color w:val="auto"/>
                      <w:szCs w:val="21"/>
                      <w:highlight w:val="none"/>
                    </w:rPr>
                    <w:t>日</w:t>
                  </w:r>
                </w:p>
              </w:tc>
              <w:tc>
                <w:tcPr>
                  <w:tcW w:w="1061" w:type="pct"/>
                  <w:vAlign w:val="center"/>
                </w:tcPr>
                <w:p w14:paraId="58601CE0">
                  <w:pPr>
                    <w:jc w:val="center"/>
                    <w:rPr>
                      <w:rFonts w:hint="default" w:eastAsia="宋体"/>
                      <w:color w:val="auto"/>
                      <w:szCs w:val="21"/>
                      <w:highlight w:val="none"/>
                      <w:lang w:val="en-US" w:eastAsia="zh-CN"/>
                    </w:rPr>
                  </w:pPr>
                  <w:r>
                    <w:rPr>
                      <w:rFonts w:hint="eastAsia"/>
                      <w:color w:val="auto"/>
                      <w:szCs w:val="21"/>
                      <w:highlight w:val="none"/>
                      <w:lang w:val="en-US" w:eastAsia="zh-CN"/>
                    </w:rPr>
                    <w:t>152</w:t>
                  </w:r>
                </w:p>
              </w:tc>
              <w:tc>
                <w:tcPr>
                  <w:tcW w:w="1128" w:type="pct"/>
                  <w:vAlign w:val="center"/>
                </w:tcPr>
                <w:p w14:paraId="2F421C67">
                  <w:pPr>
                    <w:jc w:val="center"/>
                    <w:rPr>
                      <w:color w:val="auto"/>
                      <w:szCs w:val="21"/>
                      <w:highlight w:val="none"/>
                    </w:rPr>
                  </w:pPr>
                  <w:r>
                    <w:rPr>
                      <w:color w:val="auto"/>
                      <w:szCs w:val="21"/>
                      <w:highlight w:val="none"/>
                    </w:rPr>
                    <w:t>300</w:t>
                  </w:r>
                </w:p>
              </w:tc>
              <w:tc>
                <w:tcPr>
                  <w:tcW w:w="730" w:type="pct"/>
                  <w:vAlign w:val="center"/>
                </w:tcPr>
                <w:p w14:paraId="45A8BCB2">
                  <w:pPr>
                    <w:jc w:val="center"/>
                    <w:rPr>
                      <w:color w:val="auto"/>
                      <w:szCs w:val="21"/>
                      <w:highlight w:val="none"/>
                    </w:rPr>
                  </w:pPr>
                  <w:r>
                    <w:rPr>
                      <w:color w:val="auto"/>
                      <w:szCs w:val="21"/>
                      <w:highlight w:val="none"/>
                    </w:rPr>
                    <w:t>达标</w:t>
                  </w:r>
                </w:p>
              </w:tc>
            </w:tr>
            <w:tr w14:paraId="634C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3" w:type="pct"/>
                  <w:vMerge w:val="continue"/>
                  <w:vAlign w:val="center"/>
                </w:tcPr>
                <w:p w14:paraId="180009A8">
                  <w:pPr>
                    <w:jc w:val="center"/>
                    <w:rPr>
                      <w:color w:val="auto"/>
                      <w:szCs w:val="21"/>
                      <w:highlight w:val="none"/>
                    </w:rPr>
                  </w:pPr>
                </w:p>
              </w:tc>
              <w:tc>
                <w:tcPr>
                  <w:tcW w:w="1146" w:type="pct"/>
                  <w:vAlign w:val="center"/>
                </w:tcPr>
                <w:p w14:paraId="5ED44BF8">
                  <w:pPr>
                    <w:jc w:val="center"/>
                    <w:rPr>
                      <w:color w:val="auto"/>
                      <w:szCs w:val="21"/>
                      <w:highlight w:val="none"/>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5</w:t>
                  </w:r>
                  <w:r>
                    <w:rPr>
                      <w:color w:val="auto"/>
                      <w:szCs w:val="21"/>
                      <w:highlight w:val="none"/>
                    </w:rPr>
                    <w:t>日</w:t>
                  </w:r>
                </w:p>
              </w:tc>
              <w:tc>
                <w:tcPr>
                  <w:tcW w:w="1061" w:type="pct"/>
                  <w:vAlign w:val="center"/>
                </w:tcPr>
                <w:p w14:paraId="7703D6B5">
                  <w:pPr>
                    <w:jc w:val="center"/>
                    <w:rPr>
                      <w:rFonts w:hint="default" w:eastAsia="宋体"/>
                      <w:color w:val="auto"/>
                      <w:szCs w:val="21"/>
                      <w:highlight w:val="none"/>
                      <w:lang w:val="en-US" w:eastAsia="zh-CN"/>
                    </w:rPr>
                  </w:pPr>
                  <w:r>
                    <w:rPr>
                      <w:rFonts w:hint="eastAsia"/>
                      <w:color w:val="auto"/>
                      <w:szCs w:val="21"/>
                      <w:highlight w:val="none"/>
                      <w:lang w:val="en-US" w:eastAsia="zh-CN"/>
                    </w:rPr>
                    <w:t>139</w:t>
                  </w:r>
                </w:p>
              </w:tc>
              <w:tc>
                <w:tcPr>
                  <w:tcW w:w="1128" w:type="pct"/>
                  <w:vAlign w:val="center"/>
                </w:tcPr>
                <w:p w14:paraId="757C6A96">
                  <w:pPr>
                    <w:jc w:val="center"/>
                    <w:rPr>
                      <w:color w:val="auto"/>
                      <w:szCs w:val="21"/>
                      <w:highlight w:val="none"/>
                    </w:rPr>
                  </w:pPr>
                  <w:r>
                    <w:rPr>
                      <w:color w:val="auto"/>
                      <w:szCs w:val="21"/>
                      <w:highlight w:val="none"/>
                    </w:rPr>
                    <w:t>300</w:t>
                  </w:r>
                </w:p>
              </w:tc>
              <w:tc>
                <w:tcPr>
                  <w:tcW w:w="730" w:type="pct"/>
                  <w:vAlign w:val="center"/>
                </w:tcPr>
                <w:p w14:paraId="6890D195">
                  <w:pPr>
                    <w:jc w:val="center"/>
                    <w:rPr>
                      <w:color w:val="auto"/>
                      <w:szCs w:val="21"/>
                      <w:highlight w:val="none"/>
                    </w:rPr>
                  </w:pPr>
                  <w:r>
                    <w:rPr>
                      <w:color w:val="auto"/>
                      <w:szCs w:val="21"/>
                      <w:highlight w:val="none"/>
                    </w:rPr>
                    <w:t>达标</w:t>
                  </w:r>
                </w:p>
              </w:tc>
            </w:tr>
          </w:tbl>
          <w:p w14:paraId="4F4A2AD6">
            <w:pPr>
              <w:spacing w:line="360" w:lineRule="auto"/>
              <w:ind w:firstLine="480" w:firstLineChars="200"/>
              <w:rPr>
                <w:color w:val="auto"/>
                <w:sz w:val="24"/>
                <w:szCs w:val="24"/>
                <w:highlight w:val="none"/>
              </w:rPr>
            </w:pPr>
            <w:r>
              <w:rPr>
                <w:color w:val="auto"/>
                <w:sz w:val="24"/>
                <w:szCs w:val="24"/>
                <w:highlight w:val="none"/>
              </w:rPr>
              <w:t>根据监测结果可知，项目区域内TSP日均值能满足</w:t>
            </w:r>
            <w:r>
              <w:rPr>
                <w:rFonts w:hint="eastAsia"/>
                <w:color w:val="auto"/>
                <w:sz w:val="24"/>
                <w:szCs w:val="24"/>
              </w:rPr>
              <w:t>《环境空气质量标准》（GB3095-2026）过渡阶段二级浓度限值（现阶段有效标准）</w:t>
            </w:r>
            <w:r>
              <w:rPr>
                <w:color w:val="auto"/>
                <w:sz w:val="24"/>
                <w:szCs w:val="24"/>
                <w:highlight w:val="none"/>
              </w:rPr>
              <w:t>。</w:t>
            </w:r>
          </w:p>
          <w:p w14:paraId="1B72B747">
            <w:pPr>
              <w:spacing w:line="360" w:lineRule="auto"/>
              <w:ind w:firstLine="480" w:firstLineChars="200"/>
              <w:rPr>
                <w:color w:val="auto"/>
                <w:sz w:val="24"/>
                <w:szCs w:val="24"/>
                <w:highlight w:val="none"/>
              </w:rPr>
            </w:pPr>
            <w:r>
              <w:rPr>
                <w:color w:val="auto"/>
                <w:sz w:val="24"/>
                <w:szCs w:val="24"/>
                <w:highlight w:val="none"/>
              </w:rPr>
              <w:t>综上所述，项目区域属于环境空气质量达标区。</w:t>
            </w:r>
          </w:p>
          <w:p w14:paraId="647E2A34">
            <w:pPr>
              <w:spacing w:line="360" w:lineRule="auto"/>
              <w:ind w:firstLine="482" w:firstLineChars="200"/>
              <w:rPr>
                <w:b/>
                <w:bCs/>
                <w:color w:val="auto"/>
                <w:sz w:val="24"/>
                <w:szCs w:val="24"/>
                <w:highlight w:val="none"/>
              </w:rPr>
            </w:pPr>
            <w:r>
              <w:rPr>
                <w:rFonts w:hint="eastAsia"/>
                <w:b/>
                <w:bCs/>
                <w:color w:val="auto"/>
                <w:sz w:val="24"/>
                <w:szCs w:val="24"/>
                <w:highlight w:val="none"/>
              </w:rPr>
              <w:t>二</w:t>
            </w:r>
            <w:r>
              <w:rPr>
                <w:b/>
                <w:bCs/>
                <w:color w:val="auto"/>
                <w:sz w:val="24"/>
                <w:szCs w:val="24"/>
                <w:highlight w:val="none"/>
              </w:rPr>
              <w:t>、地表水环境质量现状</w:t>
            </w:r>
          </w:p>
          <w:p w14:paraId="7DA96278">
            <w:pPr>
              <w:spacing w:line="360" w:lineRule="auto"/>
              <w:ind w:firstLine="480" w:firstLineChars="200"/>
              <w:rPr>
                <w:color w:val="auto"/>
                <w:sz w:val="24"/>
                <w:szCs w:val="24"/>
                <w:highlight w:val="none"/>
              </w:rPr>
            </w:pPr>
            <w:r>
              <w:rPr>
                <w:color w:val="auto"/>
                <w:sz w:val="24"/>
                <w:szCs w:val="24"/>
                <w:highlight w:val="none"/>
              </w:rPr>
              <w:t>项目区位于寻甸县仁德街道北观社区，项目区最近的地表水体为项目区</w:t>
            </w:r>
            <w:r>
              <w:rPr>
                <w:rFonts w:hint="eastAsia"/>
                <w:color w:val="auto"/>
                <w:sz w:val="24"/>
                <w:szCs w:val="24"/>
                <w:highlight w:val="none"/>
                <w:lang w:val="en-US" w:eastAsia="zh-CN"/>
              </w:rPr>
              <w:t>东</w:t>
            </w:r>
            <w:r>
              <w:rPr>
                <w:color w:val="auto"/>
                <w:sz w:val="24"/>
                <w:szCs w:val="24"/>
                <w:highlight w:val="none"/>
              </w:rPr>
              <w:t>侧约</w:t>
            </w:r>
            <w:r>
              <w:rPr>
                <w:rFonts w:hint="eastAsia"/>
                <w:color w:val="auto"/>
                <w:sz w:val="24"/>
                <w:szCs w:val="24"/>
                <w:highlight w:val="none"/>
                <w:lang w:val="en-US" w:eastAsia="zh-CN"/>
              </w:rPr>
              <w:t>230</w:t>
            </w:r>
            <w:r>
              <w:rPr>
                <w:color w:val="auto"/>
                <w:sz w:val="24"/>
                <w:szCs w:val="24"/>
                <w:highlight w:val="none"/>
              </w:rPr>
              <w:t>m处的兔耳河，兔耳河汇入前进河，前进河从三月三水库流入牛栏江，属于长江流域。</w:t>
            </w:r>
            <w:r>
              <w:rPr>
                <w:rFonts w:hint="eastAsia"/>
                <w:color w:val="auto"/>
                <w:sz w:val="24"/>
                <w:szCs w:val="24"/>
                <w:highlight w:val="none"/>
              </w:rPr>
              <w:t>根据《云南省水功能区划（2014年修订）》，牛栏江-滇池补水水源保护区由源头——德泽水库坝址，2030年水质目标为Ⅲ类，执行《地表水环境质量标准》（GB3838-2002）</w:t>
            </w:r>
            <w:r>
              <w:rPr>
                <w:color w:val="auto"/>
                <w:sz w:val="24"/>
                <w:szCs w:val="24"/>
                <w:highlight w:val="none"/>
              </w:rPr>
              <w:t>Ⅲ</w:t>
            </w:r>
            <w:r>
              <w:rPr>
                <w:rFonts w:hint="eastAsia"/>
                <w:color w:val="auto"/>
                <w:sz w:val="24"/>
                <w:szCs w:val="24"/>
                <w:highlight w:val="none"/>
              </w:rPr>
              <w:t>类标准</w:t>
            </w:r>
            <w:r>
              <w:rPr>
                <w:color w:val="auto"/>
                <w:sz w:val="24"/>
                <w:szCs w:val="24"/>
                <w:highlight w:val="none"/>
              </w:rPr>
              <w:t>。</w:t>
            </w:r>
            <w:r>
              <w:rPr>
                <w:rFonts w:hint="eastAsia"/>
                <w:color w:val="auto"/>
                <w:sz w:val="24"/>
                <w:szCs w:val="24"/>
                <w:highlight w:val="none"/>
                <w:lang w:val="en-US" w:eastAsia="zh-CN"/>
              </w:rPr>
              <w:t>前进</w:t>
            </w:r>
            <w:r>
              <w:rPr>
                <w:rFonts w:hint="eastAsia"/>
                <w:color w:val="auto"/>
                <w:sz w:val="24"/>
                <w:szCs w:val="24"/>
                <w:highlight w:val="none"/>
              </w:rPr>
              <w:t>河参照</w:t>
            </w:r>
            <w:r>
              <w:rPr>
                <w:color w:val="auto"/>
                <w:sz w:val="24"/>
                <w:szCs w:val="24"/>
                <w:highlight w:val="none"/>
              </w:rPr>
              <w:t>执行《地表水环境质量标准》（GB3838-2002）中Ⅲ类水标准</w:t>
            </w:r>
            <w:r>
              <w:rPr>
                <w:rFonts w:hint="eastAsia"/>
                <w:color w:val="auto"/>
                <w:sz w:val="24"/>
                <w:szCs w:val="24"/>
                <w:highlight w:val="none"/>
              </w:rPr>
              <w:t>。</w:t>
            </w:r>
          </w:p>
          <w:p w14:paraId="7C5F41DD">
            <w:pPr>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根据寻甸县人民政府发布的《</w:t>
            </w:r>
            <w:r>
              <w:rPr>
                <w:rFonts w:hint="eastAsia" w:ascii="Times New Roman" w:hAnsi="Times New Roman" w:cs="Times New Roman"/>
                <w:color w:val="auto"/>
                <w:sz w:val="24"/>
                <w:szCs w:val="24"/>
                <w:highlight w:val="none"/>
                <w:lang w:val="en-US" w:eastAsia="zh-CN"/>
              </w:rPr>
              <w:t>寻甸县人民政府网站发布的“</w:t>
            </w:r>
            <w:r>
              <w:rPr>
                <w:rFonts w:hint="eastAsia" w:ascii="Times New Roman" w:hAnsi="Times New Roman" w:cs="Times New Roman"/>
                <w:color w:val="auto"/>
                <w:sz w:val="24"/>
                <w:szCs w:val="24"/>
                <w:highlight w:val="none"/>
              </w:rPr>
              <w:t>20</w:t>
            </w:r>
            <w:r>
              <w:rPr>
                <w:rFonts w:hint="eastAsia" w:ascii="Times New Roman" w:hAnsi="Times New Roman" w:cs="Times New Roman"/>
                <w:color w:val="auto"/>
                <w:sz w:val="24"/>
                <w:szCs w:val="24"/>
                <w:highlight w:val="none"/>
                <w:lang w:val="en-US" w:eastAsia="zh-CN"/>
              </w:rPr>
              <w:t>26</w:t>
            </w:r>
            <w:r>
              <w:rPr>
                <w:rFonts w:hint="eastAsia"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1季度环境质量公报”</w:t>
            </w:r>
            <w:r>
              <w:rPr>
                <w:rFonts w:hint="eastAsia"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rPr>
              <w:t>2026</w:t>
            </w:r>
            <w:r>
              <w:rPr>
                <w:rFonts w:hint="eastAsia" w:ascii="Times New Roman" w:hAnsi="Times New Roman" w:cs="Times New Roman"/>
                <w:color w:val="auto"/>
                <w:sz w:val="24"/>
                <w:szCs w:val="24"/>
                <w:highlight w:val="none"/>
              </w:rPr>
              <w:t>年第一季度对全县</w:t>
            </w:r>
            <w:r>
              <w:rPr>
                <w:rFonts w:hint="default" w:ascii="Times New Roman" w:hAnsi="Times New Roman" w:cs="Times New Roman"/>
                <w:color w:val="auto"/>
                <w:sz w:val="24"/>
                <w:szCs w:val="24"/>
                <w:highlight w:val="none"/>
              </w:rPr>
              <w:t>12条河流（牛栏江、马龙河、前进河、老河、功山河、塘子集镇污水沟、聂鼠龙河、羊街河、马街河、洗马河、木板河、小江支流块河）、2条饮水隧（渠）道（塌鼻子龙潭引水渠、海当隧道）、1个调水取水点（德泽水库调水取水点），17个监控断面进行了监测，达标率为87.5%，与上年同期相比水质达标率无变化。2026年第一季度对全县7主要湖（库）（清水海、板桥河水库、新田河水库、石桥河水库、潘所海、三月三水库、凤龙湾水库），7个监测断面进行监测，达标率为100%。与上年同期相比水质达标率无变化。前进河共设1个监控断面，监测结果显示：哦嘎电站断面水质达到《地表水环境质量标准》（GB3838-2002）Ⅲ类水质量标准，水质类别为</w:t>
            </w:r>
            <w:r>
              <w:rPr>
                <w:rFonts w:hint="eastAsia" w:ascii="Times New Roman" w:hAnsi="Times New Roman" w:cs="Times New Roman"/>
                <w:color w:val="auto"/>
                <w:sz w:val="24"/>
                <w:szCs w:val="24"/>
                <w:highlight w:val="none"/>
              </w:rPr>
              <w:t>Ⅱ</w:t>
            </w:r>
            <w:r>
              <w:rPr>
                <w:rFonts w:hint="default" w:ascii="Times New Roman" w:hAnsi="Times New Roman" w:cs="Times New Roman"/>
                <w:color w:val="auto"/>
                <w:sz w:val="24"/>
                <w:szCs w:val="24"/>
                <w:highlight w:val="none"/>
              </w:rPr>
              <w:t>类水，与2025年同期相比有所好转。</w:t>
            </w:r>
          </w:p>
          <w:p w14:paraId="4D7F9A31">
            <w:pPr>
              <w:pStyle w:val="2"/>
              <w:rPr>
                <w:rFonts w:hint="eastAsia"/>
              </w:rPr>
            </w:pPr>
          </w:p>
          <w:p w14:paraId="526CBBA4">
            <w:pPr>
              <w:spacing w:line="240" w:lineRule="auto"/>
              <w:jc w:val="center"/>
              <w:rPr>
                <w:b/>
                <w:bCs/>
                <w:color w:val="auto"/>
                <w:sz w:val="21"/>
                <w:szCs w:val="21"/>
                <w:highlight w:val="none"/>
              </w:rPr>
            </w:pPr>
            <w:r>
              <w:rPr>
                <w:b/>
                <w:bCs/>
                <w:color w:val="auto"/>
                <w:sz w:val="21"/>
                <w:szCs w:val="21"/>
                <w:highlight w:val="none"/>
              </w:rPr>
              <w:t>表3-</w:t>
            </w:r>
            <w:r>
              <w:rPr>
                <w:rFonts w:hint="eastAsia"/>
                <w:b/>
                <w:bCs/>
                <w:color w:val="auto"/>
                <w:sz w:val="21"/>
                <w:szCs w:val="21"/>
                <w:highlight w:val="none"/>
                <w:lang w:val="en-US" w:eastAsia="zh-CN"/>
              </w:rPr>
              <w:t>2</w:t>
            </w:r>
            <w:r>
              <w:rPr>
                <w:b/>
                <w:bCs/>
                <w:color w:val="auto"/>
                <w:sz w:val="21"/>
                <w:szCs w:val="21"/>
                <w:highlight w:val="none"/>
              </w:rPr>
              <w:t xml:space="preserve">  </w:t>
            </w:r>
            <w:r>
              <w:rPr>
                <w:rFonts w:hint="eastAsia"/>
                <w:b/>
                <w:bCs/>
                <w:color w:val="auto"/>
                <w:sz w:val="21"/>
                <w:szCs w:val="21"/>
                <w:highlight w:val="none"/>
                <w:lang w:val="en-US" w:eastAsia="zh-CN"/>
              </w:rPr>
              <w:t>前进河</w:t>
            </w:r>
            <w:r>
              <w:rPr>
                <w:rFonts w:hint="default" w:ascii="Times New Roman" w:hAnsi="Times New Roman" w:cs="Times New Roman"/>
                <w:b/>
                <w:bCs/>
                <w:color w:val="auto"/>
                <w:sz w:val="21"/>
                <w:szCs w:val="21"/>
                <w:highlight w:val="none"/>
              </w:rPr>
              <w:t>哦嘎电站断面</w:t>
            </w:r>
            <w:r>
              <w:rPr>
                <w:rFonts w:ascii="Times New Roman" w:hAnsi="Times New Roman" w:cs="Times New Roman"/>
                <w:b/>
                <w:bCs/>
                <w:color w:val="auto"/>
                <w:sz w:val="21"/>
                <w:szCs w:val="21"/>
                <w:highlight w:val="none"/>
              </w:rPr>
              <w:t>水</w:t>
            </w:r>
            <w:r>
              <w:rPr>
                <w:b/>
                <w:bCs/>
                <w:color w:val="auto"/>
                <w:sz w:val="21"/>
                <w:szCs w:val="21"/>
                <w:highlight w:val="none"/>
              </w:rPr>
              <w:t>质状况统计表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96"/>
              <w:gridCol w:w="1908"/>
              <w:gridCol w:w="3720"/>
            </w:tblGrid>
            <w:tr w14:paraId="571E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pct"/>
                  <w:vAlign w:val="center"/>
                </w:tcPr>
                <w:p w14:paraId="57E1F17B">
                  <w:pPr>
                    <w:spacing w:line="360" w:lineRule="auto"/>
                    <w:jc w:val="center"/>
                    <w:rPr>
                      <w:b/>
                      <w:bCs/>
                      <w:color w:val="auto"/>
                      <w:sz w:val="21"/>
                      <w:szCs w:val="21"/>
                      <w:highlight w:val="none"/>
                    </w:rPr>
                  </w:pPr>
                  <w:r>
                    <w:rPr>
                      <w:b/>
                      <w:bCs/>
                      <w:color w:val="auto"/>
                      <w:sz w:val="21"/>
                      <w:szCs w:val="21"/>
                      <w:highlight w:val="none"/>
                    </w:rPr>
                    <w:t>测点名称</w:t>
                  </w:r>
                </w:p>
              </w:tc>
              <w:tc>
                <w:tcPr>
                  <w:tcW w:w="706" w:type="pct"/>
                  <w:vAlign w:val="center"/>
                </w:tcPr>
                <w:p w14:paraId="39AB4E5C">
                  <w:pPr>
                    <w:spacing w:line="360" w:lineRule="auto"/>
                    <w:jc w:val="center"/>
                    <w:rPr>
                      <w:rFonts w:hint="eastAsia" w:eastAsia="宋体"/>
                      <w:b/>
                      <w:bCs/>
                      <w:color w:val="auto"/>
                      <w:sz w:val="21"/>
                      <w:szCs w:val="21"/>
                      <w:highlight w:val="none"/>
                      <w:lang w:eastAsia="zh-CN"/>
                    </w:rPr>
                  </w:pPr>
                  <w:r>
                    <w:rPr>
                      <w:rFonts w:hint="eastAsia"/>
                      <w:b/>
                      <w:bCs/>
                      <w:color w:val="auto"/>
                      <w:sz w:val="21"/>
                      <w:szCs w:val="21"/>
                      <w:highlight w:val="none"/>
                      <w:lang w:val="en-US" w:eastAsia="zh-CN"/>
                    </w:rPr>
                    <w:t>日期</w:t>
                  </w:r>
                </w:p>
              </w:tc>
              <w:tc>
                <w:tcPr>
                  <w:tcW w:w="1229" w:type="pct"/>
                  <w:vAlign w:val="center"/>
                </w:tcPr>
                <w:p w14:paraId="408F67FE">
                  <w:pPr>
                    <w:spacing w:line="360" w:lineRule="auto"/>
                    <w:jc w:val="center"/>
                    <w:rPr>
                      <w:b/>
                      <w:bCs/>
                      <w:color w:val="auto"/>
                      <w:sz w:val="21"/>
                      <w:szCs w:val="21"/>
                      <w:highlight w:val="none"/>
                    </w:rPr>
                  </w:pPr>
                  <w:r>
                    <w:rPr>
                      <w:b/>
                      <w:bCs/>
                      <w:color w:val="auto"/>
                      <w:sz w:val="21"/>
                      <w:szCs w:val="21"/>
                      <w:highlight w:val="none"/>
                    </w:rPr>
                    <w:t>水质类别</w:t>
                  </w:r>
                </w:p>
              </w:tc>
              <w:tc>
                <w:tcPr>
                  <w:tcW w:w="2396" w:type="pct"/>
                  <w:vAlign w:val="center"/>
                </w:tcPr>
                <w:p w14:paraId="431CF855">
                  <w:pPr>
                    <w:spacing w:line="360" w:lineRule="auto"/>
                    <w:jc w:val="center"/>
                    <w:rPr>
                      <w:rFonts w:hint="eastAsia" w:eastAsia="宋体"/>
                      <w:b/>
                      <w:bCs/>
                      <w:color w:val="auto"/>
                      <w:sz w:val="21"/>
                      <w:szCs w:val="21"/>
                      <w:highlight w:val="none"/>
                      <w:lang w:eastAsia="zh-CN"/>
                    </w:rPr>
                  </w:pPr>
                  <w:r>
                    <w:rPr>
                      <w:rFonts w:hint="eastAsia"/>
                      <w:b/>
                      <w:bCs/>
                      <w:color w:val="auto"/>
                      <w:sz w:val="21"/>
                      <w:szCs w:val="21"/>
                      <w:highlight w:val="none"/>
                      <w:lang w:val="en-US" w:eastAsia="zh-CN"/>
                    </w:rPr>
                    <w:t>执行标准</w:t>
                  </w:r>
                </w:p>
              </w:tc>
            </w:tr>
            <w:tr w14:paraId="660D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668" w:type="pct"/>
                  <w:vAlign w:val="center"/>
                </w:tcPr>
                <w:p w14:paraId="5D0DB800">
                  <w:pPr>
                    <w:spacing w:line="360" w:lineRule="auto"/>
                    <w:jc w:val="center"/>
                    <w:rPr>
                      <w:color w:val="auto"/>
                      <w:sz w:val="21"/>
                      <w:szCs w:val="21"/>
                      <w:highlight w:val="none"/>
                    </w:rPr>
                  </w:pPr>
                  <w:r>
                    <w:rPr>
                      <w:color w:val="auto"/>
                      <w:sz w:val="21"/>
                      <w:szCs w:val="21"/>
                      <w:highlight w:val="none"/>
                    </w:rPr>
                    <w:t>哦嘎电站</w:t>
                  </w:r>
                </w:p>
              </w:tc>
              <w:tc>
                <w:tcPr>
                  <w:tcW w:w="706" w:type="pct"/>
                  <w:vAlign w:val="center"/>
                </w:tcPr>
                <w:p w14:paraId="55985158">
                  <w:pPr>
                    <w:spacing w:line="360" w:lineRule="auto"/>
                    <w:jc w:val="center"/>
                    <w:rPr>
                      <w:rFonts w:hint="default" w:eastAsia="宋体"/>
                      <w:color w:val="auto"/>
                      <w:sz w:val="21"/>
                      <w:szCs w:val="21"/>
                      <w:highlight w:val="none"/>
                      <w:lang w:val="en-US" w:eastAsia="zh-CN"/>
                    </w:rPr>
                  </w:pPr>
                  <w:r>
                    <w:rPr>
                      <w:rFonts w:hint="eastAsia"/>
                      <w:color w:val="auto"/>
                      <w:sz w:val="21"/>
                      <w:szCs w:val="21"/>
                      <w:highlight w:val="none"/>
                    </w:rPr>
                    <w:t>202</w:t>
                  </w:r>
                  <w:r>
                    <w:rPr>
                      <w:rFonts w:hint="eastAsia"/>
                      <w:color w:val="auto"/>
                      <w:sz w:val="21"/>
                      <w:szCs w:val="21"/>
                      <w:highlight w:val="none"/>
                      <w:lang w:val="en-US" w:eastAsia="zh-CN"/>
                    </w:rPr>
                    <w:t>6年第一季度</w:t>
                  </w:r>
                </w:p>
              </w:tc>
              <w:tc>
                <w:tcPr>
                  <w:tcW w:w="1229" w:type="pct"/>
                  <w:vAlign w:val="center"/>
                </w:tcPr>
                <w:p w14:paraId="43D0FE84">
                  <w:pPr>
                    <w:spacing w:line="360" w:lineRule="auto"/>
                    <w:jc w:val="center"/>
                    <w:rPr>
                      <w:color w:val="auto"/>
                      <w:sz w:val="21"/>
                      <w:szCs w:val="21"/>
                      <w:highlight w:val="none"/>
                    </w:rPr>
                  </w:pPr>
                  <w:r>
                    <w:rPr>
                      <w:rFonts w:hint="eastAsia"/>
                      <w:color w:val="auto"/>
                      <w:sz w:val="21"/>
                      <w:szCs w:val="21"/>
                      <w:highlight w:val="none"/>
                      <w:lang w:val="en-US" w:eastAsia="zh-CN"/>
                    </w:rPr>
                    <w:t>II</w:t>
                  </w:r>
                  <w:r>
                    <w:rPr>
                      <w:color w:val="auto"/>
                      <w:sz w:val="21"/>
                      <w:szCs w:val="21"/>
                      <w:highlight w:val="none"/>
                    </w:rPr>
                    <w:t>类</w:t>
                  </w:r>
                </w:p>
              </w:tc>
              <w:tc>
                <w:tcPr>
                  <w:tcW w:w="2396" w:type="pct"/>
                  <w:vAlign w:val="center"/>
                </w:tcPr>
                <w:p w14:paraId="597B23D0">
                  <w:pPr>
                    <w:spacing w:line="360" w:lineRule="auto"/>
                    <w:jc w:val="center"/>
                    <w:rPr>
                      <w:b/>
                      <w:bCs/>
                      <w:color w:val="auto"/>
                      <w:sz w:val="21"/>
                      <w:szCs w:val="21"/>
                      <w:highlight w:val="none"/>
                    </w:rPr>
                  </w:pPr>
                  <w:r>
                    <w:rPr>
                      <w:rFonts w:hint="default" w:ascii="Times New Roman" w:hAnsi="Times New Roman" w:cs="Times New Roman"/>
                      <w:color w:val="auto"/>
                      <w:sz w:val="21"/>
                      <w:szCs w:val="21"/>
                      <w:highlight w:val="none"/>
                    </w:rPr>
                    <w:t>《地表水环境质量标准》（GB3838-2002）Ⅲ类水质量标准</w:t>
                  </w:r>
                </w:p>
              </w:tc>
            </w:tr>
          </w:tbl>
          <w:p w14:paraId="0637B9FB">
            <w:pPr>
              <w:spacing w:line="360" w:lineRule="auto"/>
              <w:ind w:firstLine="480" w:firstLineChars="200"/>
              <w:rPr>
                <w:rFonts w:hint="eastAsia" w:eastAsia="宋体"/>
                <w:color w:val="auto"/>
                <w:sz w:val="24"/>
                <w:szCs w:val="24"/>
                <w:highlight w:val="none"/>
                <w:lang w:eastAsia="zh-CN"/>
              </w:rPr>
            </w:pPr>
            <w:r>
              <w:rPr>
                <w:rFonts w:hint="eastAsia"/>
                <w:color w:val="auto"/>
                <w:sz w:val="24"/>
                <w:szCs w:val="24"/>
                <w:highlight w:val="none"/>
                <w:lang w:eastAsia="zh-CN"/>
              </w:rPr>
              <w:t>根据上表监测结果</w:t>
            </w:r>
            <w:r>
              <w:rPr>
                <w:color w:val="auto"/>
                <w:sz w:val="24"/>
                <w:szCs w:val="24"/>
                <w:highlight w:val="none"/>
              </w:rPr>
              <w:t>，前进河哦嘎电站水质为</w:t>
            </w:r>
            <w:r>
              <w:rPr>
                <w:rFonts w:hint="eastAsia"/>
                <w:color w:val="auto"/>
                <w:sz w:val="24"/>
                <w:szCs w:val="24"/>
                <w:highlight w:val="none"/>
                <w:lang w:val="en-US" w:eastAsia="zh-CN"/>
              </w:rPr>
              <w:t>II</w:t>
            </w:r>
            <w:r>
              <w:rPr>
                <w:color w:val="auto"/>
                <w:sz w:val="24"/>
                <w:szCs w:val="24"/>
                <w:highlight w:val="none"/>
              </w:rPr>
              <w:t>类</w:t>
            </w:r>
            <w:r>
              <w:rPr>
                <w:rFonts w:hint="eastAsia"/>
                <w:color w:val="auto"/>
                <w:sz w:val="24"/>
                <w:szCs w:val="24"/>
                <w:highlight w:val="none"/>
              </w:rPr>
              <w:t>，能</w:t>
            </w:r>
            <w:r>
              <w:rPr>
                <w:color w:val="auto"/>
                <w:sz w:val="24"/>
                <w:szCs w:val="24"/>
                <w:highlight w:val="none"/>
              </w:rPr>
              <w:t>满足《地表水环境质量标准》（GB3838-2002）中的III类标准</w:t>
            </w:r>
            <w:r>
              <w:rPr>
                <w:rFonts w:hint="eastAsia"/>
                <w:color w:val="auto"/>
                <w:sz w:val="24"/>
                <w:szCs w:val="24"/>
                <w:highlight w:val="none"/>
                <w:lang w:eastAsia="zh-CN"/>
              </w:rPr>
              <w:t>。</w:t>
            </w:r>
          </w:p>
          <w:p w14:paraId="54592848">
            <w:pPr>
              <w:spacing w:line="360" w:lineRule="auto"/>
              <w:ind w:firstLine="482" w:firstLineChars="200"/>
              <w:rPr>
                <w:b/>
                <w:bCs/>
                <w:color w:val="auto"/>
                <w:sz w:val="24"/>
                <w:szCs w:val="24"/>
                <w:highlight w:val="none"/>
              </w:rPr>
            </w:pPr>
            <w:r>
              <w:rPr>
                <w:rFonts w:hint="eastAsia"/>
                <w:b/>
                <w:bCs/>
                <w:color w:val="auto"/>
                <w:sz w:val="24"/>
                <w:szCs w:val="24"/>
                <w:highlight w:val="none"/>
              </w:rPr>
              <w:t>三</w:t>
            </w:r>
            <w:r>
              <w:rPr>
                <w:b/>
                <w:bCs/>
                <w:color w:val="auto"/>
                <w:sz w:val="24"/>
                <w:szCs w:val="24"/>
                <w:highlight w:val="none"/>
              </w:rPr>
              <w:t>、声环境质量现状</w:t>
            </w:r>
          </w:p>
          <w:p w14:paraId="387473DC">
            <w:pPr>
              <w:spacing w:line="360" w:lineRule="auto"/>
              <w:ind w:firstLine="480" w:firstLineChars="200"/>
              <w:rPr>
                <w:color w:val="auto"/>
                <w:sz w:val="24"/>
                <w:szCs w:val="24"/>
                <w:highlight w:val="none"/>
              </w:rPr>
            </w:pPr>
            <w:r>
              <w:rPr>
                <w:color w:val="auto"/>
                <w:sz w:val="24"/>
                <w:szCs w:val="24"/>
                <w:highlight w:val="none"/>
              </w:rPr>
              <w:t>项目区位于寻甸县仁德街道北观社区，项目区属于2类声环境功能区，声环境执行《声环境质量标准》（GB3096-2008）2类区标准。根据现场踏勘，项目周边50m范围内无声环境保护目标，项目周边200m范围内无重大工矿企业污染源存在，项目区声环境质量现状较好，可满足《声环境质量标准》（GB3096-2008）2类区标准要求。</w:t>
            </w:r>
          </w:p>
          <w:p w14:paraId="37B66D72">
            <w:pPr>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本次评价引用</w:t>
            </w:r>
            <w:r>
              <w:rPr>
                <w:rFonts w:hint="default" w:ascii="Times New Roman" w:hAnsi="Times New Roman" w:cs="Times New Roman"/>
                <w:color w:val="auto"/>
                <w:sz w:val="24"/>
                <w:szCs w:val="24"/>
                <w:highlight w:val="none"/>
              </w:rPr>
              <w:t>2025</w:t>
            </w:r>
            <w:r>
              <w:rPr>
                <w:rFonts w:ascii="Times New Roman" w:hAnsi="Times New Roman" w:cs="Times New Roman"/>
                <w:color w:val="auto"/>
                <w:sz w:val="24"/>
                <w:szCs w:val="24"/>
                <w:highlight w:val="none"/>
              </w:rPr>
              <w:t>年第四季度开展寻甸县县城功能区噪声监测一期，</w:t>
            </w:r>
            <w:r>
              <w:rPr>
                <w:rFonts w:hint="default" w:ascii="Times New Roman" w:hAnsi="Times New Roman" w:cs="Times New Roman"/>
                <w:color w:val="auto"/>
                <w:sz w:val="24"/>
                <w:szCs w:val="24"/>
                <w:highlight w:val="none"/>
              </w:rPr>
              <w:t>1类功能区昼间达标率均为100%，夜间达标率均为100%；2、3、4a类功能区昼间达标率均为100%，夜间达标率均为100%。本季度夜间达标率为100.0%。县域声环境质量功能区夜间监测总点次达标率99.2%。</w:t>
            </w:r>
          </w:p>
          <w:p w14:paraId="13C4E546">
            <w:pPr>
              <w:spacing w:line="360" w:lineRule="auto"/>
              <w:ind w:firstLine="482" w:firstLineChars="200"/>
              <w:rPr>
                <w:b/>
                <w:bCs/>
                <w:color w:val="auto"/>
                <w:sz w:val="24"/>
                <w:szCs w:val="24"/>
                <w:highlight w:val="none"/>
              </w:rPr>
            </w:pPr>
            <w:r>
              <w:rPr>
                <w:rFonts w:hint="eastAsia"/>
                <w:b/>
                <w:bCs/>
                <w:color w:val="auto"/>
                <w:sz w:val="24"/>
                <w:szCs w:val="24"/>
                <w:highlight w:val="none"/>
              </w:rPr>
              <w:t>四</w:t>
            </w:r>
            <w:r>
              <w:rPr>
                <w:b/>
                <w:bCs/>
                <w:color w:val="auto"/>
                <w:sz w:val="24"/>
                <w:szCs w:val="24"/>
                <w:highlight w:val="none"/>
              </w:rPr>
              <w:t>、生态环境质量现状</w:t>
            </w:r>
          </w:p>
          <w:p w14:paraId="4E627C30">
            <w:pPr>
              <w:spacing w:line="360" w:lineRule="auto"/>
              <w:ind w:firstLine="480" w:firstLineChars="200"/>
              <w:rPr>
                <w:rFonts w:hint="eastAsia"/>
                <w:color w:val="auto"/>
                <w:sz w:val="24"/>
                <w:szCs w:val="24"/>
                <w:highlight w:val="none"/>
              </w:rPr>
            </w:pPr>
            <w:r>
              <w:rPr>
                <w:color w:val="auto"/>
                <w:sz w:val="24"/>
                <w:szCs w:val="24"/>
                <w:highlight w:val="none"/>
              </w:rPr>
              <w:t>根据现场踏勘，项目区属于</w:t>
            </w:r>
            <w:r>
              <w:rPr>
                <w:rFonts w:hint="eastAsia"/>
                <w:color w:val="auto"/>
                <w:sz w:val="24"/>
                <w:szCs w:val="24"/>
                <w:highlight w:val="none"/>
                <w:lang w:val="en-US" w:eastAsia="zh-CN"/>
              </w:rPr>
              <w:t>林</w:t>
            </w:r>
            <w:r>
              <w:rPr>
                <w:rFonts w:hint="eastAsia"/>
                <w:color w:val="auto"/>
                <w:sz w:val="24"/>
                <w:szCs w:val="24"/>
                <w:highlight w:val="none"/>
              </w:rPr>
              <w:t>地</w:t>
            </w:r>
            <w:r>
              <w:rPr>
                <w:rFonts w:hint="eastAsia"/>
                <w:color w:val="auto"/>
                <w:lang w:eastAsia="zh-CN"/>
              </w:rPr>
              <w:t>、</w:t>
            </w:r>
            <w:r>
              <w:rPr>
                <w:rFonts w:hint="eastAsia"/>
                <w:color w:val="auto"/>
                <w:sz w:val="24"/>
                <w:szCs w:val="24"/>
                <w:lang w:val="en-US" w:eastAsia="zh-CN"/>
              </w:rPr>
              <w:t>草地</w:t>
            </w:r>
            <w:r>
              <w:rPr>
                <w:color w:val="auto"/>
                <w:sz w:val="24"/>
                <w:szCs w:val="24"/>
                <w:highlight w:val="none"/>
              </w:rPr>
              <w:t>，周围现状地表植被主要是云南松、灌草丛等，由于长期受人为活动的影响，动物资源受限制，项目区内未发现国家和省级重点保护野生植物，未发现地方狭域植物分布，也未发现古木名树的存在。</w:t>
            </w:r>
          </w:p>
        </w:tc>
      </w:tr>
      <w:tr w14:paraId="5DE1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0" w:type="dxa"/>
            <w:vAlign w:val="center"/>
          </w:tcPr>
          <w:p w14:paraId="289EEE48">
            <w:pPr>
              <w:spacing w:line="360" w:lineRule="auto"/>
              <w:jc w:val="center"/>
              <w:rPr>
                <w:color w:val="auto"/>
                <w:szCs w:val="21"/>
                <w:highlight w:val="none"/>
              </w:rPr>
            </w:pPr>
            <w:r>
              <w:rPr>
                <w:color w:val="auto"/>
                <w:szCs w:val="21"/>
                <w:highlight w:val="none"/>
              </w:rPr>
              <w:t>环境</w:t>
            </w:r>
          </w:p>
          <w:p w14:paraId="64C3ACD5">
            <w:pPr>
              <w:spacing w:line="360" w:lineRule="auto"/>
              <w:jc w:val="center"/>
              <w:rPr>
                <w:color w:val="auto"/>
                <w:szCs w:val="21"/>
                <w:highlight w:val="none"/>
              </w:rPr>
            </w:pPr>
            <w:r>
              <w:rPr>
                <w:color w:val="auto"/>
                <w:szCs w:val="21"/>
                <w:highlight w:val="none"/>
              </w:rPr>
              <w:t>保护</w:t>
            </w:r>
          </w:p>
          <w:p w14:paraId="76357D85">
            <w:pPr>
              <w:spacing w:line="360" w:lineRule="auto"/>
              <w:jc w:val="center"/>
              <w:rPr>
                <w:color w:val="auto"/>
                <w:szCs w:val="21"/>
                <w:highlight w:val="none"/>
              </w:rPr>
            </w:pPr>
            <w:r>
              <w:rPr>
                <w:color w:val="auto"/>
                <w:szCs w:val="21"/>
                <w:highlight w:val="none"/>
              </w:rPr>
              <w:t>目标</w:t>
            </w:r>
          </w:p>
        </w:tc>
        <w:tc>
          <w:tcPr>
            <w:tcW w:w="8190" w:type="dxa"/>
            <w:vAlign w:val="center"/>
          </w:tcPr>
          <w:p w14:paraId="0DAA6121">
            <w:pPr>
              <w:spacing w:line="360" w:lineRule="auto"/>
              <w:ind w:firstLine="482" w:firstLineChars="200"/>
              <w:rPr>
                <w:b/>
                <w:bCs/>
                <w:color w:val="auto"/>
                <w:sz w:val="24"/>
                <w:szCs w:val="24"/>
                <w:highlight w:val="none"/>
              </w:rPr>
            </w:pPr>
            <w:r>
              <w:rPr>
                <w:b/>
                <w:bCs/>
                <w:color w:val="auto"/>
                <w:sz w:val="24"/>
                <w:szCs w:val="24"/>
                <w:highlight w:val="none"/>
              </w:rPr>
              <w:t>1、大气环境保护目标</w:t>
            </w:r>
          </w:p>
          <w:p w14:paraId="6FDA2685">
            <w:pPr>
              <w:spacing w:line="360" w:lineRule="auto"/>
              <w:ind w:firstLine="480" w:firstLineChars="200"/>
              <w:rPr>
                <w:color w:val="auto"/>
                <w:sz w:val="24"/>
                <w:szCs w:val="24"/>
                <w:highlight w:val="none"/>
              </w:rPr>
            </w:pPr>
            <w:r>
              <w:rPr>
                <w:color w:val="auto"/>
                <w:sz w:val="24"/>
                <w:szCs w:val="24"/>
                <w:highlight w:val="none"/>
              </w:rPr>
              <w:t>根据现场踏勘及调查，项目周边500m范围内有以其末村、以其末村零散住户，周围主要环境保护目标详见表3-</w:t>
            </w:r>
            <w:r>
              <w:rPr>
                <w:rFonts w:hint="eastAsia"/>
                <w:color w:val="auto"/>
                <w:sz w:val="24"/>
                <w:szCs w:val="24"/>
                <w:highlight w:val="none"/>
                <w:lang w:val="en-US" w:eastAsia="zh-CN"/>
              </w:rPr>
              <w:t>3</w:t>
            </w:r>
            <w:r>
              <w:rPr>
                <w:color w:val="auto"/>
                <w:sz w:val="24"/>
                <w:szCs w:val="24"/>
                <w:highlight w:val="none"/>
              </w:rPr>
              <w:t>。</w:t>
            </w:r>
          </w:p>
          <w:p w14:paraId="703F9A68">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3</w:t>
            </w:r>
            <w:r>
              <w:rPr>
                <w:b/>
                <w:bCs/>
                <w:color w:val="auto"/>
                <w:szCs w:val="21"/>
                <w:highlight w:val="none"/>
              </w:rPr>
              <w:t xml:space="preserve">  建设项目大气环境保护目标一览表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19"/>
              <w:gridCol w:w="1319"/>
              <w:gridCol w:w="670"/>
              <w:gridCol w:w="555"/>
              <w:gridCol w:w="1838"/>
              <w:gridCol w:w="736"/>
              <w:gridCol w:w="896"/>
            </w:tblGrid>
            <w:tr w14:paraId="5800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05" w:type="pct"/>
                  <w:vMerge w:val="restart"/>
                  <w:tcBorders>
                    <w:top w:val="single" w:color="auto" w:sz="4" w:space="0"/>
                    <w:left w:val="single" w:color="auto" w:sz="4" w:space="0"/>
                    <w:bottom w:val="single" w:color="auto" w:sz="4" w:space="0"/>
                    <w:right w:val="single" w:color="auto" w:sz="4" w:space="0"/>
                  </w:tcBorders>
                  <w:vAlign w:val="center"/>
                </w:tcPr>
                <w:p w14:paraId="68197D40">
                  <w:pPr>
                    <w:spacing w:line="360" w:lineRule="auto"/>
                    <w:jc w:val="center"/>
                    <w:rPr>
                      <w:b/>
                      <w:bCs/>
                      <w:color w:val="auto"/>
                      <w:sz w:val="21"/>
                      <w:szCs w:val="21"/>
                      <w:highlight w:val="none"/>
                    </w:rPr>
                  </w:pPr>
                  <w:r>
                    <w:rPr>
                      <w:b/>
                      <w:bCs/>
                      <w:color w:val="auto"/>
                      <w:sz w:val="21"/>
                      <w:szCs w:val="21"/>
                      <w:highlight w:val="none"/>
                    </w:rPr>
                    <w:t>环境要素</w:t>
                  </w:r>
                </w:p>
              </w:tc>
              <w:tc>
                <w:tcPr>
                  <w:tcW w:w="1497" w:type="pct"/>
                  <w:gridSpan w:val="2"/>
                  <w:tcBorders>
                    <w:top w:val="single" w:color="auto" w:sz="4" w:space="0"/>
                    <w:left w:val="single" w:color="auto" w:sz="4" w:space="0"/>
                    <w:bottom w:val="single" w:color="auto" w:sz="4" w:space="0"/>
                    <w:right w:val="single" w:color="auto" w:sz="4" w:space="0"/>
                  </w:tcBorders>
                  <w:vAlign w:val="center"/>
                </w:tcPr>
                <w:p w14:paraId="66F74404">
                  <w:pPr>
                    <w:spacing w:line="360" w:lineRule="auto"/>
                    <w:jc w:val="center"/>
                    <w:rPr>
                      <w:b/>
                      <w:bCs/>
                      <w:color w:val="auto"/>
                      <w:sz w:val="21"/>
                      <w:szCs w:val="21"/>
                      <w:highlight w:val="none"/>
                    </w:rPr>
                  </w:pPr>
                  <w:r>
                    <w:rPr>
                      <w:b/>
                      <w:bCs/>
                      <w:color w:val="auto"/>
                      <w:sz w:val="21"/>
                      <w:szCs w:val="21"/>
                      <w:highlight w:val="none"/>
                    </w:rPr>
                    <w:t>坐标/m</w:t>
                  </w:r>
                </w:p>
              </w:tc>
              <w:tc>
                <w:tcPr>
                  <w:tcW w:w="600" w:type="pct"/>
                  <w:vMerge w:val="restart"/>
                  <w:tcBorders>
                    <w:top w:val="single" w:color="auto" w:sz="4" w:space="0"/>
                    <w:left w:val="single" w:color="auto" w:sz="4" w:space="0"/>
                    <w:bottom w:val="single" w:color="auto" w:sz="4" w:space="0"/>
                    <w:right w:val="single" w:color="auto" w:sz="4" w:space="0"/>
                  </w:tcBorders>
                  <w:vAlign w:val="center"/>
                </w:tcPr>
                <w:p w14:paraId="21F68549">
                  <w:pPr>
                    <w:spacing w:line="360" w:lineRule="auto"/>
                    <w:jc w:val="center"/>
                    <w:rPr>
                      <w:b/>
                      <w:bCs/>
                      <w:color w:val="auto"/>
                      <w:sz w:val="21"/>
                      <w:szCs w:val="21"/>
                      <w:highlight w:val="none"/>
                    </w:rPr>
                  </w:pPr>
                  <w:r>
                    <w:rPr>
                      <w:b/>
                      <w:bCs/>
                      <w:color w:val="auto"/>
                      <w:sz w:val="21"/>
                      <w:szCs w:val="21"/>
                      <w:highlight w:val="none"/>
                    </w:rPr>
                    <w:t>保护对象</w:t>
                  </w:r>
                </w:p>
              </w:tc>
              <w:tc>
                <w:tcPr>
                  <w:tcW w:w="457" w:type="pct"/>
                  <w:vMerge w:val="restart"/>
                  <w:tcBorders>
                    <w:top w:val="single" w:color="auto" w:sz="4" w:space="0"/>
                    <w:left w:val="single" w:color="auto" w:sz="4" w:space="0"/>
                    <w:bottom w:val="single" w:color="auto" w:sz="4" w:space="0"/>
                    <w:right w:val="single" w:color="auto" w:sz="4" w:space="0"/>
                  </w:tcBorders>
                  <w:vAlign w:val="center"/>
                </w:tcPr>
                <w:p w14:paraId="7C7921F3">
                  <w:pPr>
                    <w:spacing w:line="360" w:lineRule="auto"/>
                    <w:jc w:val="center"/>
                    <w:rPr>
                      <w:b/>
                      <w:bCs/>
                      <w:color w:val="auto"/>
                      <w:sz w:val="21"/>
                      <w:szCs w:val="21"/>
                      <w:highlight w:val="none"/>
                    </w:rPr>
                  </w:pPr>
                  <w:r>
                    <w:rPr>
                      <w:b/>
                      <w:bCs/>
                      <w:color w:val="auto"/>
                      <w:sz w:val="21"/>
                      <w:szCs w:val="21"/>
                      <w:highlight w:val="none"/>
                    </w:rPr>
                    <w:t>保护内容</w:t>
                  </w:r>
                </w:p>
              </w:tc>
              <w:tc>
                <w:tcPr>
                  <w:tcW w:w="890" w:type="pct"/>
                  <w:vMerge w:val="restart"/>
                  <w:tcBorders>
                    <w:top w:val="single" w:color="auto" w:sz="4" w:space="0"/>
                    <w:left w:val="single" w:color="auto" w:sz="4" w:space="0"/>
                    <w:bottom w:val="single" w:color="auto" w:sz="4" w:space="0"/>
                    <w:right w:val="single" w:color="auto" w:sz="4" w:space="0"/>
                  </w:tcBorders>
                  <w:vAlign w:val="center"/>
                </w:tcPr>
                <w:p w14:paraId="052E9DAC">
                  <w:pPr>
                    <w:spacing w:line="360" w:lineRule="auto"/>
                    <w:jc w:val="center"/>
                    <w:rPr>
                      <w:b/>
                      <w:bCs/>
                      <w:color w:val="auto"/>
                      <w:sz w:val="21"/>
                      <w:szCs w:val="21"/>
                      <w:highlight w:val="none"/>
                    </w:rPr>
                  </w:pPr>
                  <w:r>
                    <w:rPr>
                      <w:b/>
                      <w:bCs/>
                      <w:color w:val="auto"/>
                      <w:sz w:val="21"/>
                      <w:szCs w:val="21"/>
                      <w:highlight w:val="none"/>
                    </w:rPr>
                    <w:t>保护级别</w:t>
                  </w:r>
                </w:p>
              </w:tc>
              <w:tc>
                <w:tcPr>
                  <w:tcW w:w="573" w:type="pct"/>
                  <w:vMerge w:val="restart"/>
                  <w:tcBorders>
                    <w:top w:val="single" w:color="auto" w:sz="4" w:space="0"/>
                    <w:left w:val="single" w:color="auto" w:sz="4" w:space="0"/>
                    <w:bottom w:val="single" w:color="auto" w:sz="4" w:space="0"/>
                    <w:right w:val="single" w:color="auto" w:sz="4" w:space="0"/>
                  </w:tcBorders>
                  <w:vAlign w:val="center"/>
                </w:tcPr>
                <w:p w14:paraId="35EDDFC1">
                  <w:pPr>
                    <w:spacing w:line="360" w:lineRule="auto"/>
                    <w:jc w:val="center"/>
                    <w:rPr>
                      <w:b/>
                      <w:bCs/>
                      <w:color w:val="auto"/>
                      <w:sz w:val="21"/>
                      <w:szCs w:val="21"/>
                      <w:highlight w:val="none"/>
                    </w:rPr>
                  </w:pPr>
                  <w:r>
                    <w:rPr>
                      <w:b/>
                      <w:bCs/>
                      <w:color w:val="auto"/>
                      <w:sz w:val="21"/>
                      <w:szCs w:val="21"/>
                      <w:highlight w:val="none"/>
                    </w:rPr>
                    <w:t>相对厂址方位</w:t>
                  </w:r>
                </w:p>
              </w:tc>
              <w:tc>
                <w:tcPr>
                  <w:tcW w:w="676" w:type="pct"/>
                  <w:vMerge w:val="restart"/>
                  <w:tcBorders>
                    <w:top w:val="single" w:color="auto" w:sz="4" w:space="0"/>
                    <w:left w:val="single" w:color="auto" w:sz="4" w:space="0"/>
                    <w:bottom w:val="single" w:color="auto" w:sz="4" w:space="0"/>
                    <w:right w:val="single" w:color="auto" w:sz="4" w:space="0"/>
                  </w:tcBorders>
                  <w:vAlign w:val="center"/>
                </w:tcPr>
                <w:p w14:paraId="4805B70E">
                  <w:pPr>
                    <w:spacing w:line="360" w:lineRule="auto"/>
                    <w:jc w:val="center"/>
                    <w:rPr>
                      <w:b/>
                      <w:bCs/>
                      <w:color w:val="auto"/>
                      <w:sz w:val="21"/>
                      <w:szCs w:val="21"/>
                      <w:highlight w:val="none"/>
                    </w:rPr>
                  </w:pPr>
                  <w:r>
                    <w:rPr>
                      <w:b/>
                      <w:bCs/>
                      <w:color w:val="auto"/>
                      <w:sz w:val="21"/>
                      <w:szCs w:val="21"/>
                      <w:highlight w:val="none"/>
                    </w:rPr>
                    <w:t>相对厂界距离(m)</w:t>
                  </w:r>
                </w:p>
              </w:tc>
            </w:tr>
            <w:tr w14:paraId="76D0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05" w:type="pct"/>
                  <w:vMerge w:val="continue"/>
                  <w:tcBorders>
                    <w:top w:val="single" w:color="auto" w:sz="4" w:space="0"/>
                    <w:left w:val="single" w:color="auto" w:sz="4" w:space="0"/>
                    <w:bottom w:val="single" w:color="auto" w:sz="4" w:space="0"/>
                    <w:right w:val="single" w:color="auto" w:sz="4" w:space="0"/>
                  </w:tcBorders>
                  <w:vAlign w:val="center"/>
                </w:tcPr>
                <w:p w14:paraId="45CF5E2B">
                  <w:pPr>
                    <w:spacing w:line="360" w:lineRule="auto"/>
                    <w:jc w:val="center"/>
                    <w:rPr>
                      <w:color w:val="auto"/>
                      <w:sz w:val="21"/>
                      <w:szCs w:val="21"/>
                      <w:highlight w:val="none"/>
                    </w:rPr>
                  </w:pPr>
                </w:p>
              </w:tc>
              <w:tc>
                <w:tcPr>
                  <w:tcW w:w="781" w:type="pct"/>
                  <w:tcBorders>
                    <w:top w:val="single" w:color="auto" w:sz="4" w:space="0"/>
                    <w:left w:val="single" w:color="auto" w:sz="4" w:space="0"/>
                    <w:bottom w:val="single" w:color="auto" w:sz="4" w:space="0"/>
                    <w:right w:val="single" w:color="auto" w:sz="4" w:space="0"/>
                  </w:tcBorders>
                  <w:vAlign w:val="center"/>
                </w:tcPr>
                <w:p w14:paraId="496865B8">
                  <w:pPr>
                    <w:spacing w:line="360" w:lineRule="auto"/>
                    <w:jc w:val="center"/>
                    <w:rPr>
                      <w:b/>
                      <w:bCs/>
                      <w:color w:val="auto"/>
                      <w:sz w:val="21"/>
                      <w:szCs w:val="21"/>
                      <w:highlight w:val="none"/>
                    </w:rPr>
                  </w:pPr>
                  <w:r>
                    <w:rPr>
                      <w:b/>
                      <w:bCs/>
                      <w:color w:val="auto"/>
                      <w:sz w:val="21"/>
                      <w:szCs w:val="21"/>
                      <w:highlight w:val="none"/>
                    </w:rPr>
                    <w:t>经度</w:t>
                  </w:r>
                </w:p>
              </w:tc>
              <w:tc>
                <w:tcPr>
                  <w:tcW w:w="716" w:type="pct"/>
                  <w:tcBorders>
                    <w:top w:val="single" w:color="auto" w:sz="4" w:space="0"/>
                    <w:left w:val="single" w:color="auto" w:sz="4" w:space="0"/>
                    <w:bottom w:val="single" w:color="auto" w:sz="4" w:space="0"/>
                    <w:right w:val="single" w:color="auto" w:sz="4" w:space="0"/>
                  </w:tcBorders>
                  <w:vAlign w:val="center"/>
                </w:tcPr>
                <w:p w14:paraId="0FE17D0A">
                  <w:pPr>
                    <w:spacing w:line="360" w:lineRule="auto"/>
                    <w:jc w:val="center"/>
                    <w:rPr>
                      <w:b/>
                      <w:bCs/>
                      <w:color w:val="auto"/>
                      <w:sz w:val="21"/>
                      <w:szCs w:val="21"/>
                      <w:highlight w:val="none"/>
                    </w:rPr>
                  </w:pPr>
                  <w:r>
                    <w:rPr>
                      <w:b/>
                      <w:bCs/>
                      <w:color w:val="auto"/>
                      <w:sz w:val="21"/>
                      <w:szCs w:val="21"/>
                      <w:highlight w:val="none"/>
                    </w:rPr>
                    <w:t>纬度</w:t>
                  </w:r>
                </w:p>
              </w:tc>
              <w:tc>
                <w:tcPr>
                  <w:tcW w:w="600" w:type="pct"/>
                  <w:vMerge w:val="continue"/>
                  <w:tcBorders>
                    <w:top w:val="single" w:color="auto" w:sz="4" w:space="0"/>
                    <w:left w:val="single" w:color="auto" w:sz="4" w:space="0"/>
                    <w:bottom w:val="single" w:color="auto" w:sz="4" w:space="0"/>
                    <w:right w:val="single" w:color="auto" w:sz="4" w:space="0"/>
                  </w:tcBorders>
                  <w:vAlign w:val="center"/>
                </w:tcPr>
                <w:p w14:paraId="61F47F3A">
                  <w:pPr>
                    <w:spacing w:line="360" w:lineRule="auto"/>
                    <w:jc w:val="center"/>
                    <w:rPr>
                      <w:color w:val="auto"/>
                      <w:sz w:val="21"/>
                      <w:szCs w:val="21"/>
                      <w:highlight w:val="none"/>
                    </w:rPr>
                  </w:pPr>
                </w:p>
              </w:tc>
              <w:tc>
                <w:tcPr>
                  <w:tcW w:w="457" w:type="pct"/>
                  <w:vMerge w:val="continue"/>
                  <w:tcBorders>
                    <w:top w:val="single" w:color="auto" w:sz="4" w:space="0"/>
                    <w:left w:val="single" w:color="auto" w:sz="4" w:space="0"/>
                    <w:bottom w:val="single" w:color="auto" w:sz="4" w:space="0"/>
                    <w:right w:val="single" w:color="auto" w:sz="4" w:space="0"/>
                  </w:tcBorders>
                  <w:vAlign w:val="center"/>
                </w:tcPr>
                <w:p w14:paraId="37DEFFA3">
                  <w:pPr>
                    <w:spacing w:line="360" w:lineRule="auto"/>
                    <w:jc w:val="center"/>
                    <w:rPr>
                      <w:color w:val="auto"/>
                      <w:sz w:val="21"/>
                      <w:szCs w:val="21"/>
                      <w:highlight w:val="none"/>
                    </w:rPr>
                  </w:pPr>
                </w:p>
              </w:tc>
              <w:tc>
                <w:tcPr>
                  <w:tcW w:w="890" w:type="pct"/>
                  <w:vMerge w:val="continue"/>
                  <w:tcBorders>
                    <w:top w:val="single" w:color="auto" w:sz="4" w:space="0"/>
                    <w:left w:val="single" w:color="auto" w:sz="4" w:space="0"/>
                    <w:bottom w:val="single" w:color="auto" w:sz="4" w:space="0"/>
                    <w:right w:val="single" w:color="auto" w:sz="4" w:space="0"/>
                  </w:tcBorders>
                  <w:vAlign w:val="center"/>
                </w:tcPr>
                <w:p w14:paraId="2465C4FE">
                  <w:pPr>
                    <w:spacing w:line="360" w:lineRule="auto"/>
                    <w:jc w:val="center"/>
                    <w:rPr>
                      <w:color w:val="auto"/>
                      <w:sz w:val="21"/>
                      <w:szCs w:val="21"/>
                      <w:highlight w:val="none"/>
                    </w:rPr>
                  </w:pPr>
                </w:p>
              </w:tc>
              <w:tc>
                <w:tcPr>
                  <w:tcW w:w="573" w:type="pct"/>
                  <w:vMerge w:val="continue"/>
                  <w:tcBorders>
                    <w:top w:val="single" w:color="auto" w:sz="4" w:space="0"/>
                    <w:left w:val="single" w:color="auto" w:sz="4" w:space="0"/>
                    <w:bottom w:val="single" w:color="auto" w:sz="4" w:space="0"/>
                    <w:right w:val="single" w:color="auto" w:sz="4" w:space="0"/>
                  </w:tcBorders>
                  <w:vAlign w:val="center"/>
                </w:tcPr>
                <w:p w14:paraId="6CC6E908">
                  <w:pPr>
                    <w:spacing w:line="360" w:lineRule="auto"/>
                    <w:jc w:val="center"/>
                    <w:rPr>
                      <w:color w:val="auto"/>
                      <w:sz w:val="21"/>
                      <w:szCs w:val="21"/>
                      <w:highlight w:val="none"/>
                    </w:rPr>
                  </w:pPr>
                </w:p>
              </w:tc>
              <w:tc>
                <w:tcPr>
                  <w:tcW w:w="676" w:type="pct"/>
                  <w:vMerge w:val="continue"/>
                  <w:tcBorders>
                    <w:top w:val="single" w:color="auto" w:sz="4" w:space="0"/>
                    <w:left w:val="single" w:color="auto" w:sz="4" w:space="0"/>
                    <w:bottom w:val="single" w:color="auto" w:sz="4" w:space="0"/>
                    <w:right w:val="single" w:color="auto" w:sz="4" w:space="0"/>
                  </w:tcBorders>
                  <w:vAlign w:val="center"/>
                </w:tcPr>
                <w:p w14:paraId="0DF8D967">
                  <w:pPr>
                    <w:spacing w:line="360" w:lineRule="auto"/>
                    <w:jc w:val="center"/>
                    <w:rPr>
                      <w:color w:val="auto"/>
                      <w:sz w:val="21"/>
                      <w:szCs w:val="21"/>
                      <w:highlight w:val="none"/>
                    </w:rPr>
                  </w:pPr>
                </w:p>
              </w:tc>
            </w:tr>
            <w:tr w14:paraId="477E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restart"/>
                  <w:tcBorders>
                    <w:top w:val="single" w:color="auto" w:sz="4" w:space="0"/>
                    <w:left w:val="single" w:color="auto" w:sz="4" w:space="0"/>
                    <w:right w:val="single" w:color="auto" w:sz="4" w:space="0"/>
                  </w:tcBorders>
                  <w:vAlign w:val="center"/>
                </w:tcPr>
                <w:p w14:paraId="3DE825C5">
                  <w:pPr>
                    <w:spacing w:line="360" w:lineRule="auto"/>
                    <w:jc w:val="center"/>
                    <w:rPr>
                      <w:color w:val="auto"/>
                      <w:sz w:val="21"/>
                      <w:szCs w:val="21"/>
                      <w:highlight w:val="none"/>
                    </w:rPr>
                  </w:pPr>
                  <w:r>
                    <w:rPr>
                      <w:color w:val="auto"/>
                      <w:sz w:val="21"/>
                      <w:szCs w:val="21"/>
                      <w:highlight w:val="none"/>
                    </w:rPr>
                    <w:t>大气环境</w:t>
                  </w:r>
                </w:p>
              </w:tc>
              <w:tc>
                <w:tcPr>
                  <w:tcW w:w="1244" w:type="dxa"/>
                  <w:tcBorders>
                    <w:top w:val="single" w:color="auto" w:sz="4" w:space="0"/>
                    <w:left w:val="single" w:color="auto" w:sz="4" w:space="0"/>
                    <w:right w:val="single" w:color="auto" w:sz="4" w:space="0"/>
                  </w:tcBorders>
                  <w:vAlign w:val="center"/>
                </w:tcPr>
                <w:p w14:paraId="6AEDC4B3">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103.2603483</w:t>
                  </w:r>
                </w:p>
              </w:tc>
              <w:tc>
                <w:tcPr>
                  <w:tcW w:w="1142" w:type="dxa"/>
                  <w:tcBorders>
                    <w:top w:val="single" w:color="auto" w:sz="4" w:space="0"/>
                    <w:left w:val="single" w:color="auto" w:sz="4" w:space="0"/>
                    <w:right w:val="single" w:color="auto" w:sz="4" w:space="0"/>
                  </w:tcBorders>
                  <w:vAlign w:val="center"/>
                </w:tcPr>
                <w:p w14:paraId="6ADEC1AF">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25.61235212</w:t>
                  </w:r>
                </w:p>
              </w:tc>
              <w:tc>
                <w:tcPr>
                  <w:tcW w:w="956" w:type="dxa"/>
                  <w:tcBorders>
                    <w:top w:val="single" w:color="auto" w:sz="4" w:space="0"/>
                    <w:left w:val="single" w:color="auto" w:sz="4" w:space="0"/>
                    <w:right w:val="single" w:color="auto" w:sz="4" w:space="0"/>
                  </w:tcBorders>
                  <w:vAlign w:val="center"/>
                </w:tcPr>
                <w:p w14:paraId="1EE2810E">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以其末村</w:t>
                  </w:r>
                </w:p>
              </w:tc>
              <w:tc>
                <w:tcPr>
                  <w:tcW w:w="728" w:type="dxa"/>
                  <w:tcBorders>
                    <w:top w:val="single" w:color="auto" w:sz="4" w:space="0"/>
                    <w:left w:val="single" w:color="auto" w:sz="4" w:space="0"/>
                    <w:right w:val="single" w:color="auto" w:sz="4" w:space="0"/>
                  </w:tcBorders>
                  <w:vAlign w:val="center"/>
                </w:tcPr>
                <w:p w14:paraId="38B7F911">
                  <w:pPr>
                    <w:keepNext w:val="0"/>
                    <w:keepLines w:val="0"/>
                    <w:widowControl/>
                    <w:suppressLineNumbers w:val="0"/>
                    <w:jc w:val="center"/>
                    <w:textAlignment w:val="center"/>
                    <w:rPr>
                      <w:rFonts w:hint="default"/>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165</w:t>
                  </w:r>
                  <w:r>
                    <w:rPr>
                      <w:rFonts w:hint="eastAsia" w:ascii="Times New Roman" w:hAnsi="Times New Roman" w:eastAsia="宋体" w:cs="Times New Roman"/>
                      <w:i w:val="0"/>
                      <w:iCs w:val="0"/>
                      <w:color w:val="auto"/>
                      <w:kern w:val="0"/>
                      <w:sz w:val="21"/>
                      <w:szCs w:val="21"/>
                      <w:highlight w:val="none"/>
                      <w:u w:val="none"/>
                      <w:lang w:val="en-US" w:eastAsia="zh-CN" w:bidi="ar"/>
                    </w:rPr>
                    <w:t>人</w:t>
                  </w:r>
                </w:p>
              </w:tc>
              <w:tc>
                <w:tcPr>
                  <w:tcW w:w="890" w:type="pct"/>
                  <w:vMerge w:val="restart"/>
                  <w:tcBorders>
                    <w:top w:val="single" w:color="auto" w:sz="4" w:space="0"/>
                    <w:left w:val="single" w:color="auto" w:sz="4" w:space="0"/>
                    <w:right w:val="single" w:color="auto" w:sz="4" w:space="0"/>
                  </w:tcBorders>
                  <w:vAlign w:val="center"/>
                </w:tcPr>
                <w:p w14:paraId="1985185F">
                  <w:pPr>
                    <w:spacing w:line="360" w:lineRule="auto"/>
                    <w:jc w:val="center"/>
                    <w:rPr>
                      <w:color w:val="auto"/>
                      <w:sz w:val="21"/>
                      <w:szCs w:val="21"/>
                      <w:highlight w:val="none"/>
                    </w:rPr>
                  </w:pPr>
                  <w:r>
                    <w:rPr>
                      <w:rFonts w:hint="eastAsia"/>
                      <w:color w:val="auto"/>
                      <w:sz w:val="21"/>
                      <w:szCs w:val="21"/>
                    </w:rPr>
                    <w:t>《环境空气质量标准》（GB3095-2026）过渡阶段二级浓度限值</w:t>
                  </w:r>
                </w:p>
              </w:tc>
              <w:tc>
                <w:tcPr>
                  <w:tcW w:w="913" w:type="dxa"/>
                  <w:tcBorders>
                    <w:top w:val="single" w:color="auto" w:sz="4" w:space="0"/>
                    <w:left w:val="single" w:color="auto" w:sz="4" w:space="0"/>
                    <w:right w:val="single" w:color="auto" w:sz="4" w:space="0"/>
                  </w:tcBorders>
                  <w:vAlign w:val="center"/>
                </w:tcPr>
                <w:p w14:paraId="43C236E4">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地块一</w:t>
                  </w:r>
                  <w:r>
                    <w:rPr>
                      <w:rStyle w:val="64"/>
                      <w:color w:val="auto"/>
                      <w:highlight w:val="none"/>
                      <w:lang w:val="en-US" w:eastAsia="zh-CN" w:bidi="ar"/>
                    </w:rPr>
                    <w:t>东北</w:t>
                  </w:r>
                </w:p>
              </w:tc>
              <w:tc>
                <w:tcPr>
                  <w:tcW w:w="1077" w:type="dxa"/>
                  <w:tcBorders>
                    <w:top w:val="single" w:color="auto" w:sz="4" w:space="0"/>
                    <w:left w:val="single" w:color="auto" w:sz="4" w:space="0"/>
                    <w:right w:val="single" w:color="auto" w:sz="4" w:space="0"/>
                  </w:tcBorders>
                  <w:vAlign w:val="center"/>
                </w:tcPr>
                <w:p w14:paraId="310CDD29">
                  <w:pPr>
                    <w:keepNext w:val="0"/>
                    <w:keepLines w:val="0"/>
                    <w:widowControl/>
                    <w:suppressLineNumbers w:val="0"/>
                    <w:jc w:val="center"/>
                    <w:textAlignment w:val="center"/>
                    <w:rPr>
                      <w:rFonts w:hint="default"/>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320</w:t>
                  </w:r>
                </w:p>
              </w:tc>
            </w:tr>
            <w:tr w14:paraId="5846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05" w:type="pct"/>
                  <w:vMerge w:val="continue"/>
                  <w:tcBorders>
                    <w:left w:val="single" w:color="auto" w:sz="4" w:space="0"/>
                    <w:right w:val="single" w:color="auto" w:sz="4" w:space="0"/>
                  </w:tcBorders>
                  <w:vAlign w:val="center"/>
                </w:tcPr>
                <w:p w14:paraId="4CD3C4BB">
                  <w:pPr>
                    <w:spacing w:line="360" w:lineRule="auto"/>
                    <w:jc w:val="center"/>
                    <w:rPr>
                      <w:color w:val="auto"/>
                      <w:sz w:val="21"/>
                      <w:szCs w:val="21"/>
                      <w:highlight w:val="none"/>
                    </w:rPr>
                  </w:pPr>
                </w:p>
              </w:tc>
              <w:tc>
                <w:tcPr>
                  <w:tcW w:w="1244" w:type="dxa"/>
                  <w:tcBorders>
                    <w:top w:val="single" w:color="auto" w:sz="4" w:space="0"/>
                    <w:left w:val="single" w:color="auto" w:sz="4" w:space="0"/>
                    <w:bottom w:val="single" w:color="auto" w:sz="4" w:space="0"/>
                    <w:right w:val="single" w:color="auto" w:sz="4" w:space="0"/>
                  </w:tcBorders>
                  <w:vAlign w:val="center"/>
                </w:tcPr>
                <w:p w14:paraId="1AA2E6E7">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103.2591081</w:t>
                  </w:r>
                </w:p>
              </w:tc>
              <w:tc>
                <w:tcPr>
                  <w:tcW w:w="1142" w:type="dxa"/>
                  <w:tcBorders>
                    <w:top w:val="single" w:color="auto" w:sz="4" w:space="0"/>
                    <w:left w:val="single" w:color="auto" w:sz="4" w:space="0"/>
                    <w:bottom w:val="single" w:color="auto" w:sz="4" w:space="0"/>
                    <w:right w:val="single" w:color="auto" w:sz="4" w:space="0"/>
                  </w:tcBorders>
                  <w:vAlign w:val="center"/>
                </w:tcPr>
                <w:p w14:paraId="6B78326E">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25.61083742</w:t>
                  </w:r>
                </w:p>
              </w:tc>
              <w:tc>
                <w:tcPr>
                  <w:tcW w:w="956" w:type="dxa"/>
                  <w:tcBorders>
                    <w:top w:val="single" w:color="auto" w:sz="4" w:space="0"/>
                    <w:left w:val="single" w:color="auto" w:sz="4" w:space="0"/>
                    <w:bottom w:val="single" w:color="auto" w:sz="4" w:space="0"/>
                    <w:right w:val="single" w:color="auto" w:sz="4" w:space="0"/>
                  </w:tcBorders>
                  <w:vAlign w:val="center"/>
                </w:tcPr>
                <w:p w14:paraId="1FF9D587">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以其末村零散住户</w:t>
                  </w:r>
                </w:p>
              </w:tc>
              <w:tc>
                <w:tcPr>
                  <w:tcW w:w="728" w:type="dxa"/>
                  <w:tcBorders>
                    <w:top w:val="single" w:color="auto" w:sz="4" w:space="0"/>
                    <w:left w:val="single" w:color="auto" w:sz="4" w:space="0"/>
                    <w:bottom w:val="single" w:color="auto" w:sz="4" w:space="0"/>
                    <w:right w:val="single" w:color="auto" w:sz="4" w:space="0"/>
                  </w:tcBorders>
                  <w:vAlign w:val="center"/>
                </w:tcPr>
                <w:p w14:paraId="075CFC2F">
                  <w:pPr>
                    <w:keepNext w:val="0"/>
                    <w:keepLines w:val="0"/>
                    <w:widowControl/>
                    <w:suppressLineNumbers w:val="0"/>
                    <w:jc w:val="center"/>
                    <w:textAlignment w:val="center"/>
                    <w:rPr>
                      <w:rFonts w:hint="default"/>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35</w:t>
                  </w:r>
                  <w:r>
                    <w:rPr>
                      <w:rFonts w:hint="eastAsia" w:ascii="Times New Roman" w:hAnsi="Times New Roman" w:eastAsia="宋体" w:cs="Times New Roman"/>
                      <w:i w:val="0"/>
                      <w:iCs w:val="0"/>
                      <w:color w:val="auto"/>
                      <w:kern w:val="0"/>
                      <w:sz w:val="21"/>
                      <w:szCs w:val="21"/>
                      <w:highlight w:val="none"/>
                      <w:u w:val="none"/>
                      <w:lang w:val="en-US" w:eastAsia="zh-CN" w:bidi="ar"/>
                    </w:rPr>
                    <w:t>人</w:t>
                  </w:r>
                </w:p>
              </w:tc>
              <w:tc>
                <w:tcPr>
                  <w:tcW w:w="890" w:type="pct"/>
                  <w:vMerge w:val="continue"/>
                  <w:tcBorders>
                    <w:left w:val="single" w:color="auto" w:sz="4" w:space="0"/>
                    <w:right w:val="single" w:color="auto" w:sz="4" w:space="0"/>
                  </w:tcBorders>
                  <w:vAlign w:val="center"/>
                </w:tcPr>
                <w:p w14:paraId="3CE36941">
                  <w:pPr>
                    <w:spacing w:line="360" w:lineRule="auto"/>
                    <w:jc w:val="center"/>
                    <w:rPr>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vAlign w:val="center"/>
                </w:tcPr>
                <w:p w14:paraId="7D21FA9C">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地块</w:t>
                  </w:r>
                  <w:r>
                    <w:rPr>
                      <w:rFonts w:hint="eastAsia" w:ascii="宋体" w:hAnsi="宋体" w:cs="宋体"/>
                      <w:i w:val="0"/>
                      <w:iCs w:val="0"/>
                      <w:color w:val="auto"/>
                      <w:kern w:val="0"/>
                      <w:sz w:val="21"/>
                      <w:szCs w:val="21"/>
                      <w:highlight w:val="none"/>
                      <w:u w:val="none"/>
                      <w:lang w:val="en-US" w:eastAsia="zh-CN" w:bidi="ar"/>
                    </w:rPr>
                    <w:t>三</w:t>
                  </w:r>
                  <w:r>
                    <w:rPr>
                      <w:rStyle w:val="64"/>
                      <w:color w:val="auto"/>
                      <w:highlight w:val="none"/>
                      <w:lang w:val="en-US" w:eastAsia="zh-CN" w:bidi="ar"/>
                    </w:rPr>
                    <w:t>东南</w:t>
                  </w:r>
                </w:p>
              </w:tc>
              <w:tc>
                <w:tcPr>
                  <w:tcW w:w="1077" w:type="dxa"/>
                  <w:tcBorders>
                    <w:top w:val="single" w:color="auto" w:sz="4" w:space="0"/>
                    <w:left w:val="single" w:color="auto" w:sz="4" w:space="0"/>
                    <w:bottom w:val="single" w:color="auto" w:sz="4" w:space="0"/>
                    <w:right w:val="single" w:color="auto" w:sz="4" w:space="0"/>
                  </w:tcBorders>
                  <w:vAlign w:val="center"/>
                </w:tcPr>
                <w:p w14:paraId="0E29C246">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350</w:t>
                  </w:r>
                </w:p>
              </w:tc>
            </w:tr>
            <w:tr w14:paraId="13B5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05" w:type="pct"/>
                  <w:vMerge w:val="continue"/>
                  <w:tcBorders>
                    <w:left w:val="single" w:color="auto" w:sz="4" w:space="0"/>
                    <w:right w:val="single" w:color="auto" w:sz="4" w:space="0"/>
                  </w:tcBorders>
                  <w:vAlign w:val="center"/>
                </w:tcPr>
                <w:p w14:paraId="15F38D19">
                  <w:pPr>
                    <w:spacing w:line="360" w:lineRule="auto"/>
                    <w:jc w:val="center"/>
                    <w:rPr>
                      <w:color w:val="auto"/>
                      <w:sz w:val="21"/>
                      <w:szCs w:val="21"/>
                      <w:highlight w:val="none"/>
                    </w:rPr>
                  </w:pPr>
                </w:p>
              </w:tc>
              <w:tc>
                <w:tcPr>
                  <w:tcW w:w="1244" w:type="dxa"/>
                  <w:tcBorders>
                    <w:top w:val="single" w:color="auto" w:sz="4" w:space="0"/>
                    <w:left w:val="single" w:color="auto" w:sz="4" w:space="0"/>
                    <w:bottom w:val="single" w:color="auto" w:sz="4" w:space="0"/>
                    <w:right w:val="single" w:color="auto" w:sz="4" w:space="0"/>
                  </w:tcBorders>
                  <w:vAlign w:val="center"/>
                </w:tcPr>
                <w:p w14:paraId="604342BC">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103.2592573</w:t>
                  </w:r>
                </w:p>
              </w:tc>
              <w:tc>
                <w:tcPr>
                  <w:tcW w:w="1142" w:type="dxa"/>
                  <w:tcBorders>
                    <w:top w:val="single" w:color="auto" w:sz="4" w:space="0"/>
                    <w:left w:val="single" w:color="auto" w:sz="4" w:space="0"/>
                    <w:bottom w:val="single" w:color="auto" w:sz="4" w:space="0"/>
                    <w:right w:val="single" w:color="auto" w:sz="4" w:space="0"/>
                  </w:tcBorders>
                  <w:vAlign w:val="center"/>
                </w:tcPr>
                <w:p w14:paraId="12199E4E">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25.61183642</w:t>
                  </w:r>
                </w:p>
              </w:tc>
              <w:tc>
                <w:tcPr>
                  <w:tcW w:w="956" w:type="dxa"/>
                  <w:tcBorders>
                    <w:top w:val="single" w:color="auto" w:sz="4" w:space="0"/>
                    <w:left w:val="single" w:color="auto" w:sz="4" w:space="0"/>
                    <w:bottom w:val="single" w:color="auto" w:sz="4" w:space="0"/>
                    <w:right w:val="single" w:color="auto" w:sz="4" w:space="0"/>
                  </w:tcBorders>
                  <w:vAlign w:val="center"/>
                </w:tcPr>
                <w:p w14:paraId="44EA65DE">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以其末村零散住户</w:t>
                  </w:r>
                </w:p>
              </w:tc>
              <w:tc>
                <w:tcPr>
                  <w:tcW w:w="728" w:type="dxa"/>
                  <w:tcBorders>
                    <w:top w:val="single" w:color="auto" w:sz="4" w:space="0"/>
                    <w:left w:val="single" w:color="auto" w:sz="4" w:space="0"/>
                    <w:bottom w:val="single" w:color="auto" w:sz="4" w:space="0"/>
                    <w:right w:val="single" w:color="auto" w:sz="4" w:space="0"/>
                  </w:tcBorders>
                  <w:vAlign w:val="center"/>
                </w:tcPr>
                <w:p w14:paraId="41B108CB">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eastAsia" w:ascii="Times New Roman" w:hAnsi="Times New Roman" w:eastAsia="宋体" w:cs="Times New Roman"/>
                      <w:i w:val="0"/>
                      <w:iCs w:val="0"/>
                      <w:color w:val="auto"/>
                      <w:kern w:val="0"/>
                      <w:sz w:val="21"/>
                      <w:szCs w:val="21"/>
                      <w:highlight w:val="none"/>
                      <w:u w:val="none"/>
                      <w:lang w:val="en-US" w:eastAsia="zh-CN" w:bidi="ar"/>
                    </w:rPr>
                    <w:t>人</w:t>
                  </w:r>
                </w:p>
              </w:tc>
              <w:tc>
                <w:tcPr>
                  <w:tcW w:w="890" w:type="pct"/>
                  <w:vMerge w:val="continue"/>
                  <w:tcBorders>
                    <w:left w:val="single" w:color="auto" w:sz="4" w:space="0"/>
                    <w:right w:val="single" w:color="auto" w:sz="4" w:space="0"/>
                  </w:tcBorders>
                  <w:vAlign w:val="center"/>
                </w:tcPr>
                <w:p w14:paraId="3ED446CD">
                  <w:pPr>
                    <w:spacing w:line="360" w:lineRule="auto"/>
                    <w:jc w:val="center"/>
                    <w:rPr>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vAlign w:val="center"/>
                </w:tcPr>
                <w:p w14:paraId="37A3E29B">
                  <w:pPr>
                    <w:keepNext w:val="0"/>
                    <w:keepLines w:val="0"/>
                    <w:widowControl/>
                    <w:suppressLineNumbers w:val="0"/>
                    <w:jc w:val="center"/>
                    <w:textAlignment w:val="center"/>
                    <w:rPr>
                      <w:rFonts w:hint="default"/>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地块一</w:t>
                  </w:r>
                  <w:r>
                    <w:rPr>
                      <w:rStyle w:val="65"/>
                      <w:color w:val="auto"/>
                      <w:highlight w:val="none"/>
                      <w:lang w:val="en-US" w:eastAsia="zh-CN" w:bidi="ar"/>
                    </w:rPr>
                    <w:t>东</w:t>
                  </w:r>
                </w:p>
              </w:tc>
              <w:tc>
                <w:tcPr>
                  <w:tcW w:w="1077" w:type="dxa"/>
                  <w:tcBorders>
                    <w:top w:val="single" w:color="auto" w:sz="4" w:space="0"/>
                    <w:left w:val="single" w:color="auto" w:sz="4" w:space="0"/>
                    <w:bottom w:val="single" w:color="auto" w:sz="4" w:space="0"/>
                    <w:right w:val="single" w:color="auto" w:sz="4" w:space="0"/>
                  </w:tcBorders>
                  <w:vAlign w:val="center"/>
                </w:tcPr>
                <w:p w14:paraId="54C9C18A">
                  <w:pPr>
                    <w:keepNext w:val="0"/>
                    <w:keepLines w:val="0"/>
                    <w:widowControl/>
                    <w:suppressLineNumbers w:val="0"/>
                    <w:jc w:val="center"/>
                    <w:textAlignment w:val="center"/>
                    <w:rPr>
                      <w:rFonts w:hint="default"/>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160</w:t>
                  </w:r>
                </w:p>
              </w:tc>
            </w:tr>
            <w:tr w14:paraId="43C2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05" w:type="pct"/>
                  <w:vMerge w:val="continue"/>
                  <w:tcBorders>
                    <w:left w:val="single" w:color="auto" w:sz="4" w:space="0"/>
                    <w:right w:val="single" w:color="auto" w:sz="4" w:space="0"/>
                  </w:tcBorders>
                  <w:vAlign w:val="center"/>
                </w:tcPr>
                <w:p w14:paraId="74891A6D">
                  <w:pPr>
                    <w:spacing w:line="360" w:lineRule="auto"/>
                    <w:jc w:val="center"/>
                    <w:rPr>
                      <w:color w:val="auto"/>
                      <w:sz w:val="21"/>
                      <w:szCs w:val="21"/>
                      <w:highlight w:val="none"/>
                    </w:rPr>
                  </w:pPr>
                </w:p>
              </w:tc>
              <w:tc>
                <w:tcPr>
                  <w:tcW w:w="1244" w:type="dxa"/>
                  <w:tcBorders>
                    <w:top w:val="single" w:color="auto" w:sz="4" w:space="0"/>
                    <w:left w:val="single" w:color="auto" w:sz="4" w:space="0"/>
                    <w:right w:val="single" w:color="auto" w:sz="4" w:space="0"/>
                  </w:tcBorders>
                  <w:vAlign w:val="center"/>
                </w:tcPr>
                <w:p w14:paraId="0E77ECBB">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103.2597521</w:t>
                  </w:r>
                </w:p>
              </w:tc>
              <w:tc>
                <w:tcPr>
                  <w:tcW w:w="1142" w:type="dxa"/>
                  <w:tcBorders>
                    <w:top w:val="single" w:color="auto" w:sz="4" w:space="0"/>
                    <w:left w:val="single" w:color="auto" w:sz="4" w:space="0"/>
                    <w:right w:val="single" w:color="auto" w:sz="4" w:space="0"/>
                  </w:tcBorders>
                  <w:vAlign w:val="center"/>
                </w:tcPr>
                <w:p w14:paraId="6A7BDE19">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25.61027012</w:t>
                  </w:r>
                </w:p>
              </w:tc>
              <w:tc>
                <w:tcPr>
                  <w:tcW w:w="956" w:type="dxa"/>
                  <w:tcBorders>
                    <w:top w:val="single" w:color="auto" w:sz="4" w:space="0"/>
                    <w:left w:val="single" w:color="auto" w:sz="4" w:space="0"/>
                    <w:right w:val="single" w:color="auto" w:sz="4" w:space="0"/>
                  </w:tcBorders>
                  <w:vAlign w:val="center"/>
                </w:tcPr>
                <w:p w14:paraId="69835E4C">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以其末村零散住户</w:t>
                  </w:r>
                </w:p>
              </w:tc>
              <w:tc>
                <w:tcPr>
                  <w:tcW w:w="728" w:type="dxa"/>
                  <w:tcBorders>
                    <w:top w:val="single" w:color="auto" w:sz="4" w:space="0"/>
                    <w:left w:val="single" w:color="auto" w:sz="4" w:space="0"/>
                    <w:right w:val="single" w:color="auto" w:sz="4" w:space="0"/>
                  </w:tcBorders>
                  <w:vAlign w:val="center"/>
                </w:tcPr>
                <w:p w14:paraId="6A5E40E0">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w:t>
                  </w:r>
                  <w:r>
                    <w:rPr>
                      <w:rFonts w:hint="eastAsia" w:ascii="Times New Roman" w:hAnsi="Times New Roman" w:eastAsia="宋体" w:cs="Times New Roman"/>
                      <w:i w:val="0"/>
                      <w:iCs w:val="0"/>
                      <w:color w:val="auto"/>
                      <w:kern w:val="0"/>
                      <w:sz w:val="21"/>
                      <w:szCs w:val="21"/>
                      <w:highlight w:val="none"/>
                      <w:u w:val="none"/>
                      <w:lang w:val="en-US" w:eastAsia="zh-CN" w:bidi="ar"/>
                    </w:rPr>
                    <w:t>人</w:t>
                  </w:r>
                </w:p>
              </w:tc>
              <w:tc>
                <w:tcPr>
                  <w:tcW w:w="890" w:type="pct"/>
                  <w:vMerge w:val="continue"/>
                  <w:tcBorders>
                    <w:left w:val="single" w:color="auto" w:sz="4" w:space="0"/>
                    <w:right w:val="single" w:color="auto" w:sz="4" w:space="0"/>
                  </w:tcBorders>
                  <w:vAlign w:val="center"/>
                </w:tcPr>
                <w:p w14:paraId="0710CB4D">
                  <w:pPr>
                    <w:spacing w:line="360" w:lineRule="auto"/>
                    <w:jc w:val="center"/>
                    <w:rPr>
                      <w:color w:val="auto"/>
                      <w:sz w:val="21"/>
                      <w:szCs w:val="21"/>
                      <w:highlight w:val="none"/>
                    </w:rPr>
                  </w:pPr>
                </w:p>
              </w:tc>
              <w:tc>
                <w:tcPr>
                  <w:tcW w:w="913" w:type="dxa"/>
                  <w:tcBorders>
                    <w:top w:val="single" w:color="auto" w:sz="4" w:space="0"/>
                    <w:left w:val="single" w:color="auto" w:sz="4" w:space="0"/>
                    <w:right w:val="single" w:color="auto" w:sz="4" w:space="0"/>
                  </w:tcBorders>
                  <w:vAlign w:val="center"/>
                </w:tcPr>
                <w:p w14:paraId="63FB337C">
                  <w:pPr>
                    <w:keepNext w:val="0"/>
                    <w:keepLines w:val="0"/>
                    <w:widowControl/>
                    <w:suppressLineNumbers w:val="0"/>
                    <w:jc w:val="center"/>
                    <w:textAlignment w:val="center"/>
                    <w:rPr>
                      <w:rFonts w:hint="default"/>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地块二</w:t>
                  </w:r>
                  <w:r>
                    <w:rPr>
                      <w:rStyle w:val="65"/>
                      <w:color w:val="auto"/>
                      <w:highlight w:val="none"/>
                      <w:lang w:val="en-US" w:eastAsia="zh-CN" w:bidi="ar"/>
                    </w:rPr>
                    <w:t>东</w:t>
                  </w:r>
                </w:p>
              </w:tc>
              <w:tc>
                <w:tcPr>
                  <w:tcW w:w="1077" w:type="dxa"/>
                  <w:tcBorders>
                    <w:top w:val="single" w:color="auto" w:sz="4" w:space="0"/>
                    <w:left w:val="single" w:color="auto" w:sz="4" w:space="0"/>
                    <w:right w:val="single" w:color="auto" w:sz="4" w:space="0"/>
                  </w:tcBorders>
                  <w:vAlign w:val="center"/>
                </w:tcPr>
                <w:p w14:paraId="3B2B45EE">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495</w:t>
                  </w:r>
                </w:p>
              </w:tc>
            </w:tr>
          </w:tbl>
          <w:p w14:paraId="0242DD2E">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2</w:t>
            </w:r>
            <w:r>
              <w:rPr>
                <w:b/>
                <w:bCs/>
                <w:color w:val="auto"/>
                <w:sz w:val="24"/>
                <w:szCs w:val="24"/>
                <w:highlight w:val="none"/>
              </w:rPr>
              <w:t>、声环境保护目标</w:t>
            </w:r>
          </w:p>
          <w:p w14:paraId="69FDBFD3">
            <w:pPr>
              <w:spacing w:line="360" w:lineRule="auto"/>
              <w:ind w:firstLine="480" w:firstLineChars="200"/>
              <w:rPr>
                <w:color w:val="auto"/>
                <w:sz w:val="24"/>
                <w:szCs w:val="24"/>
                <w:highlight w:val="none"/>
              </w:rPr>
            </w:pPr>
            <w:r>
              <w:rPr>
                <w:color w:val="auto"/>
                <w:sz w:val="24"/>
                <w:szCs w:val="24"/>
                <w:highlight w:val="none"/>
              </w:rPr>
              <w:t>根据现场踏勘及调查，项目厂界外50m范围内无声环境敏感点，本次评价不设声环境保护目标。</w:t>
            </w:r>
          </w:p>
          <w:p w14:paraId="44F2016D">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3</w:t>
            </w:r>
            <w:r>
              <w:rPr>
                <w:b/>
                <w:bCs/>
                <w:color w:val="auto"/>
                <w:sz w:val="24"/>
                <w:szCs w:val="24"/>
                <w:highlight w:val="none"/>
              </w:rPr>
              <w:t>、地下水环境保护目标</w:t>
            </w:r>
          </w:p>
          <w:p w14:paraId="7D0D9063">
            <w:pPr>
              <w:spacing w:line="360" w:lineRule="auto"/>
              <w:ind w:firstLine="480" w:firstLineChars="200"/>
              <w:rPr>
                <w:color w:val="auto"/>
                <w:sz w:val="24"/>
                <w:szCs w:val="24"/>
                <w:highlight w:val="none"/>
              </w:rPr>
            </w:pPr>
            <w:r>
              <w:rPr>
                <w:color w:val="auto"/>
                <w:sz w:val="24"/>
                <w:szCs w:val="24"/>
                <w:highlight w:val="none"/>
              </w:rPr>
              <w:t>根据现场踏勘及调查，项目厂界外500m范围内无地下水集中式饮用水源点和热水、矿泉水、温泉等特殊地下水资源，项目本次评价不设地下水环境保护目标。</w:t>
            </w:r>
          </w:p>
          <w:p w14:paraId="128965A2">
            <w:pPr>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4</w:t>
            </w:r>
            <w:r>
              <w:rPr>
                <w:b/>
                <w:bCs/>
                <w:color w:val="auto"/>
                <w:sz w:val="24"/>
                <w:szCs w:val="24"/>
                <w:highlight w:val="none"/>
              </w:rPr>
              <w:t>、生态环境保护目标</w:t>
            </w:r>
          </w:p>
          <w:p w14:paraId="5BE1119E">
            <w:pPr>
              <w:spacing w:line="360" w:lineRule="auto"/>
              <w:ind w:firstLine="480" w:firstLineChars="200"/>
              <w:rPr>
                <w:color w:val="auto"/>
                <w:szCs w:val="21"/>
                <w:highlight w:val="none"/>
              </w:rPr>
            </w:pPr>
            <w:r>
              <w:rPr>
                <w:color w:val="auto"/>
                <w:sz w:val="24"/>
                <w:szCs w:val="24"/>
                <w:highlight w:val="none"/>
              </w:rPr>
              <w:t>项目区周边不涉及自然保护区、风景名胜区等生态环境敏感点，项目生态环境保护目标主要是项目区占地范围内的水土流失情况。</w:t>
            </w:r>
          </w:p>
        </w:tc>
      </w:tr>
      <w:tr w14:paraId="212E1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Mar>
              <w:left w:w="28" w:type="dxa"/>
              <w:right w:w="28" w:type="dxa"/>
            </w:tcMar>
            <w:vAlign w:val="center"/>
          </w:tcPr>
          <w:p w14:paraId="26B9634F">
            <w:pPr>
              <w:spacing w:line="360" w:lineRule="auto"/>
              <w:jc w:val="center"/>
              <w:rPr>
                <w:color w:val="auto"/>
                <w:szCs w:val="21"/>
                <w:highlight w:val="none"/>
              </w:rPr>
            </w:pPr>
            <w:r>
              <w:rPr>
                <w:color w:val="auto"/>
                <w:szCs w:val="21"/>
                <w:highlight w:val="none"/>
              </w:rPr>
              <w:t>污染物排放控制标准</w:t>
            </w:r>
          </w:p>
        </w:tc>
        <w:tc>
          <w:tcPr>
            <w:tcW w:w="8190" w:type="dxa"/>
            <w:vAlign w:val="center"/>
          </w:tcPr>
          <w:p w14:paraId="75FB49E6">
            <w:pPr>
              <w:spacing w:line="360" w:lineRule="auto"/>
              <w:ind w:firstLine="482" w:firstLineChars="200"/>
              <w:rPr>
                <w:b/>
                <w:bCs/>
                <w:color w:val="auto"/>
                <w:sz w:val="24"/>
                <w:szCs w:val="24"/>
                <w:highlight w:val="none"/>
              </w:rPr>
            </w:pPr>
            <w:r>
              <w:rPr>
                <w:rFonts w:hint="eastAsia"/>
                <w:b/>
                <w:bCs/>
                <w:color w:val="auto"/>
                <w:sz w:val="24"/>
                <w:szCs w:val="24"/>
                <w:highlight w:val="none"/>
              </w:rPr>
              <w:t>1.</w:t>
            </w:r>
            <w:r>
              <w:rPr>
                <w:b/>
                <w:bCs/>
                <w:color w:val="auto"/>
                <w:sz w:val="24"/>
                <w:szCs w:val="24"/>
                <w:highlight w:val="none"/>
              </w:rPr>
              <w:t>大气污染物排放标准</w:t>
            </w:r>
          </w:p>
          <w:p w14:paraId="79B491F8">
            <w:pPr>
              <w:spacing w:line="360" w:lineRule="auto"/>
              <w:ind w:firstLine="482" w:firstLineChars="200"/>
              <w:rPr>
                <w:b/>
                <w:bCs/>
                <w:color w:val="auto"/>
                <w:sz w:val="24"/>
                <w:szCs w:val="24"/>
                <w:highlight w:val="none"/>
              </w:rPr>
            </w:pPr>
            <w:r>
              <w:rPr>
                <w:b/>
                <w:bCs/>
                <w:color w:val="auto"/>
                <w:sz w:val="24"/>
                <w:szCs w:val="24"/>
                <w:highlight w:val="none"/>
              </w:rPr>
              <w:t>（1）施工期</w:t>
            </w:r>
          </w:p>
          <w:p w14:paraId="691266B0">
            <w:pPr>
              <w:spacing w:line="360" w:lineRule="auto"/>
              <w:ind w:firstLine="480" w:firstLineChars="200"/>
              <w:rPr>
                <w:color w:val="auto"/>
                <w:sz w:val="24"/>
                <w:szCs w:val="24"/>
                <w:highlight w:val="none"/>
              </w:rPr>
            </w:pPr>
            <w:r>
              <w:rPr>
                <w:rFonts w:hint="eastAsia"/>
                <w:color w:val="auto"/>
                <w:sz w:val="24"/>
                <w:szCs w:val="24"/>
                <w:highlight w:val="none"/>
                <w:lang w:val="en-US" w:eastAsia="zh-CN"/>
              </w:rPr>
              <w:t>扩建</w:t>
            </w:r>
            <w:r>
              <w:rPr>
                <w:color w:val="auto"/>
                <w:sz w:val="24"/>
                <w:szCs w:val="24"/>
                <w:highlight w:val="none"/>
              </w:rPr>
              <w:t>项目施工期废气主要为运输车辆扬尘、挖土填方扬尘及运输车辆尾气，施工期的大气污染物排放执行《大气污染物综合排放标准》（GB16297-1996）表2中无组织排放监控浓度限值，标准值详见表3-</w:t>
            </w:r>
            <w:r>
              <w:rPr>
                <w:rFonts w:hint="eastAsia"/>
                <w:color w:val="auto"/>
                <w:sz w:val="24"/>
                <w:szCs w:val="24"/>
                <w:highlight w:val="none"/>
                <w:lang w:val="en-US" w:eastAsia="zh-CN"/>
              </w:rPr>
              <w:t>4</w:t>
            </w:r>
            <w:r>
              <w:rPr>
                <w:color w:val="auto"/>
                <w:sz w:val="24"/>
                <w:szCs w:val="24"/>
                <w:highlight w:val="none"/>
              </w:rPr>
              <w:t>所示。</w:t>
            </w:r>
          </w:p>
          <w:p w14:paraId="50FEA52B">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4</w:t>
            </w:r>
            <w:r>
              <w:rPr>
                <w:b/>
                <w:bCs/>
                <w:color w:val="auto"/>
                <w:szCs w:val="21"/>
                <w:highlight w:val="none"/>
              </w:rPr>
              <w:t xml:space="preserve">  大气污染物综合排放标准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2586"/>
              <w:gridCol w:w="2588"/>
            </w:tblGrid>
            <w:tr w14:paraId="3AFA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vAlign w:val="center"/>
                </w:tcPr>
                <w:p w14:paraId="4FB7406C">
                  <w:pPr>
                    <w:jc w:val="center"/>
                    <w:rPr>
                      <w:b/>
                      <w:bCs/>
                      <w:color w:val="auto"/>
                      <w:szCs w:val="21"/>
                      <w:highlight w:val="none"/>
                    </w:rPr>
                  </w:pPr>
                  <w:r>
                    <w:rPr>
                      <w:b/>
                      <w:bCs/>
                      <w:color w:val="auto"/>
                      <w:szCs w:val="21"/>
                      <w:highlight w:val="none"/>
                    </w:rPr>
                    <w:t>污染物</w:t>
                  </w:r>
                </w:p>
              </w:tc>
              <w:tc>
                <w:tcPr>
                  <w:tcW w:w="3333" w:type="pct"/>
                  <w:gridSpan w:val="2"/>
                  <w:vAlign w:val="center"/>
                </w:tcPr>
                <w:p w14:paraId="5E690408">
                  <w:pPr>
                    <w:jc w:val="center"/>
                    <w:rPr>
                      <w:b/>
                      <w:bCs/>
                      <w:color w:val="auto"/>
                      <w:szCs w:val="21"/>
                      <w:highlight w:val="none"/>
                    </w:rPr>
                  </w:pPr>
                  <w:r>
                    <w:rPr>
                      <w:b/>
                      <w:bCs/>
                      <w:color w:val="auto"/>
                      <w:szCs w:val="21"/>
                      <w:highlight w:val="none"/>
                    </w:rPr>
                    <w:t>无组织排放监控浓度限值</w:t>
                  </w:r>
                </w:p>
              </w:tc>
            </w:tr>
            <w:tr w14:paraId="6EA1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vAlign w:val="center"/>
                </w:tcPr>
                <w:p w14:paraId="50D129A1">
                  <w:pPr>
                    <w:jc w:val="center"/>
                    <w:rPr>
                      <w:b/>
                      <w:bCs/>
                      <w:color w:val="auto"/>
                      <w:szCs w:val="21"/>
                      <w:highlight w:val="none"/>
                    </w:rPr>
                  </w:pPr>
                </w:p>
              </w:tc>
              <w:tc>
                <w:tcPr>
                  <w:tcW w:w="1666" w:type="pct"/>
                  <w:vAlign w:val="center"/>
                </w:tcPr>
                <w:p w14:paraId="6E99FE58">
                  <w:pPr>
                    <w:jc w:val="center"/>
                    <w:rPr>
                      <w:b/>
                      <w:bCs/>
                      <w:color w:val="auto"/>
                      <w:szCs w:val="21"/>
                      <w:highlight w:val="none"/>
                    </w:rPr>
                  </w:pPr>
                  <w:r>
                    <w:rPr>
                      <w:b/>
                      <w:bCs/>
                      <w:color w:val="auto"/>
                      <w:szCs w:val="21"/>
                      <w:highlight w:val="none"/>
                    </w:rPr>
                    <w:t>监控点</w:t>
                  </w:r>
                </w:p>
              </w:tc>
              <w:tc>
                <w:tcPr>
                  <w:tcW w:w="1667" w:type="pct"/>
                  <w:vAlign w:val="center"/>
                </w:tcPr>
                <w:p w14:paraId="07316564">
                  <w:pPr>
                    <w:jc w:val="center"/>
                    <w:rPr>
                      <w:b/>
                      <w:bCs/>
                      <w:color w:val="auto"/>
                      <w:szCs w:val="21"/>
                      <w:highlight w:val="none"/>
                    </w:rPr>
                  </w:pPr>
                  <w:r>
                    <w:rPr>
                      <w:b/>
                      <w:bCs/>
                      <w:color w:val="auto"/>
                      <w:szCs w:val="21"/>
                      <w:highlight w:val="none"/>
                    </w:rPr>
                    <w:t>浓度</w:t>
                  </w:r>
                </w:p>
              </w:tc>
            </w:tr>
            <w:tr w14:paraId="651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4138452D">
                  <w:pPr>
                    <w:jc w:val="center"/>
                    <w:rPr>
                      <w:color w:val="auto"/>
                      <w:szCs w:val="21"/>
                      <w:highlight w:val="none"/>
                    </w:rPr>
                  </w:pPr>
                  <w:r>
                    <w:rPr>
                      <w:color w:val="auto"/>
                      <w:szCs w:val="21"/>
                      <w:highlight w:val="none"/>
                    </w:rPr>
                    <w:t>颗粒物</w:t>
                  </w:r>
                </w:p>
              </w:tc>
              <w:tc>
                <w:tcPr>
                  <w:tcW w:w="1666" w:type="pct"/>
                  <w:vAlign w:val="center"/>
                </w:tcPr>
                <w:p w14:paraId="2A6BFAE1">
                  <w:pPr>
                    <w:jc w:val="center"/>
                    <w:rPr>
                      <w:color w:val="auto"/>
                      <w:szCs w:val="21"/>
                      <w:highlight w:val="none"/>
                    </w:rPr>
                  </w:pPr>
                  <w:r>
                    <w:rPr>
                      <w:color w:val="auto"/>
                      <w:szCs w:val="21"/>
                      <w:highlight w:val="none"/>
                    </w:rPr>
                    <w:t>周界外浓度最高点</w:t>
                  </w:r>
                </w:p>
              </w:tc>
              <w:tc>
                <w:tcPr>
                  <w:tcW w:w="1667" w:type="pct"/>
                  <w:vAlign w:val="center"/>
                </w:tcPr>
                <w:p w14:paraId="2B70852F">
                  <w:pPr>
                    <w:jc w:val="center"/>
                    <w:rPr>
                      <w:color w:val="auto"/>
                      <w:szCs w:val="21"/>
                      <w:highlight w:val="none"/>
                    </w:rPr>
                  </w:pPr>
                  <w:r>
                    <w:rPr>
                      <w:color w:val="auto"/>
                      <w:szCs w:val="21"/>
                      <w:highlight w:val="none"/>
                    </w:rPr>
                    <w:t>1.0mg/m</w:t>
                  </w:r>
                  <w:r>
                    <w:rPr>
                      <w:color w:val="auto"/>
                      <w:szCs w:val="21"/>
                      <w:highlight w:val="none"/>
                      <w:vertAlign w:val="superscript"/>
                    </w:rPr>
                    <w:t>3</w:t>
                  </w:r>
                </w:p>
              </w:tc>
            </w:tr>
          </w:tbl>
          <w:p w14:paraId="34FF29C8">
            <w:pPr>
              <w:spacing w:line="360" w:lineRule="auto"/>
              <w:ind w:firstLine="482" w:firstLineChars="200"/>
              <w:rPr>
                <w:b/>
                <w:bCs/>
                <w:color w:val="auto"/>
                <w:sz w:val="24"/>
                <w:szCs w:val="24"/>
                <w:highlight w:val="none"/>
              </w:rPr>
            </w:pPr>
            <w:r>
              <w:rPr>
                <w:b/>
                <w:bCs/>
                <w:color w:val="auto"/>
                <w:sz w:val="24"/>
                <w:szCs w:val="24"/>
                <w:highlight w:val="none"/>
              </w:rPr>
              <w:t>（2）运营期</w:t>
            </w:r>
          </w:p>
          <w:p w14:paraId="6ABE3F3D">
            <w:pPr>
              <w:spacing w:line="360" w:lineRule="auto"/>
              <w:ind w:firstLine="480" w:firstLineChars="200"/>
              <w:rPr>
                <w:color w:val="auto"/>
                <w:sz w:val="24"/>
                <w:szCs w:val="24"/>
                <w:highlight w:val="none"/>
              </w:rPr>
            </w:pPr>
            <w:r>
              <w:rPr>
                <w:rFonts w:hint="eastAsia"/>
                <w:color w:val="auto"/>
                <w:sz w:val="24"/>
                <w:szCs w:val="24"/>
                <w:highlight w:val="none"/>
                <w:lang w:val="en-US" w:eastAsia="zh-CN"/>
              </w:rPr>
              <w:t>扩建</w:t>
            </w:r>
            <w:r>
              <w:rPr>
                <w:color w:val="auto"/>
                <w:sz w:val="24"/>
                <w:szCs w:val="24"/>
                <w:highlight w:val="none"/>
              </w:rPr>
              <w:t>项目烟花爆竹以最终包装完成的成品，不涉及生产过程，运营期的废气主要是在运输车辆运行过程中产生的尾气及道路扬尘。运营期的废气排放执行《大气污染物综合排放标准》（GB16297-1996）中表2中无组织排放监控浓度限值，标准值详见表3-</w:t>
            </w:r>
            <w:r>
              <w:rPr>
                <w:rFonts w:hint="eastAsia"/>
                <w:color w:val="auto"/>
                <w:sz w:val="24"/>
                <w:szCs w:val="24"/>
                <w:highlight w:val="none"/>
                <w:lang w:val="en-US" w:eastAsia="zh-CN"/>
              </w:rPr>
              <w:t>5</w:t>
            </w:r>
            <w:r>
              <w:rPr>
                <w:color w:val="auto"/>
                <w:sz w:val="24"/>
                <w:szCs w:val="24"/>
                <w:highlight w:val="none"/>
              </w:rPr>
              <w:t>所示。</w:t>
            </w:r>
          </w:p>
          <w:p w14:paraId="586743BF">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5</w:t>
            </w:r>
            <w:r>
              <w:rPr>
                <w:b/>
                <w:bCs/>
                <w:color w:val="auto"/>
                <w:szCs w:val="21"/>
                <w:highlight w:val="none"/>
              </w:rPr>
              <w:t xml:space="preserve">  环境污染物其他项目浓度限值</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2586"/>
              <w:gridCol w:w="2588"/>
            </w:tblGrid>
            <w:tr w14:paraId="1CAA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vAlign w:val="center"/>
                </w:tcPr>
                <w:p w14:paraId="325CF1E3">
                  <w:pPr>
                    <w:jc w:val="center"/>
                    <w:rPr>
                      <w:b/>
                      <w:bCs/>
                      <w:color w:val="auto"/>
                      <w:szCs w:val="21"/>
                      <w:highlight w:val="none"/>
                    </w:rPr>
                  </w:pPr>
                  <w:r>
                    <w:rPr>
                      <w:b/>
                      <w:bCs/>
                      <w:color w:val="auto"/>
                      <w:szCs w:val="21"/>
                      <w:highlight w:val="none"/>
                    </w:rPr>
                    <w:t>污染物</w:t>
                  </w:r>
                </w:p>
              </w:tc>
              <w:tc>
                <w:tcPr>
                  <w:tcW w:w="3333" w:type="pct"/>
                  <w:gridSpan w:val="2"/>
                  <w:vAlign w:val="center"/>
                </w:tcPr>
                <w:p w14:paraId="104FF707">
                  <w:pPr>
                    <w:jc w:val="center"/>
                    <w:rPr>
                      <w:b/>
                      <w:bCs/>
                      <w:color w:val="auto"/>
                      <w:szCs w:val="21"/>
                      <w:highlight w:val="none"/>
                    </w:rPr>
                  </w:pPr>
                  <w:r>
                    <w:rPr>
                      <w:b/>
                      <w:bCs/>
                      <w:color w:val="auto"/>
                      <w:szCs w:val="21"/>
                      <w:highlight w:val="none"/>
                    </w:rPr>
                    <w:t>无组织排放监控浓度限值</w:t>
                  </w:r>
                </w:p>
              </w:tc>
            </w:tr>
            <w:tr w14:paraId="2F29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vAlign w:val="center"/>
                </w:tcPr>
                <w:p w14:paraId="441B91DA">
                  <w:pPr>
                    <w:jc w:val="center"/>
                    <w:rPr>
                      <w:b/>
                      <w:bCs/>
                      <w:color w:val="auto"/>
                      <w:szCs w:val="21"/>
                      <w:highlight w:val="none"/>
                    </w:rPr>
                  </w:pPr>
                </w:p>
              </w:tc>
              <w:tc>
                <w:tcPr>
                  <w:tcW w:w="1666" w:type="pct"/>
                  <w:vAlign w:val="center"/>
                </w:tcPr>
                <w:p w14:paraId="7CF7C3A4">
                  <w:pPr>
                    <w:jc w:val="center"/>
                    <w:rPr>
                      <w:b/>
                      <w:bCs/>
                      <w:color w:val="auto"/>
                      <w:szCs w:val="21"/>
                      <w:highlight w:val="none"/>
                    </w:rPr>
                  </w:pPr>
                  <w:r>
                    <w:rPr>
                      <w:b/>
                      <w:bCs/>
                      <w:color w:val="auto"/>
                      <w:szCs w:val="21"/>
                      <w:highlight w:val="none"/>
                    </w:rPr>
                    <w:t>监控点</w:t>
                  </w:r>
                </w:p>
              </w:tc>
              <w:tc>
                <w:tcPr>
                  <w:tcW w:w="1667" w:type="pct"/>
                  <w:vAlign w:val="center"/>
                </w:tcPr>
                <w:p w14:paraId="7BCC8786">
                  <w:pPr>
                    <w:jc w:val="center"/>
                    <w:rPr>
                      <w:b/>
                      <w:bCs/>
                      <w:color w:val="auto"/>
                      <w:szCs w:val="21"/>
                      <w:highlight w:val="none"/>
                    </w:rPr>
                  </w:pPr>
                  <w:r>
                    <w:rPr>
                      <w:b/>
                      <w:bCs/>
                      <w:color w:val="auto"/>
                      <w:szCs w:val="21"/>
                      <w:highlight w:val="none"/>
                    </w:rPr>
                    <w:t>浓度</w:t>
                  </w:r>
                </w:p>
              </w:tc>
            </w:tr>
            <w:tr w14:paraId="4208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7D2FD4C5">
                  <w:pPr>
                    <w:jc w:val="center"/>
                    <w:rPr>
                      <w:color w:val="auto"/>
                      <w:szCs w:val="21"/>
                      <w:highlight w:val="none"/>
                    </w:rPr>
                  </w:pPr>
                  <w:r>
                    <w:rPr>
                      <w:color w:val="auto"/>
                      <w:szCs w:val="21"/>
                      <w:highlight w:val="none"/>
                    </w:rPr>
                    <w:t>颗粒物</w:t>
                  </w:r>
                </w:p>
              </w:tc>
              <w:tc>
                <w:tcPr>
                  <w:tcW w:w="1666" w:type="pct"/>
                  <w:vAlign w:val="center"/>
                </w:tcPr>
                <w:p w14:paraId="4772C767">
                  <w:pPr>
                    <w:jc w:val="center"/>
                    <w:rPr>
                      <w:color w:val="auto"/>
                      <w:szCs w:val="21"/>
                      <w:highlight w:val="none"/>
                    </w:rPr>
                  </w:pPr>
                  <w:r>
                    <w:rPr>
                      <w:color w:val="auto"/>
                      <w:szCs w:val="21"/>
                      <w:highlight w:val="none"/>
                    </w:rPr>
                    <w:t>周界外浓度最高点</w:t>
                  </w:r>
                </w:p>
              </w:tc>
              <w:tc>
                <w:tcPr>
                  <w:tcW w:w="1667" w:type="pct"/>
                  <w:vAlign w:val="center"/>
                </w:tcPr>
                <w:p w14:paraId="6F2DDF86">
                  <w:pPr>
                    <w:jc w:val="center"/>
                    <w:rPr>
                      <w:color w:val="auto"/>
                      <w:szCs w:val="21"/>
                      <w:highlight w:val="none"/>
                    </w:rPr>
                  </w:pPr>
                  <w:r>
                    <w:rPr>
                      <w:color w:val="auto"/>
                      <w:szCs w:val="21"/>
                      <w:highlight w:val="none"/>
                    </w:rPr>
                    <w:t>1.0mg/m</w:t>
                  </w:r>
                  <w:r>
                    <w:rPr>
                      <w:color w:val="auto"/>
                      <w:szCs w:val="21"/>
                      <w:highlight w:val="none"/>
                      <w:vertAlign w:val="superscript"/>
                    </w:rPr>
                    <w:t>3</w:t>
                  </w:r>
                </w:p>
              </w:tc>
            </w:tr>
          </w:tbl>
          <w:p w14:paraId="43D61A29">
            <w:pPr>
              <w:spacing w:line="360" w:lineRule="auto"/>
              <w:ind w:firstLine="482" w:firstLineChars="200"/>
              <w:rPr>
                <w:color w:val="auto"/>
                <w:sz w:val="24"/>
                <w:szCs w:val="24"/>
                <w:highlight w:val="none"/>
              </w:rPr>
            </w:pPr>
            <w:r>
              <w:rPr>
                <w:b/>
                <w:bCs/>
                <w:color w:val="auto"/>
                <w:sz w:val="24"/>
                <w:szCs w:val="24"/>
                <w:highlight w:val="none"/>
              </w:rPr>
              <w:t>2、水污染物排放标准</w:t>
            </w:r>
          </w:p>
          <w:p w14:paraId="72EB8D67">
            <w:pPr>
              <w:spacing w:line="360" w:lineRule="auto"/>
              <w:ind w:firstLine="480" w:firstLineChars="200"/>
              <w:rPr>
                <w:rFonts w:hint="eastAsia"/>
                <w:color w:val="auto"/>
                <w:szCs w:val="21"/>
                <w:highlight w:val="none"/>
              </w:rPr>
            </w:pPr>
            <w:r>
              <w:rPr>
                <w:rFonts w:hint="eastAsia"/>
                <w:color w:val="auto"/>
                <w:sz w:val="24"/>
                <w:szCs w:val="24"/>
                <w:highlight w:val="none"/>
                <w:lang w:val="en-US" w:eastAsia="zh-CN"/>
              </w:rPr>
              <w:t>扩建</w:t>
            </w:r>
            <w:r>
              <w:rPr>
                <w:color w:val="auto"/>
                <w:sz w:val="24"/>
                <w:szCs w:val="24"/>
                <w:highlight w:val="none"/>
              </w:rPr>
              <w:t>项目运营期产生的废水主要是员工生活污水</w:t>
            </w:r>
            <w:r>
              <w:rPr>
                <w:rFonts w:hint="eastAsia"/>
                <w:color w:val="auto"/>
                <w:sz w:val="24"/>
                <w:szCs w:val="24"/>
                <w:highlight w:val="none"/>
                <w:lang w:eastAsia="zh-CN"/>
              </w:rPr>
              <w:t>、</w:t>
            </w:r>
            <w:r>
              <w:rPr>
                <w:rFonts w:hint="eastAsia"/>
                <w:color w:val="auto"/>
                <w:sz w:val="24"/>
                <w:szCs w:val="24"/>
                <w:highlight w:val="none"/>
                <w:lang w:val="en-US" w:eastAsia="zh-CN"/>
              </w:rPr>
              <w:t>展厅废水</w:t>
            </w:r>
            <w:r>
              <w:rPr>
                <w:color w:val="auto"/>
                <w:sz w:val="24"/>
                <w:szCs w:val="24"/>
                <w:highlight w:val="none"/>
              </w:rPr>
              <w:t>，</w:t>
            </w:r>
            <w:r>
              <w:rPr>
                <w:rFonts w:hint="eastAsia"/>
                <w:color w:val="auto"/>
                <w:sz w:val="24"/>
                <w:szCs w:val="24"/>
                <w:highlight w:val="none"/>
                <w:lang w:val="en-US" w:eastAsia="zh-CN"/>
              </w:rPr>
              <w:t>展厅废水、</w:t>
            </w:r>
            <w:r>
              <w:rPr>
                <w:color w:val="auto"/>
                <w:sz w:val="24"/>
                <w:szCs w:val="24"/>
                <w:highlight w:val="none"/>
              </w:rPr>
              <w:t>员工生活污水排入化粪池后，委托</w:t>
            </w:r>
            <w:r>
              <w:rPr>
                <w:rFonts w:hint="eastAsia"/>
                <w:color w:val="auto"/>
                <w:sz w:val="24"/>
                <w:szCs w:val="24"/>
                <w:highlight w:val="none"/>
              </w:rPr>
              <w:t>寻甸县</w:t>
            </w:r>
            <w:r>
              <w:rPr>
                <w:color w:val="auto"/>
                <w:sz w:val="24"/>
                <w:szCs w:val="24"/>
                <w:highlight w:val="none"/>
              </w:rPr>
              <w:t>环卫部门</w:t>
            </w:r>
            <w:r>
              <w:rPr>
                <w:rFonts w:hint="eastAsia"/>
                <w:color w:val="auto"/>
                <w:sz w:val="24"/>
                <w:szCs w:val="24"/>
                <w:highlight w:val="none"/>
                <w:lang w:val="en-US" w:eastAsia="zh-CN"/>
              </w:rPr>
              <w:t>15天</w:t>
            </w:r>
            <w:r>
              <w:rPr>
                <w:color w:val="auto"/>
                <w:sz w:val="24"/>
                <w:szCs w:val="24"/>
                <w:highlight w:val="none"/>
              </w:rPr>
              <w:t>抽运一次，</w:t>
            </w:r>
            <w:r>
              <w:rPr>
                <w:rFonts w:hint="eastAsia"/>
                <w:color w:val="auto"/>
                <w:sz w:val="24"/>
                <w:szCs w:val="24"/>
                <w:highlight w:val="none"/>
              </w:rPr>
              <w:t>运输到寻甸县污水处理厂处理，</w:t>
            </w:r>
            <w:r>
              <w:rPr>
                <w:color w:val="auto"/>
                <w:sz w:val="24"/>
                <w:szCs w:val="24"/>
                <w:highlight w:val="none"/>
              </w:rPr>
              <w:t>不外排，</w:t>
            </w:r>
            <w:r>
              <w:rPr>
                <w:rFonts w:hint="eastAsia"/>
                <w:color w:val="auto"/>
                <w:sz w:val="24"/>
                <w:szCs w:val="24"/>
                <w:highlight w:val="none"/>
              </w:rPr>
              <w:t>执行</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污水综合排放标准</w:t>
            </w:r>
            <w:r>
              <w:rPr>
                <w:rFonts w:hint="default" w:ascii="Times New Roman" w:hAnsi="Times New Roman" w:eastAsia="宋体" w:cs="Times New Roman"/>
                <w:color w:val="auto"/>
                <w:sz w:val="24"/>
                <w:highlight w:val="none"/>
              </w:rPr>
              <w:t>》(GB</w:t>
            </w:r>
            <w:r>
              <w:rPr>
                <w:rFonts w:hint="eastAsia" w:ascii="Times New Roman" w:hAnsi="Times New Roman" w:eastAsia="宋体" w:cs="Times New Roman"/>
                <w:color w:val="auto"/>
                <w:sz w:val="24"/>
                <w:highlight w:val="none"/>
                <w:lang w:val="en-US" w:eastAsia="zh-CN"/>
              </w:rPr>
              <w:t>8978</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1996</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三级标准</w:t>
            </w:r>
            <w:r>
              <w:rPr>
                <w:rFonts w:hint="eastAsia"/>
                <w:color w:val="auto"/>
                <w:sz w:val="24"/>
                <w:szCs w:val="24"/>
                <w:highlight w:val="none"/>
              </w:rPr>
              <w:t>。</w:t>
            </w:r>
          </w:p>
          <w:p w14:paraId="7643169A">
            <w:pPr>
              <w:pageBreakBefore w:val="0"/>
              <w:widowControl/>
              <w:kinsoku/>
              <w:overflowPunct/>
              <w:topLinePunct w:val="0"/>
              <w:bidi w:val="0"/>
              <w:spacing w:before="120" w:beforeLines="50" w:line="240" w:lineRule="auto"/>
              <w:jc w:val="center"/>
              <w:rPr>
                <w:rFonts w:hint="default" w:ascii="Times New Roman" w:hAnsi="Times New Roman" w:eastAsia="宋体" w:cs="Times New Roman"/>
                <w:b/>
                <w:bCs/>
                <w:color w:val="auto"/>
                <w:kern w:val="0"/>
                <w:sz w:val="21"/>
                <w:szCs w:val="21"/>
                <w:highlight w:val="none"/>
                <w:lang w:val="zh-CN" w:bidi="ar"/>
              </w:rPr>
            </w:pPr>
            <w:r>
              <w:rPr>
                <w:rFonts w:hint="default" w:ascii="Times New Roman" w:hAnsi="Times New Roman" w:eastAsia="宋体" w:cs="Times New Roman"/>
                <w:b/>
                <w:bCs/>
                <w:color w:val="auto"/>
                <w:kern w:val="0"/>
                <w:sz w:val="21"/>
                <w:szCs w:val="21"/>
                <w:highlight w:val="none"/>
                <w:lang w:val="zh-CN" w:bidi="ar"/>
              </w:rPr>
              <w:t>表3-</w:t>
            </w:r>
            <w:r>
              <w:rPr>
                <w:rFonts w:hint="eastAsia" w:ascii="Times New Roman" w:hAnsi="Times New Roman" w:cs="Times New Roman"/>
                <w:b/>
                <w:bCs/>
                <w:color w:val="auto"/>
                <w:kern w:val="0"/>
                <w:sz w:val="21"/>
                <w:szCs w:val="21"/>
                <w:highlight w:val="none"/>
                <w:lang w:val="en-US" w:eastAsia="zh-CN" w:bidi="ar"/>
              </w:rPr>
              <w:t>6</w:t>
            </w:r>
            <w:r>
              <w:rPr>
                <w:rFonts w:hint="default" w:ascii="Times New Roman" w:hAnsi="Times New Roman" w:eastAsia="宋体" w:cs="Times New Roman"/>
                <w:b/>
                <w:bCs/>
                <w:color w:val="auto"/>
                <w:kern w:val="0"/>
                <w:sz w:val="21"/>
                <w:szCs w:val="21"/>
                <w:highlight w:val="none"/>
                <w:lang w:val="zh-CN" w:bidi="ar"/>
              </w:rPr>
              <w:t xml:space="preserve">  项目废水排放限</w:t>
            </w:r>
            <w:r>
              <w:rPr>
                <w:rFonts w:hint="default" w:ascii="Times New Roman" w:hAnsi="Times New Roman" w:eastAsia="宋体" w:cs="Times New Roman"/>
                <w:b/>
                <w:bCs/>
                <w:color w:val="auto"/>
                <w:kern w:val="0"/>
                <w:sz w:val="21"/>
                <w:szCs w:val="21"/>
                <w:highlight w:val="none"/>
                <w:lang w:val="en-US" w:eastAsia="zh-CN" w:bidi="ar"/>
              </w:rPr>
              <w:t>值</w:t>
            </w:r>
            <w:r>
              <w:rPr>
                <w:rFonts w:hint="default" w:ascii="Times New Roman" w:hAnsi="Times New Roman" w:eastAsia="宋体" w:cs="Times New Roman"/>
                <w:b/>
                <w:bCs/>
                <w:color w:val="auto"/>
                <w:kern w:val="0"/>
                <w:sz w:val="21"/>
                <w:szCs w:val="21"/>
                <w:highlight w:val="none"/>
                <w:lang w:val="zh-CN" w:bidi="ar"/>
              </w:rPr>
              <w:t xml:space="preserve">  单位：mg/L</w:t>
            </w:r>
          </w:p>
          <w:tbl>
            <w:tblPr>
              <w:tblStyle w:val="23"/>
              <w:tblW w:w="499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819"/>
              <w:gridCol w:w="723"/>
              <w:gridCol w:w="660"/>
              <w:gridCol w:w="585"/>
              <w:gridCol w:w="698"/>
              <w:gridCol w:w="809"/>
              <w:gridCol w:w="561"/>
              <w:gridCol w:w="496"/>
              <w:gridCol w:w="728"/>
              <w:gridCol w:w="681"/>
            </w:tblGrid>
            <w:tr w14:paraId="225B3A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1186" w:type="pct"/>
                  <w:tcBorders>
                    <w:top w:val="single" w:color="auto" w:sz="2" w:space="0"/>
                    <w:left w:val="single" w:color="auto" w:sz="2" w:space="0"/>
                    <w:bottom w:val="single" w:color="auto" w:sz="2" w:space="0"/>
                    <w:right w:val="single" w:color="auto" w:sz="2" w:space="0"/>
                  </w:tcBorders>
                  <w:noWrap w:val="0"/>
                  <w:vAlign w:val="center"/>
                </w:tcPr>
                <w:p w14:paraId="25EF6F3F">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标准类别</w:t>
                  </w:r>
                </w:p>
              </w:tc>
              <w:tc>
                <w:tcPr>
                  <w:tcW w:w="480" w:type="pct"/>
                  <w:tcBorders>
                    <w:top w:val="single" w:color="auto" w:sz="2" w:space="0"/>
                    <w:left w:val="single" w:color="auto" w:sz="2" w:space="0"/>
                    <w:bottom w:val="single" w:color="auto" w:sz="2" w:space="0"/>
                    <w:right w:val="single" w:color="auto" w:sz="2" w:space="0"/>
                  </w:tcBorders>
                  <w:noWrap w:val="0"/>
                  <w:vAlign w:val="center"/>
                </w:tcPr>
                <w:p w14:paraId="5B5A0669">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pH</w:t>
                  </w:r>
                </w:p>
              </w:tc>
              <w:tc>
                <w:tcPr>
                  <w:tcW w:w="399" w:type="pct"/>
                  <w:tcBorders>
                    <w:top w:val="single" w:color="auto" w:sz="2" w:space="0"/>
                    <w:left w:val="single" w:color="auto" w:sz="2" w:space="0"/>
                    <w:bottom w:val="single" w:color="auto" w:sz="2" w:space="0"/>
                    <w:right w:val="single" w:color="auto" w:sz="2" w:space="0"/>
                  </w:tcBorders>
                  <w:noWrap w:val="0"/>
                  <w:vAlign w:val="center"/>
                </w:tcPr>
                <w:p w14:paraId="4202015D">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p>
              </w:tc>
              <w:tc>
                <w:tcPr>
                  <w:tcW w:w="391" w:type="pct"/>
                  <w:tcBorders>
                    <w:top w:val="single" w:color="auto" w:sz="2" w:space="0"/>
                    <w:left w:val="single" w:color="auto" w:sz="2" w:space="0"/>
                    <w:bottom w:val="single" w:color="auto" w:sz="2" w:space="0"/>
                    <w:right w:val="single" w:color="auto" w:sz="2" w:space="0"/>
                  </w:tcBorders>
                  <w:noWrap w:val="0"/>
                  <w:vAlign w:val="center"/>
                </w:tcPr>
                <w:p w14:paraId="16F18BAF">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tc>
              <w:tc>
                <w:tcPr>
                  <w:tcW w:w="464" w:type="pct"/>
                  <w:tcBorders>
                    <w:top w:val="single" w:color="auto" w:sz="2" w:space="0"/>
                    <w:left w:val="single" w:color="auto" w:sz="2" w:space="0"/>
                    <w:bottom w:val="single" w:color="auto" w:sz="2" w:space="0"/>
                    <w:right w:val="single" w:color="auto" w:sz="2" w:space="0"/>
                  </w:tcBorders>
                  <w:noWrap w:val="0"/>
                  <w:vAlign w:val="center"/>
                </w:tcPr>
                <w:p w14:paraId="3B9063CB">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石油类</w:t>
                  </w:r>
                </w:p>
              </w:tc>
              <w:tc>
                <w:tcPr>
                  <w:tcW w:w="477" w:type="pct"/>
                  <w:tcBorders>
                    <w:top w:val="single" w:color="auto" w:sz="2" w:space="0"/>
                    <w:left w:val="single" w:color="auto" w:sz="2" w:space="0"/>
                    <w:bottom w:val="single" w:color="auto" w:sz="2" w:space="0"/>
                    <w:right w:val="single" w:color="auto" w:sz="2" w:space="0"/>
                  </w:tcBorders>
                  <w:noWrap w:val="0"/>
                  <w:vAlign w:val="center"/>
                </w:tcPr>
                <w:p w14:paraId="080FF82A">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376" w:type="pct"/>
                  <w:tcBorders>
                    <w:top w:val="single" w:color="auto" w:sz="2" w:space="0"/>
                    <w:left w:val="single" w:color="auto" w:sz="2" w:space="0"/>
                    <w:bottom w:val="single" w:color="auto" w:sz="2" w:space="0"/>
                    <w:right w:val="single" w:color="auto" w:sz="2" w:space="0"/>
                  </w:tcBorders>
                  <w:noWrap w:val="0"/>
                  <w:vAlign w:val="center"/>
                </w:tcPr>
                <w:p w14:paraId="2BE6EE3E">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总磷</w:t>
                  </w:r>
                </w:p>
              </w:tc>
              <w:tc>
                <w:tcPr>
                  <w:tcW w:w="315" w:type="pct"/>
                  <w:tcBorders>
                    <w:top w:val="single" w:color="auto" w:sz="2" w:space="0"/>
                    <w:left w:val="single" w:color="auto" w:sz="2" w:space="0"/>
                    <w:bottom w:val="single" w:color="auto" w:sz="2" w:space="0"/>
                    <w:right w:val="single" w:color="auto" w:sz="2" w:space="0"/>
                  </w:tcBorders>
                  <w:noWrap w:val="0"/>
                  <w:vAlign w:val="center"/>
                </w:tcPr>
                <w:p w14:paraId="44877A5C">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TN</w:t>
                  </w:r>
                </w:p>
              </w:tc>
              <w:tc>
                <w:tcPr>
                  <w:tcW w:w="453" w:type="pct"/>
                  <w:tcBorders>
                    <w:top w:val="single" w:color="auto" w:sz="2" w:space="0"/>
                    <w:left w:val="single" w:color="auto" w:sz="2" w:space="0"/>
                    <w:bottom w:val="single" w:color="auto" w:sz="2" w:space="0"/>
                    <w:right w:val="single" w:color="auto" w:sz="2" w:space="0"/>
                  </w:tcBorders>
                  <w:noWrap w:val="0"/>
                  <w:vAlign w:val="center"/>
                </w:tcPr>
                <w:p w14:paraId="32DBAA6F">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453" w:type="pct"/>
                  <w:tcBorders>
                    <w:top w:val="single" w:color="auto" w:sz="2" w:space="0"/>
                    <w:left w:val="single" w:color="auto" w:sz="2" w:space="0"/>
                    <w:bottom w:val="single" w:color="auto" w:sz="2" w:space="0"/>
                    <w:right w:val="single" w:color="auto" w:sz="2" w:space="0"/>
                  </w:tcBorders>
                  <w:noWrap w:val="0"/>
                  <w:vAlign w:val="center"/>
                </w:tcPr>
                <w:p w14:paraId="6DACED95">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动植物油</w:t>
                  </w:r>
                </w:p>
              </w:tc>
            </w:tr>
            <w:tr w14:paraId="4334E1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0" w:hRule="atLeast"/>
                <w:jc w:val="center"/>
              </w:trPr>
              <w:tc>
                <w:tcPr>
                  <w:tcW w:w="1186" w:type="pct"/>
                  <w:tcBorders>
                    <w:top w:val="single" w:color="auto" w:sz="2" w:space="0"/>
                    <w:left w:val="single" w:color="auto" w:sz="2" w:space="0"/>
                    <w:bottom w:val="single" w:color="auto" w:sz="2" w:space="0"/>
                    <w:right w:val="single" w:color="auto" w:sz="2" w:space="0"/>
                  </w:tcBorders>
                  <w:noWrap w:val="0"/>
                  <w:vAlign w:val="center"/>
                </w:tcPr>
                <w:p w14:paraId="4059388C">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污水综合排放标准</w:t>
                  </w:r>
                  <w:r>
                    <w:rPr>
                      <w:rFonts w:hint="default" w:ascii="Times New Roman" w:hAnsi="Times New Roman" w:eastAsia="宋体" w:cs="Times New Roman"/>
                      <w:color w:val="auto"/>
                      <w:sz w:val="21"/>
                      <w:szCs w:val="21"/>
                      <w:highlight w:val="none"/>
                    </w:rPr>
                    <w:t>》(GB</w:t>
                  </w:r>
                  <w:r>
                    <w:rPr>
                      <w:rFonts w:hint="eastAsia" w:ascii="Times New Roman" w:hAnsi="Times New Roman" w:eastAsia="宋体" w:cs="Times New Roman"/>
                      <w:color w:val="auto"/>
                      <w:sz w:val="21"/>
                      <w:szCs w:val="21"/>
                      <w:highlight w:val="none"/>
                      <w:lang w:val="en-US" w:eastAsia="zh-CN"/>
                    </w:rPr>
                    <w:t>8978</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1996</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三级标准</w:t>
                  </w:r>
                </w:p>
              </w:tc>
              <w:tc>
                <w:tcPr>
                  <w:tcW w:w="480" w:type="pct"/>
                  <w:tcBorders>
                    <w:top w:val="single" w:color="auto" w:sz="2" w:space="0"/>
                    <w:left w:val="single" w:color="auto" w:sz="2" w:space="0"/>
                    <w:bottom w:val="single" w:color="auto" w:sz="2" w:space="0"/>
                    <w:right w:val="single" w:color="auto" w:sz="2" w:space="0"/>
                  </w:tcBorders>
                  <w:noWrap w:val="0"/>
                  <w:vAlign w:val="center"/>
                </w:tcPr>
                <w:p w14:paraId="0671729F">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6-9</w:t>
                  </w:r>
                </w:p>
              </w:tc>
              <w:tc>
                <w:tcPr>
                  <w:tcW w:w="399" w:type="pct"/>
                  <w:tcBorders>
                    <w:top w:val="single" w:color="auto" w:sz="2" w:space="0"/>
                    <w:left w:val="single" w:color="auto" w:sz="2" w:space="0"/>
                    <w:bottom w:val="single" w:color="auto" w:sz="2" w:space="0"/>
                    <w:right w:val="single" w:color="auto" w:sz="2" w:space="0"/>
                  </w:tcBorders>
                  <w:noWrap w:val="0"/>
                  <w:vAlign w:val="center"/>
                </w:tcPr>
                <w:p w14:paraId="1C3E6CE2">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391" w:type="pct"/>
                  <w:tcBorders>
                    <w:top w:val="single" w:color="auto" w:sz="2" w:space="0"/>
                    <w:left w:val="single" w:color="auto" w:sz="2" w:space="0"/>
                    <w:bottom w:val="single" w:color="auto" w:sz="2" w:space="0"/>
                    <w:right w:val="single" w:color="auto" w:sz="2" w:space="0"/>
                  </w:tcBorders>
                  <w:noWrap w:val="0"/>
                  <w:vAlign w:val="center"/>
                </w:tcPr>
                <w:p w14:paraId="6BDA330E">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w:t>
                  </w:r>
                </w:p>
              </w:tc>
              <w:tc>
                <w:tcPr>
                  <w:tcW w:w="464" w:type="pct"/>
                  <w:tcBorders>
                    <w:top w:val="single" w:color="auto" w:sz="2" w:space="0"/>
                    <w:left w:val="single" w:color="auto" w:sz="2" w:space="0"/>
                    <w:bottom w:val="single" w:color="auto" w:sz="2" w:space="0"/>
                    <w:right w:val="single" w:color="auto" w:sz="2" w:space="0"/>
                  </w:tcBorders>
                  <w:noWrap w:val="0"/>
                  <w:vAlign w:val="center"/>
                </w:tcPr>
                <w:p w14:paraId="79D816E6">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c>
                <w:tcPr>
                  <w:tcW w:w="477" w:type="pct"/>
                  <w:tcBorders>
                    <w:top w:val="single" w:color="auto" w:sz="2" w:space="0"/>
                    <w:left w:val="single" w:color="auto" w:sz="2" w:space="0"/>
                    <w:bottom w:val="single" w:color="auto" w:sz="2" w:space="0"/>
                    <w:right w:val="single" w:color="auto" w:sz="2" w:space="0"/>
                  </w:tcBorders>
                  <w:noWrap w:val="0"/>
                  <w:vAlign w:val="center"/>
                </w:tcPr>
                <w:p w14:paraId="1A15038D">
                  <w:pPr>
                    <w:pageBreakBefore w:val="0"/>
                    <w:widowControl/>
                    <w:kinsoku/>
                    <w:overflowPunct/>
                    <w:topLinePunct w:val="0"/>
                    <w:bidi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w:t>
                  </w:r>
                </w:p>
              </w:tc>
              <w:tc>
                <w:tcPr>
                  <w:tcW w:w="376" w:type="pct"/>
                  <w:tcBorders>
                    <w:top w:val="single" w:color="auto" w:sz="2" w:space="0"/>
                    <w:left w:val="single" w:color="auto" w:sz="2" w:space="0"/>
                    <w:bottom w:val="single" w:color="auto" w:sz="2" w:space="0"/>
                    <w:right w:val="single" w:color="auto" w:sz="2" w:space="0"/>
                  </w:tcBorders>
                  <w:noWrap w:val="0"/>
                  <w:vAlign w:val="center"/>
                </w:tcPr>
                <w:p w14:paraId="3F7B08EB">
                  <w:pPr>
                    <w:pageBreakBefore w:val="0"/>
                    <w:widowControl/>
                    <w:kinsoku/>
                    <w:overflowPunct/>
                    <w:topLinePunct w:val="0"/>
                    <w:bidi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w:t>
                  </w:r>
                </w:p>
              </w:tc>
              <w:tc>
                <w:tcPr>
                  <w:tcW w:w="315" w:type="pct"/>
                  <w:tcBorders>
                    <w:top w:val="single" w:color="auto" w:sz="2" w:space="0"/>
                    <w:left w:val="single" w:color="auto" w:sz="2" w:space="0"/>
                    <w:bottom w:val="single" w:color="auto" w:sz="2" w:space="0"/>
                    <w:right w:val="single" w:color="auto" w:sz="2" w:space="0"/>
                  </w:tcBorders>
                  <w:noWrap w:val="0"/>
                  <w:vAlign w:val="center"/>
                </w:tcPr>
                <w:p w14:paraId="4531856E">
                  <w:pPr>
                    <w:pageBreakBefore w:val="0"/>
                    <w:widowControl/>
                    <w:kinsoku/>
                    <w:overflowPunct/>
                    <w:topLinePunct w:val="0"/>
                    <w:bidi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w:t>
                  </w:r>
                </w:p>
              </w:tc>
              <w:tc>
                <w:tcPr>
                  <w:tcW w:w="453" w:type="pct"/>
                  <w:tcBorders>
                    <w:top w:val="single" w:color="auto" w:sz="2" w:space="0"/>
                    <w:left w:val="single" w:color="auto" w:sz="2" w:space="0"/>
                    <w:bottom w:val="single" w:color="auto" w:sz="2" w:space="0"/>
                    <w:right w:val="single" w:color="auto" w:sz="2" w:space="0"/>
                  </w:tcBorders>
                  <w:noWrap w:val="0"/>
                  <w:vAlign w:val="center"/>
                </w:tcPr>
                <w:p w14:paraId="0A55DCDC">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w:t>
                  </w:r>
                </w:p>
              </w:tc>
              <w:tc>
                <w:tcPr>
                  <w:tcW w:w="453" w:type="pct"/>
                  <w:tcBorders>
                    <w:top w:val="single" w:color="auto" w:sz="2" w:space="0"/>
                    <w:left w:val="single" w:color="auto" w:sz="2" w:space="0"/>
                    <w:bottom w:val="single" w:color="auto" w:sz="2" w:space="0"/>
                    <w:right w:val="single" w:color="auto" w:sz="2" w:space="0"/>
                  </w:tcBorders>
                  <w:noWrap w:val="0"/>
                  <w:vAlign w:val="center"/>
                </w:tcPr>
                <w:p w14:paraId="23474FE7">
                  <w:pPr>
                    <w:pageBreakBefore w:val="0"/>
                    <w:widowControl/>
                    <w:kinsoku/>
                    <w:overflowPunct/>
                    <w:topLinePunct w:val="0"/>
                    <w:bidi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r>
          </w:tbl>
          <w:p w14:paraId="3CCCC086">
            <w:pPr>
              <w:spacing w:line="360" w:lineRule="auto"/>
              <w:ind w:firstLine="482" w:firstLineChars="200"/>
              <w:rPr>
                <w:b/>
                <w:bCs/>
                <w:color w:val="auto"/>
                <w:sz w:val="24"/>
                <w:szCs w:val="24"/>
                <w:highlight w:val="none"/>
              </w:rPr>
            </w:pPr>
            <w:r>
              <w:rPr>
                <w:b/>
                <w:bCs/>
                <w:color w:val="auto"/>
                <w:sz w:val="24"/>
                <w:szCs w:val="24"/>
                <w:highlight w:val="none"/>
              </w:rPr>
              <w:t>3、噪声排放标准</w:t>
            </w:r>
          </w:p>
          <w:p w14:paraId="5A057577">
            <w:pPr>
              <w:spacing w:line="360" w:lineRule="auto"/>
              <w:ind w:firstLine="482" w:firstLineChars="200"/>
              <w:rPr>
                <w:b/>
                <w:bCs/>
                <w:color w:val="auto"/>
                <w:sz w:val="24"/>
                <w:szCs w:val="24"/>
                <w:highlight w:val="none"/>
              </w:rPr>
            </w:pPr>
            <w:r>
              <w:rPr>
                <w:b/>
                <w:bCs/>
                <w:color w:val="auto"/>
                <w:sz w:val="24"/>
                <w:szCs w:val="24"/>
                <w:highlight w:val="none"/>
              </w:rPr>
              <w:t>（1）施工期</w:t>
            </w:r>
          </w:p>
          <w:p w14:paraId="2291DC48">
            <w:pPr>
              <w:spacing w:line="360" w:lineRule="auto"/>
              <w:ind w:firstLine="480" w:firstLineChars="200"/>
              <w:rPr>
                <w:color w:val="auto"/>
                <w:sz w:val="24"/>
                <w:szCs w:val="24"/>
                <w:highlight w:val="none"/>
              </w:rPr>
            </w:pPr>
            <w:r>
              <w:rPr>
                <w:color w:val="auto"/>
                <w:sz w:val="24"/>
                <w:szCs w:val="24"/>
                <w:highlight w:val="none"/>
              </w:rPr>
              <w:t>项目施工期噪声排放执行《建筑施工场界环境噪声排放标准》（GB12523-20</w:t>
            </w:r>
            <w:r>
              <w:rPr>
                <w:rFonts w:hint="eastAsia"/>
                <w:color w:val="auto"/>
                <w:sz w:val="24"/>
                <w:szCs w:val="24"/>
                <w:highlight w:val="none"/>
                <w:lang w:val="en-US" w:eastAsia="zh-CN"/>
              </w:rPr>
              <w:t>25</w:t>
            </w:r>
            <w:r>
              <w:rPr>
                <w:color w:val="auto"/>
                <w:sz w:val="24"/>
                <w:szCs w:val="24"/>
                <w:highlight w:val="none"/>
              </w:rPr>
              <w:t>），标准值见表3-7所示。</w:t>
            </w:r>
          </w:p>
          <w:p w14:paraId="0ADBD0E6">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7</w:t>
            </w:r>
            <w:r>
              <w:rPr>
                <w:b/>
                <w:bCs/>
                <w:color w:val="auto"/>
                <w:szCs w:val="21"/>
                <w:highlight w:val="none"/>
              </w:rPr>
              <w:t xml:space="preserve">  建筑施工场界环境噪声排放标准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9"/>
              <w:gridCol w:w="3881"/>
            </w:tblGrid>
            <w:tr w14:paraId="31F3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vAlign w:val="center"/>
                </w:tcPr>
                <w:p w14:paraId="366442ED">
                  <w:pPr>
                    <w:jc w:val="center"/>
                    <w:rPr>
                      <w:b/>
                      <w:bCs/>
                      <w:color w:val="auto"/>
                      <w:szCs w:val="21"/>
                      <w:highlight w:val="none"/>
                    </w:rPr>
                  </w:pPr>
                  <w:r>
                    <w:rPr>
                      <w:b/>
                      <w:bCs/>
                      <w:color w:val="auto"/>
                      <w:szCs w:val="21"/>
                      <w:highlight w:val="none"/>
                    </w:rPr>
                    <w:t>昼间</w:t>
                  </w:r>
                </w:p>
              </w:tc>
              <w:tc>
                <w:tcPr>
                  <w:tcW w:w="2500" w:type="pct"/>
                  <w:vAlign w:val="center"/>
                </w:tcPr>
                <w:p w14:paraId="64F3525D">
                  <w:pPr>
                    <w:jc w:val="center"/>
                    <w:rPr>
                      <w:b/>
                      <w:bCs/>
                      <w:color w:val="auto"/>
                      <w:szCs w:val="21"/>
                      <w:highlight w:val="none"/>
                    </w:rPr>
                  </w:pPr>
                  <w:r>
                    <w:rPr>
                      <w:b/>
                      <w:bCs/>
                      <w:color w:val="auto"/>
                      <w:szCs w:val="21"/>
                      <w:highlight w:val="none"/>
                    </w:rPr>
                    <w:t>夜间</w:t>
                  </w:r>
                </w:p>
              </w:tc>
            </w:tr>
            <w:tr w14:paraId="16B9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vAlign w:val="center"/>
                </w:tcPr>
                <w:p w14:paraId="5C825280">
                  <w:pPr>
                    <w:jc w:val="center"/>
                    <w:rPr>
                      <w:color w:val="auto"/>
                      <w:szCs w:val="21"/>
                      <w:highlight w:val="none"/>
                    </w:rPr>
                  </w:pPr>
                  <w:r>
                    <w:rPr>
                      <w:color w:val="auto"/>
                      <w:szCs w:val="21"/>
                      <w:highlight w:val="none"/>
                    </w:rPr>
                    <w:t>70</w:t>
                  </w:r>
                </w:p>
              </w:tc>
              <w:tc>
                <w:tcPr>
                  <w:tcW w:w="2500" w:type="pct"/>
                  <w:vAlign w:val="center"/>
                </w:tcPr>
                <w:p w14:paraId="02CE2570">
                  <w:pPr>
                    <w:jc w:val="center"/>
                    <w:rPr>
                      <w:color w:val="auto"/>
                      <w:szCs w:val="21"/>
                      <w:highlight w:val="none"/>
                    </w:rPr>
                  </w:pPr>
                  <w:r>
                    <w:rPr>
                      <w:color w:val="auto"/>
                      <w:szCs w:val="21"/>
                      <w:highlight w:val="none"/>
                    </w:rPr>
                    <w:t>55</w:t>
                  </w:r>
                </w:p>
              </w:tc>
            </w:tr>
          </w:tbl>
          <w:p w14:paraId="7C7F7B6F">
            <w:pPr>
              <w:spacing w:line="360" w:lineRule="auto"/>
              <w:ind w:firstLine="482" w:firstLineChars="200"/>
              <w:rPr>
                <w:b/>
                <w:bCs/>
                <w:color w:val="auto"/>
                <w:sz w:val="24"/>
                <w:szCs w:val="24"/>
                <w:highlight w:val="none"/>
              </w:rPr>
            </w:pPr>
            <w:r>
              <w:rPr>
                <w:b/>
                <w:bCs/>
                <w:color w:val="auto"/>
                <w:sz w:val="24"/>
                <w:szCs w:val="24"/>
                <w:highlight w:val="none"/>
              </w:rPr>
              <w:t>（2）运营期</w:t>
            </w:r>
          </w:p>
          <w:p w14:paraId="059D1F6E">
            <w:pPr>
              <w:spacing w:line="360" w:lineRule="auto"/>
              <w:ind w:firstLine="480" w:firstLineChars="200"/>
              <w:rPr>
                <w:color w:val="auto"/>
                <w:sz w:val="24"/>
                <w:szCs w:val="24"/>
                <w:highlight w:val="none"/>
              </w:rPr>
            </w:pPr>
            <w:r>
              <w:rPr>
                <w:color w:val="auto"/>
                <w:sz w:val="24"/>
                <w:szCs w:val="24"/>
                <w:highlight w:val="none"/>
              </w:rPr>
              <w:t>项目运营期主要产噪源为车辆运输过程及装卸搬运时的噪声，其噪声排放执行《工业企业厂界环境噪声排放标准》（GB12348-20</w:t>
            </w:r>
            <w:r>
              <w:rPr>
                <w:rFonts w:hint="eastAsia"/>
                <w:color w:val="auto"/>
                <w:sz w:val="24"/>
                <w:szCs w:val="24"/>
                <w:highlight w:val="none"/>
                <w:lang w:val="en-US" w:eastAsia="zh-CN"/>
              </w:rPr>
              <w:t>08</w:t>
            </w:r>
            <w:r>
              <w:rPr>
                <w:color w:val="auto"/>
                <w:sz w:val="24"/>
                <w:szCs w:val="24"/>
                <w:highlight w:val="none"/>
              </w:rPr>
              <w:t>）中2类标准，具体标准值见表3-</w:t>
            </w:r>
            <w:r>
              <w:rPr>
                <w:rFonts w:hint="eastAsia"/>
                <w:color w:val="auto"/>
                <w:sz w:val="24"/>
                <w:szCs w:val="24"/>
                <w:highlight w:val="none"/>
                <w:lang w:val="en-US" w:eastAsia="zh-CN"/>
              </w:rPr>
              <w:t>8</w:t>
            </w:r>
            <w:r>
              <w:rPr>
                <w:color w:val="auto"/>
                <w:sz w:val="24"/>
                <w:szCs w:val="24"/>
                <w:highlight w:val="none"/>
              </w:rPr>
              <w:t>所示。</w:t>
            </w:r>
          </w:p>
          <w:p w14:paraId="7E2412F8">
            <w:pPr>
              <w:spacing w:line="240" w:lineRule="auto"/>
              <w:jc w:val="center"/>
              <w:rPr>
                <w:b/>
                <w:bCs/>
                <w:color w:val="auto"/>
                <w:szCs w:val="21"/>
                <w:highlight w:val="none"/>
              </w:rPr>
            </w:pPr>
            <w:r>
              <w:rPr>
                <w:b/>
                <w:bCs/>
                <w:color w:val="auto"/>
                <w:szCs w:val="21"/>
                <w:highlight w:val="none"/>
              </w:rPr>
              <w:t>表3-</w:t>
            </w:r>
            <w:r>
              <w:rPr>
                <w:rFonts w:hint="eastAsia"/>
                <w:b/>
                <w:bCs/>
                <w:color w:val="auto"/>
                <w:szCs w:val="21"/>
                <w:highlight w:val="none"/>
                <w:lang w:val="en-US" w:eastAsia="zh-CN"/>
              </w:rPr>
              <w:t>8</w:t>
            </w:r>
            <w:r>
              <w:rPr>
                <w:b/>
                <w:bCs/>
                <w:color w:val="auto"/>
                <w:szCs w:val="21"/>
                <w:highlight w:val="none"/>
              </w:rPr>
              <w:t xml:space="preserve">  工业企业厂界环境噪声排放标准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1"/>
              <w:gridCol w:w="3879"/>
            </w:tblGrid>
            <w:tr w14:paraId="4B1A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3FCD293D">
                  <w:pPr>
                    <w:jc w:val="center"/>
                    <w:rPr>
                      <w:b/>
                      <w:bCs/>
                      <w:color w:val="auto"/>
                      <w:szCs w:val="21"/>
                      <w:highlight w:val="none"/>
                    </w:rPr>
                  </w:pPr>
                  <w:r>
                    <w:rPr>
                      <w:b/>
                      <w:bCs/>
                      <w:color w:val="auto"/>
                      <w:szCs w:val="21"/>
                      <w:highlight w:val="none"/>
                    </w:rPr>
                    <w:t>昼间</w:t>
                  </w:r>
                </w:p>
              </w:tc>
              <w:tc>
                <w:tcPr>
                  <w:tcW w:w="2499" w:type="pct"/>
                  <w:vAlign w:val="center"/>
                </w:tcPr>
                <w:p w14:paraId="5052DF6D">
                  <w:pPr>
                    <w:jc w:val="center"/>
                    <w:rPr>
                      <w:b/>
                      <w:bCs/>
                      <w:color w:val="auto"/>
                      <w:szCs w:val="21"/>
                      <w:highlight w:val="none"/>
                    </w:rPr>
                  </w:pPr>
                  <w:r>
                    <w:rPr>
                      <w:b/>
                      <w:bCs/>
                      <w:color w:val="auto"/>
                      <w:szCs w:val="21"/>
                      <w:highlight w:val="none"/>
                    </w:rPr>
                    <w:t>夜间</w:t>
                  </w:r>
                </w:p>
              </w:tc>
            </w:tr>
            <w:tr w14:paraId="223B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2EEE24DF">
                  <w:pPr>
                    <w:jc w:val="center"/>
                    <w:rPr>
                      <w:color w:val="auto"/>
                      <w:szCs w:val="21"/>
                      <w:highlight w:val="none"/>
                    </w:rPr>
                  </w:pPr>
                  <w:r>
                    <w:rPr>
                      <w:color w:val="auto"/>
                      <w:szCs w:val="21"/>
                      <w:highlight w:val="none"/>
                    </w:rPr>
                    <w:t>60</w:t>
                  </w:r>
                </w:p>
              </w:tc>
              <w:tc>
                <w:tcPr>
                  <w:tcW w:w="2499" w:type="pct"/>
                  <w:vAlign w:val="center"/>
                </w:tcPr>
                <w:p w14:paraId="1F1B1F4F">
                  <w:pPr>
                    <w:jc w:val="center"/>
                    <w:rPr>
                      <w:color w:val="auto"/>
                      <w:szCs w:val="21"/>
                      <w:highlight w:val="none"/>
                    </w:rPr>
                  </w:pPr>
                  <w:r>
                    <w:rPr>
                      <w:color w:val="auto"/>
                      <w:szCs w:val="21"/>
                      <w:highlight w:val="none"/>
                    </w:rPr>
                    <w:t>50</w:t>
                  </w:r>
                </w:p>
              </w:tc>
            </w:tr>
          </w:tbl>
          <w:p w14:paraId="595D8A4D">
            <w:pPr>
              <w:spacing w:line="360" w:lineRule="auto"/>
              <w:ind w:firstLine="482" w:firstLineChars="200"/>
              <w:rPr>
                <w:b/>
                <w:bCs/>
                <w:color w:val="auto"/>
                <w:sz w:val="24"/>
                <w:szCs w:val="24"/>
                <w:highlight w:val="none"/>
              </w:rPr>
            </w:pPr>
            <w:r>
              <w:rPr>
                <w:b/>
                <w:bCs/>
                <w:color w:val="auto"/>
                <w:sz w:val="24"/>
                <w:szCs w:val="24"/>
                <w:highlight w:val="none"/>
              </w:rPr>
              <w:t>4、固废污染物排放标准</w:t>
            </w:r>
          </w:p>
          <w:p w14:paraId="16D0D032">
            <w:pPr>
              <w:spacing w:line="360" w:lineRule="auto"/>
              <w:ind w:firstLine="480" w:firstLineChars="200"/>
              <w:rPr>
                <w:color w:val="auto"/>
                <w:szCs w:val="21"/>
                <w:highlight w:val="none"/>
              </w:rPr>
            </w:pPr>
            <w:r>
              <w:rPr>
                <w:color w:val="auto"/>
                <w:sz w:val="24"/>
                <w:szCs w:val="24"/>
                <w:highlight w:val="none"/>
              </w:rPr>
              <w:t>项目运营期产生的一般工业固废执行《一般工业固体废物贮存和填埋污染控制标准》（GB18599-2020）。</w:t>
            </w:r>
            <w:r>
              <w:rPr>
                <w:rFonts w:hint="eastAsia"/>
                <w:color w:val="auto"/>
                <w:sz w:val="24"/>
                <w:szCs w:val="24"/>
                <w:highlight w:val="none"/>
              </w:rPr>
              <w:t>过期</w:t>
            </w:r>
            <w:r>
              <w:rPr>
                <w:color w:val="auto"/>
                <w:sz w:val="24"/>
                <w:szCs w:val="24"/>
                <w:highlight w:val="none"/>
              </w:rPr>
              <w:t>或残损的</w:t>
            </w:r>
            <w:r>
              <w:rPr>
                <w:rFonts w:hint="eastAsia"/>
                <w:color w:val="auto"/>
                <w:sz w:val="24"/>
                <w:szCs w:val="24"/>
                <w:highlight w:val="none"/>
              </w:rPr>
              <w:t>烟花爆竹属于危险废物暂存执行《危险废物贮存污染控制标准》（GB18597-20</w:t>
            </w:r>
            <w:r>
              <w:rPr>
                <w:rFonts w:hint="eastAsia"/>
                <w:color w:val="auto"/>
                <w:sz w:val="24"/>
                <w:szCs w:val="24"/>
                <w:highlight w:val="none"/>
                <w:lang w:val="en-US" w:eastAsia="zh-CN"/>
              </w:rPr>
              <w:t>23</w:t>
            </w:r>
            <w:r>
              <w:rPr>
                <w:rFonts w:hint="eastAsia"/>
                <w:color w:val="auto"/>
                <w:sz w:val="24"/>
                <w:szCs w:val="24"/>
                <w:highlight w:val="none"/>
              </w:rPr>
              <w:t>）的有关规定。</w:t>
            </w:r>
          </w:p>
        </w:tc>
      </w:tr>
      <w:tr w14:paraId="424D4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vAlign w:val="center"/>
          </w:tcPr>
          <w:p w14:paraId="12D2A728">
            <w:pPr>
              <w:spacing w:line="360" w:lineRule="auto"/>
              <w:jc w:val="center"/>
              <w:rPr>
                <w:color w:val="auto"/>
                <w:szCs w:val="21"/>
                <w:highlight w:val="none"/>
              </w:rPr>
            </w:pPr>
            <w:r>
              <w:rPr>
                <w:color w:val="auto"/>
                <w:szCs w:val="21"/>
                <w:highlight w:val="none"/>
              </w:rPr>
              <w:t>总量</w:t>
            </w:r>
          </w:p>
          <w:p w14:paraId="3C70B6B8">
            <w:pPr>
              <w:spacing w:line="360" w:lineRule="auto"/>
              <w:jc w:val="center"/>
              <w:rPr>
                <w:color w:val="auto"/>
                <w:szCs w:val="21"/>
                <w:highlight w:val="none"/>
              </w:rPr>
            </w:pPr>
            <w:r>
              <w:rPr>
                <w:color w:val="auto"/>
                <w:szCs w:val="21"/>
                <w:highlight w:val="none"/>
              </w:rPr>
              <w:t>控制</w:t>
            </w:r>
          </w:p>
          <w:p w14:paraId="29BD153C">
            <w:pPr>
              <w:spacing w:line="360" w:lineRule="auto"/>
              <w:jc w:val="center"/>
              <w:rPr>
                <w:color w:val="auto"/>
                <w:szCs w:val="21"/>
                <w:highlight w:val="none"/>
              </w:rPr>
            </w:pPr>
            <w:r>
              <w:rPr>
                <w:color w:val="auto"/>
                <w:szCs w:val="21"/>
                <w:highlight w:val="none"/>
              </w:rPr>
              <w:t>指标</w:t>
            </w:r>
          </w:p>
        </w:tc>
        <w:tc>
          <w:tcPr>
            <w:tcW w:w="8190" w:type="dxa"/>
            <w:vAlign w:val="center"/>
          </w:tcPr>
          <w:p w14:paraId="0CBD6289">
            <w:pPr>
              <w:spacing w:line="360" w:lineRule="auto"/>
              <w:ind w:firstLine="480" w:firstLineChars="200"/>
              <w:rPr>
                <w:color w:val="auto"/>
                <w:szCs w:val="21"/>
                <w:highlight w:val="none"/>
              </w:rPr>
            </w:pPr>
            <w:r>
              <w:rPr>
                <w:color w:val="auto"/>
                <w:sz w:val="24"/>
                <w:szCs w:val="24"/>
                <w:highlight w:val="none"/>
              </w:rPr>
              <w:t>该烟花爆竹仓库是以最终包装形式的成品入库贮存，无生产过程，项目生活污水排入化粪池后委托环卫部门</w:t>
            </w:r>
            <w:r>
              <w:rPr>
                <w:rFonts w:hint="eastAsia"/>
                <w:color w:val="auto"/>
                <w:sz w:val="24"/>
                <w:szCs w:val="24"/>
                <w:highlight w:val="none"/>
                <w:lang w:val="en-US" w:eastAsia="zh-CN"/>
              </w:rPr>
              <w:t>15天</w:t>
            </w:r>
            <w:r>
              <w:rPr>
                <w:color w:val="auto"/>
                <w:sz w:val="24"/>
                <w:szCs w:val="24"/>
                <w:highlight w:val="none"/>
              </w:rPr>
              <w:t>抽运一次，不外排；生活垃圾经统一收集后运至寻甸县垃圾转载点处置，过期或残损的烟花爆竹经统一收集后交由公安部门处置。因此，项目不设总量控制指标。</w:t>
            </w:r>
          </w:p>
        </w:tc>
      </w:tr>
    </w:tbl>
    <w:p w14:paraId="2716921A">
      <w:pPr>
        <w:pStyle w:val="4"/>
        <w:rPr>
          <w:rFonts w:eastAsia="宋体"/>
          <w:color w:val="auto"/>
          <w:sz w:val="21"/>
          <w:szCs w:val="21"/>
        </w:rPr>
      </w:pPr>
      <w:r>
        <w:rPr>
          <w:rFonts w:eastAsia="宋体"/>
          <w:color w:val="auto"/>
          <w:sz w:val="21"/>
          <w:szCs w:val="21"/>
        </w:rPr>
        <w:br w:type="page"/>
      </w:r>
      <w:bookmarkStart w:id="42" w:name="_Toc23658"/>
      <w:bookmarkStart w:id="43" w:name="_Toc3837"/>
      <w:bookmarkStart w:id="44" w:name="_Toc26826"/>
      <w:r>
        <w:rPr>
          <w:rFonts w:eastAsia="宋体"/>
          <w:color w:val="auto"/>
        </w:rPr>
        <w:t>四、主要环境影响和保护措施</w:t>
      </w:r>
      <w:bookmarkEnd w:id="42"/>
      <w:bookmarkEnd w:id="43"/>
      <w:bookmarkEnd w:id="44"/>
    </w:p>
    <w:tbl>
      <w:tblPr>
        <w:tblStyle w:val="23"/>
        <w:tblW w:w="898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8466"/>
      </w:tblGrid>
      <w:tr w14:paraId="1866E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10" w:type="dxa"/>
            <w:tcMar>
              <w:left w:w="28" w:type="dxa"/>
              <w:right w:w="28" w:type="dxa"/>
            </w:tcMar>
            <w:vAlign w:val="center"/>
          </w:tcPr>
          <w:p w14:paraId="7C458843">
            <w:pPr>
              <w:spacing w:line="360" w:lineRule="auto"/>
              <w:jc w:val="center"/>
              <w:rPr>
                <w:color w:val="auto"/>
                <w:szCs w:val="21"/>
              </w:rPr>
            </w:pPr>
            <w:r>
              <w:rPr>
                <w:color w:val="auto"/>
                <w:sz w:val="24"/>
                <w:szCs w:val="24"/>
              </w:rPr>
              <w:t>施工期环境保护措施</w:t>
            </w:r>
          </w:p>
        </w:tc>
        <w:tc>
          <w:tcPr>
            <w:tcW w:w="8371" w:type="dxa"/>
            <w:vAlign w:val="center"/>
          </w:tcPr>
          <w:p w14:paraId="500D8F57">
            <w:pPr>
              <w:spacing w:line="360" w:lineRule="auto"/>
              <w:ind w:firstLine="482" w:firstLineChars="200"/>
              <w:rPr>
                <w:b/>
                <w:bCs/>
                <w:color w:val="auto"/>
                <w:sz w:val="24"/>
                <w:szCs w:val="24"/>
              </w:rPr>
            </w:pPr>
            <w:r>
              <w:rPr>
                <w:b/>
                <w:bCs/>
                <w:color w:val="auto"/>
                <w:sz w:val="24"/>
                <w:szCs w:val="24"/>
              </w:rPr>
              <w:t>一、施工期废气环境影响和保护措施</w:t>
            </w:r>
          </w:p>
          <w:p w14:paraId="4D711891">
            <w:pPr>
              <w:spacing w:line="360" w:lineRule="auto"/>
              <w:ind w:firstLine="482" w:firstLineChars="200"/>
              <w:rPr>
                <w:color w:val="auto"/>
                <w:sz w:val="24"/>
                <w:szCs w:val="24"/>
              </w:rPr>
            </w:pPr>
            <w:r>
              <w:rPr>
                <w:b/>
                <w:bCs/>
                <w:color w:val="auto"/>
                <w:sz w:val="24"/>
                <w:szCs w:val="24"/>
              </w:rPr>
              <w:t>1、施工期废气产生情况</w:t>
            </w:r>
          </w:p>
          <w:p w14:paraId="56FAAD06">
            <w:pPr>
              <w:spacing w:line="360" w:lineRule="auto"/>
              <w:ind w:firstLine="480" w:firstLineChars="200"/>
              <w:rPr>
                <w:color w:val="auto"/>
                <w:sz w:val="24"/>
                <w:szCs w:val="24"/>
              </w:rPr>
            </w:pPr>
            <w:r>
              <w:rPr>
                <w:color w:val="auto"/>
                <w:sz w:val="24"/>
                <w:szCs w:val="24"/>
                <w:highlight w:val="none"/>
              </w:rPr>
              <w:t>施工期产生的废气主要来自施工扬尘、运输车辆道路扬尘</w:t>
            </w:r>
            <w:r>
              <w:rPr>
                <w:rFonts w:hint="eastAsia"/>
                <w:color w:val="auto"/>
                <w:sz w:val="24"/>
                <w:szCs w:val="24"/>
                <w:highlight w:val="none"/>
                <w:lang w:eastAsia="zh-CN"/>
              </w:rPr>
              <w:t>、</w:t>
            </w:r>
            <w:r>
              <w:rPr>
                <w:rFonts w:hint="eastAsia"/>
                <w:color w:val="auto"/>
                <w:sz w:val="24"/>
                <w:szCs w:val="24"/>
                <w:highlight w:val="none"/>
                <w:lang w:val="en-US" w:eastAsia="zh-CN"/>
              </w:rPr>
              <w:t>施工机械及运输车辆产生的燃油烟气</w:t>
            </w:r>
            <w:r>
              <w:rPr>
                <w:color w:val="auto"/>
                <w:sz w:val="24"/>
                <w:szCs w:val="24"/>
                <w:highlight w:val="none"/>
              </w:rPr>
              <w:t>。其</w:t>
            </w:r>
            <w:r>
              <w:rPr>
                <w:color w:val="auto"/>
                <w:sz w:val="24"/>
                <w:szCs w:val="24"/>
              </w:rPr>
              <w:t>中各种废气排放属于零散、少量、呈无组织排放。</w:t>
            </w:r>
          </w:p>
          <w:p w14:paraId="2F0E2381">
            <w:pPr>
              <w:spacing w:line="360" w:lineRule="auto"/>
              <w:ind w:firstLine="482"/>
              <w:rPr>
                <w:color w:val="auto"/>
                <w:sz w:val="24"/>
                <w:szCs w:val="32"/>
              </w:rPr>
            </w:pPr>
            <w:r>
              <w:rPr>
                <w:color w:val="auto"/>
                <w:sz w:val="24"/>
                <w:szCs w:val="32"/>
              </w:rPr>
              <w:t>（1）施工扬尘</w:t>
            </w:r>
          </w:p>
          <w:p w14:paraId="116723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24"/>
              </w:rPr>
              <w:t>施工扬尘是项目施工期最主要的大气污染物，主要来源于如下施工环节：土石方挖填、材料运送和卸货、现场清理、料场风动扬尘等，污染因子主要为TSP、PM</w:t>
            </w:r>
            <w:r>
              <w:rPr>
                <w:color w:val="auto"/>
                <w:sz w:val="24"/>
                <w:szCs w:val="24"/>
                <w:vertAlign w:val="subscript"/>
              </w:rPr>
              <w:t>10</w:t>
            </w:r>
            <w:r>
              <w:rPr>
                <w:color w:val="auto"/>
                <w:sz w:val="24"/>
                <w:szCs w:val="24"/>
              </w:rPr>
              <w:t>。扬尘主要为尘土和建筑材料细微颗粒，无特殊污染物质。扬尘的产生量与施工方式、气象条件等有关。</w:t>
            </w:r>
            <w:r>
              <w:rPr>
                <w:rFonts w:hint="eastAsia"/>
                <w:color w:val="auto"/>
                <w:sz w:val="24"/>
                <w:szCs w:val="24"/>
              </w:rPr>
              <w:t>根据同类工程类比，浓度较高的地点是场地平整过程中的土料装卸过程（约</w:t>
            </w:r>
            <w:r>
              <w:rPr>
                <w:color w:val="auto"/>
                <w:sz w:val="24"/>
                <w:szCs w:val="24"/>
              </w:rPr>
              <w:t>20mg/m</w:t>
            </w:r>
            <w:r>
              <w:rPr>
                <w:color w:val="auto"/>
                <w:sz w:val="24"/>
                <w:szCs w:val="24"/>
                <w:vertAlign w:val="superscript"/>
              </w:rPr>
              <w:t>3</w:t>
            </w:r>
            <w:r>
              <w:rPr>
                <w:color w:val="auto"/>
                <w:sz w:val="24"/>
                <w:szCs w:val="24"/>
              </w:rPr>
              <w:t>-50mg/m</w:t>
            </w:r>
            <w:r>
              <w:rPr>
                <w:color w:val="auto"/>
                <w:sz w:val="24"/>
                <w:szCs w:val="24"/>
                <w:vertAlign w:val="superscript"/>
              </w:rPr>
              <w:t>3</w:t>
            </w:r>
            <w:r>
              <w:rPr>
                <w:rFonts w:hint="eastAsia"/>
                <w:color w:val="auto"/>
                <w:sz w:val="24"/>
                <w:szCs w:val="24"/>
              </w:rPr>
              <w:t>）；在风速为</w:t>
            </w:r>
            <w:r>
              <w:rPr>
                <w:color w:val="auto"/>
                <w:sz w:val="24"/>
                <w:szCs w:val="24"/>
              </w:rPr>
              <w:t xml:space="preserve"> 0.8m/s </w:t>
            </w:r>
            <w:r>
              <w:rPr>
                <w:rFonts w:hint="eastAsia"/>
                <w:color w:val="auto"/>
                <w:sz w:val="24"/>
                <w:szCs w:val="24"/>
              </w:rPr>
              <w:t>时，类比结果表明道路施工扬尘严重，工地内</w:t>
            </w:r>
            <w:r>
              <w:rPr>
                <w:color w:val="auto"/>
                <w:sz w:val="24"/>
                <w:szCs w:val="24"/>
              </w:rPr>
              <w:t>TSP</w:t>
            </w:r>
            <w:r>
              <w:rPr>
                <w:rFonts w:hint="eastAsia"/>
                <w:color w:val="auto"/>
                <w:sz w:val="24"/>
                <w:szCs w:val="24"/>
              </w:rPr>
              <w:t>浓度相当于大气环境标准的</w:t>
            </w:r>
            <w:r>
              <w:rPr>
                <w:color w:val="auto"/>
                <w:sz w:val="24"/>
                <w:szCs w:val="24"/>
              </w:rPr>
              <w:t>1.4-2.5</w:t>
            </w:r>
            <w:r>
              <w:rPr>
                <w:rFonts w:hint="eastAsia"/>
                <w:color w:val="auto"/>
                <w:sz w:val="24"/>
                <w:szCs w:val="24"/>
              </w:rPr>
              <w:t>倍，施工扬尘的影响范围达下风向的</w:t>
            </w:r>
            <w:r>
              <w:rPr>
                <w:color w:val="auto"/>
                <w:sz w:val="24"/>
                <w:szCs w:val="24"/>
              </w:rPr>
              <w:t>150m</w:t>
            </w:r>
            <w:r>
              <w:rPr>
                <w:rFonts w:hint="eastAsia"/>
                <w:color w:val="auto"/>
                <w:sz w:val="24"/>
                <w:szCs w:val="24"/>
              </w:rPr>
              <w:t>处，施工及运输车辆引起的扬尘对路边</w:t>
            </w:r>
            <w:r>
              <w:rPr>
                <w:color w:val="auto"/>
                <w:sz w:val="24"/>
                <w:szCs w:val="24"/>
              </w:rPr>
              <w:t>30m</w:t>
            </w:r>
            <w:r>
              <w:rPr>
                <w:rFonts w:hint="eastAsia"/>
                <w:color w:val="auto"/>
                <w:sz w:val="24"/>
                <w:szCs w:val="24"/>
              </w:rPr>
              <w:t>范围以内影响较大，路边的</w:t>
            </w:r>
            <w:r>
              <w:rPr>
                <w:color w:val="auto"/>
                <w:sz w:val="24"/>
                <w:szCs w:val="24"/>
              </w:rPr>
              <w:t>TSP</w:t>
            </w:r>
            <w:r>
              <w:rPr>
                <w:rFonts w:hint="eastAsia"/>
                <w:color w:val="auto"/>
                <w:sz w:val="24"/>
                <w:szCs w:val="24"/>
              </w:rPr>
              <w:t>浓度可达</w:t>
            </w:r>
            <w:r>
              <w:rPr>
                <w:color w:val="auto"/>
                <w:sz w:val="24"/>
                <w:szCs w:val="24"/>
              </w:rPr>
              <w:t>10mg/m</w:t>
            </w:r>
            <w:r>
              <w:rPr>
                <w:color w:val="auto"/>
                <w:sz w:val="24"/>
                <w:szCs w:val="24"/>
                <w:vertAlign w:val="superscript"/>
              </w:rPr>
              <w:t>3</w:t>
            </w:r>
            <w:r>
              <w:rPr>
                <w:rFonts w:hint="eastAsia"/>
                <w:color w:val="auto"/>
                <w:sz w:val="24"/>
                <w:szCs w:val="24"/>
              </w:rPr>
              <w:t>以上。</w:t>
            </w:r>
            <w:r>
              <w:rPr>
                <w:color w:val="auto"/>
                <w:sz w:val="24"/>
                <w:szCs w:val="32"/>
              </w:rPr>
              <w:t>在空气干燥、风速较大的气候条件下，施工建设过程中会导致现场尘土飞扬，使空气中颗粒物浓度增加，并随风扩散，影响下风区域及周围环境空气质量。为降低项目施工扬尘对周围环境的影响，项目在施工期拟采取如下控制措施：</w:t>
            </w:r>
          </w:p>
          <w:p w14:paraId="2EAC35C3">
            <w:pPr>
              <w:spacing w:line="360" w:lineRule="auto"/>
              <w:ind w:firstLine="482"/>
              <w:rPr>
                <w:color w:val="auto"/>
                <w:sz w:val="24"/>
                <w:szCs w:val="32"/>
              </w:rPr>
            </w:pPr>
            <w:r>
              <w:rPr>
                <w:rFonts w:hint="eastAsia" w:cs="宋体"/>
                <w:color w:val="auto"/>
                <w:sz w:val="24"/>
                <w:szCs w:val="32"/>
              </w:rPr>
              <w:t>①</w:t>
            </w:r>
            <w:r>
              <w:rPr>
                <w:color w:val="auto"/>
                <w:sz w:val="24"/>
                <w:szCs w:val="32"/>
              </w:rPr>
              <w:t>在施工场地周围设置围挡；</w:t>
            </w:r>
          </w:p>
          <w:p w14:paraId="3DE9E229">
            <w:pPr>
              <w:spacing w:line="360" w:lineRule="auto"/>
              <w:ind w:firstLine="482"/>
              <w:rPr>
                <w:color w:val="auto"/>
                <w:sz w:val="24"/>
                <w:szCs w:val="32"/>
              </w:rPr>
            </w:pPr>
            <w:r>
              <w:rPr>
                <w:rFonts w:hint="eastAsia" w:cs="宋体"/>
                <w:color w:val="auto"/>
                <w:sz w:val="24"/>
                <w:szCs w:val="32"/>
              </w:rPr>
              <w:t>②</w:t>
            </w:r>
            <w:r>
              <w:rPr>
                <w:color w:val="auto"/>
                <w:sz w:val="24"/>
                <w:szCs w:val="32"/>
              </w:rPr>
              <w:t>施工场地中堆放的易起尘建筑材料、临时堆放的土方以及建筑垃圾等应采取遮盖围挡措施，必要时应加盖工棚；</w:t>
            </w:r>
          </w:p>
          <w:p w14:paraId="05C3ED32">
            <w:pPr>
              <w:spacing w:line="360" w:lineRule="auto"/>
              <w:ind w:firstLine="482"/>
              <w:rPr>
                <w:color w:val="auto"/>
                <w:sz w:val="24"/>
                <w:szCs w:val="32"/>
              </w:rPr>
            </w:pPr>
            <w:r>
              <w:rPr>
                <w:rFonts w:hint="eastAsia" w:cs="宋体"/>
                <w:color w:val="auto"/>
                <w:sz w:val="24"/>
                <w:szCs w:val="32"/>
              </w:rPr>
              <w:t>③</w:t>
            </w:r>
            <w:r>
              <w:rPr>
                <w:color w:val="auto"/>
                <w:sz w:val="24"/>
                <w:szCs w:val="32"/>
              </w:rPr>
              <w:t>定期对施工场地洒水降尘；</w:t>
            </w:r>
          </w:p>
          <w:p w14:paraId="537C1C0E">
            <w:pPr>
              <w:spacing w:line="360" w:lineRule="auto"/>
              <w:ind w:firstLine="482"/>
              <w:rPr>
                <w:color w:val="auto"/>
                <w:sz w:val="24"/>
                <w:szCs w:val="32"/>
              </w:rPr>
            </w:pPr>
            <w:r>
              <w:rPr>
                <w:rFonts w:hint="eastAsia" w:cs="宋体"/>
                <w:color w:val="auto"/>
                <w:sz w:val="24"/>
                <w:szCs w:val="32"/>
              </w:rPr>
              <w:t>④</w:t>
            </w:r>
            <w:r>
              <w:rPr>
                <w:color w:val="auto"/>
                <w:sz w:val="24"/>
                <w:szCs w:val="32"/>
              </w:rPr>
              <w:t>在施工场地上设置专人负责弃土、建筑垃圾处置、清运，及时清理场地，改善施工场地的环境。项目施工期间只要严格管理措施，且在采取以上相关措施后，施工期粉尘对周围环境的影响不大，环境可以承受。</w:t>
            </w:r>
          </w:p>
          <w:p w14:paraId="257943C4">
            <w:pPr>
              <w:spacing w:line="360" w:lineRule="auto"/>
              <w:ind w:firstLine="482"/>
              <w:rPr>
                <w:color w:val="auto"/>
                <w:sz w:val="24"/>
                <w:szCs w:val="32"/>
              </w:rPr>
            </w:pPr>
            <w:r>
              <w:rPr>
                <w:color w:val="auto"/>
                <w:sz w:val="24"/>
                <w:szCs w:val="32"/>
              </w:rPr>
              <w:t>（2）运输扬尘对大气环境的影响</w:t>
            </w:r>
          </w:p>
          <w:p w14:paraId="25DB052C">
            <w:pPr>
              <w:spacing w:line="360" w:lineRule="auto"/>
              <w:ind w:firstLine="482"/>
              <w:rPr>
                <w:color w:val="auto"/>
                <w:sz w:val="24"/>
                <w:szCs w:val="32"/>
              </w:rPr>
            </w:pPr>
            <w:r>
              <w:rPr>
                <w:color w:val="auto"/>
                <w:sz w:val="24"/>
                <w:szCs w:val="32"/>
              </w:rPr>
              <w:t>项目在施工初期土方</w:t>
            </w:r>
            <w:r>
              <w:rPr>
                <w:rFonts w:hint="eastAsia"/>
                <w:color w:val="auto"/>
                <w:sz w:val="24"/>
                <w:szCs w:val="32"/>
                <w:lang w:val="en-US" w:eastAsia="zh-CN"/>
              </w:rPr>
              <w:t>调度</w:t>
            </w:r>
            <w:r>
              <w:rPr>
                <w:color w:val="auto"/>
                <w:sz w:val="24"/>
                <w:szCs w:val="32"/>
              </w:rPr>
              <w:t>和材料运输，装载车辆运输过程中会产生道路扬尘。为最大限度减小运输扬尘对环境的影响，项目拟采取以下防治措施：</w:t>
            </w:r>
          </w:p>
          <w:p w14:paraId="7932F8DB">
            <w:pPr>
              <w:spacing w:line="360" w:lineRule="auto"/>
              <w:ind w:firstLine="482"/>
              <w:rPr>
                <w:color w:val="auto"/>
                <w:sz w:val="24"/>
                <w:szCs w:val="32"/>
              </w:rPr>
            </w:pPr>
            <w:r>
              <w:rPr>
                <w:rFonts w:hint="eastAsia" w:cs="宋体"/>
                <w:color w:val="auto"/>
                <w:sz w:val="24"/>
                <w:szCs w:val="32"/>
              </w:rPr>
              <w:t>①</w:t>
            </w:r>
            <w:r>
              <w:rPr>
                <w:color w:val="auto"/>
                <w:sz w:val="24"/>
                <w:szCs w:val="32"/>
              </w:rPr>
              <w:t>运输车辆密闭运输，减少抛洒，车辆进出项目区时限速行驶；</w:t>
            </w:r>
          </w:p>
          <w:p w14:paraId="5429061F">
            <w:pPr>
              <w:spacing w:line="360" w:lineRule="auto"/>
              <w:ind w:firstLine="482"/>
              <w:rPr>
                <w:color w:val="auto"/>
                <w:sz w:val="24"/>
                <w:szCs w:val="32"/>
              </w:rPr>
            </w:pPr>
            <w:r>
              <w:rPr>
                <w:rFonts w:hint="eastAsia" w:cs="宋体"/>
                <w:color w:val="auto"/>
                <w:sz w:val="24"/>
                <w:szCs w:val="32"/>
              </w:rPr>
              <w:t>②</w:t>
            </w:r>
            <w:r>
              <w:rPr>
                <w:color w:val="auto"/>
                <w:sz w:val="24"/>
                <w:szCs w:val="32"/>
              </w:rPr>
              <w:t>及时清扫运输路面，保持路面清洁；</w:t>
            </w:r>
          </w:p>
          <w:p w14:paraId="45329F0E">
            <w:pPr>
              <w:spacing w:line="360" w:lineRule="auto"/>
              <w:ind w:firstLine="482"/>
              <w:rPr>
                <w:color w:val="auto"/>
                <w:sz w:val="24"/>
                <w:szCs w:val="32"/>
              </w:rPr>
            </w:pPr>
            <w:r>
              <w:rPr>
                <w:rFonts w:hint="eastAsia" w:cs="宋体"/>
                <w:color w:val="auto"/>
                <w:sz w:val="24"/>
                <w:szCs w:val="32"/>
              </w:rPr>
              <w:t>③</w:t>
            </w:r>
            <w:r>
              <w:rPr>
                <w:color w:val="auto"/>
                <w:sz w:val="24"/>
                <w:szCs w:val="32"/>
              </w:rPr>
              <w:t>定时对运输路面进行洒水降尘，</w:t>
            </w:r>
            <w:r>
              <w:rPr>
                <w:rFonts w:hint="eastAsia"/>
                <w:color w:val="auto"/>
                <w:sz w:val="24"/>
                <w:szCs w:val="32"/>
                <w:lang w:eastAsia="zh-CN"/>
              </w:rPr>
              <w:t>减少</w:t>
            </w:r>
            <w:r>
              <w:rPr>
                <w:color w:val="auto"/>
                <w:sz w:val="24"/>
                <w:szCs w:val="32"/>
              </w:rPr>
              <w:t>扬尘污染；</w:t>
            </w:r>
          </w:p>
          <w:p w14:paraId="04199BC4">
            <w:pPr>
              <w:spacing w:line="360" w:lineRule="auto"/>
              <w:ind w:firstLine="482"/>
              <w:rPr>
                <w:color w:val="auto"/>
                <w:sz w:val="24"/>
                <w:szCs w:val="32"/>
              </w:rPr>
            </w:pPr>
            <w:r>
              <w:rPr>
                <w:rFonts w:hint="eastAsia" w:cs="宋体"/>
                <w:color w:val="auto"/>
                <w:sz w:val="24"/>
                <w:szCs w:val="32"/>
              </w:rPr>
              <w:t>④</w:t>
            </w:r>
            <w:r>
              <w:rPr>
                <w:color w:val="auto"/>
                <w:sz w:val="24"/>
                <w:szCs w:val="32"/>
              </w:rPr>
              <w:t>项目施工运输易撒漏物质必须装载规范，保持密闭式运输装置完好和车容整洁，不得沿途飞扬、撒漏和带泥上路。车辆进出、装卸施工场地时应用水将轮胎冲洗干净，进场道路优先进行硬化。通过以上措施及大气扩散后，可以最大限度减小运输扬尘对环境的影响。</w:t>
            </w:r>
          </w:p>
          <w:p w14:paraId="5AD7391F">
            <w:pPr>
              <w:spacing w:line="360" w:lineRule="auto"/>
              <w:ind w:firstLine="482"/>
              <w:rPr>
                <w:color w:val="auto"/>
                <w:sz w:val="24"/>
                <w:szCs w:val="32"/>
              </w:rPr>
            </w:pPr>
            <w:r>
              <w:rPr>
                <w:color w:val="auto"/>
                <w:sz w:val="24"/>
                <w:szCs w:val="32"/>
              </w:rPr>
              <w:t>通过采取扬尘控制措施，项目施工扬尘应符合《大气污染物综合排放标准》（GB16297-1996）中的无组织排放监控浓度限值标准，即：颗粒物周界外浓度最高点≤1.0mg/m</w:t>
            </w:r>
            <w:r>
              <w:rPr>
                <w:color w:val="auto"/>
                <w:sz w:val="24"/>
                <w:szCs w:val="32"/>
                <w:vertAlign w:val="superscript"/>
              </w:rPr>
              <w:t>3</w:t>
            </w:r>
            <w:r>
              <w:rPr>
                <w:color w:val="auto"/>
                <w:sz w:val="24"/>
                <w:szCs w:val="32"/>
              </w:rPr>
              <w:t>。</w:t>
            </w:r>
          </w:p>
          <w:p w14:paraId="322D94D5">
            <w:pPr>
              <w:spacing w:line="360" w:lineRule="auto"/>
              <w:ind w:firstLine="482"/>
              <w:rPr>
                <w:color w:val="auto"/>
                <w:sz w:val="24"/>
                <w:szCs w:val="32"/>
              </w:rPr>
            </w:pPr>
            <w:r>
              <w:rPr>
                <w:color w:val="auto"/>
                <w:sz w:val="24"/>
                <w:szCs w:val="32"/>
              </w:rPr>
              <w:t>（3）施工机械及车辆废气对大气环境的影响</w:t>
            </w:r>
          </w:p>
          <w:p w14:paraId="534C6FBC">
            <w:pPr>
              <w:spacing w:line="360" w:lineRule="auto"/>
              <w:ind w:firstLine="482"/>
              <w:rPr>
                <w:color w:val="auto"/>
                <w:sz w:val="24"/>
                <w:szCs w:val="32"/>
              </w:rPr>
            </w:pPr>
            <w:r>
              <w:rPr>
                <w:color w:val="auto"/>
                <w:sz w:val="24"/>
                <w:szCs w:val="32"/>
              </w:rPr>
              <w:t>项目施工期载重汽车、柴油动力机械等燃油机械会有一定的废气排放，排放的污染物主要有一氧化碳、二氧化氮、碳氢化合物。由于施工机械运行时，单车排放系数较大，产生的废气均属无组织排放，项目在施工过程中应采用环保型，节能型机械设备进行施工，且经常对机械设备进行检修，则产生的废气量少，排到空气中分散稀释后，对环境空气影响较小。</w:t>
            </w:r>
          </w:p>
          <w:p w14:paraId="6BFAED44">
            <w:pPr>
              <w:spacing w:line="360" w:lineRule="auto"/>
              <w:ind w:firstLine="482"/>
              <w:rPr>
                <w:color w:val="auto"/>
                <w:sz w:val="24"/>
                <w:szCs w:val="32"/>
              </w:rPr>
            </w:pPr>
            <w:r>
              <w:rPr>
                <w:color w:val="auto"/>
                <w:sz w:val="24"/>
                <w:szCs w:val="32"/>
              </w:rPr>
              <w:t>（4）焊接烟尘</w:t>
            </w:r>
          </w:p>
          <w:p w14:paraId="55936887">
            <w:pPr>
              <w:spacing w:line="360" w:lineRule="auto"/>
              <w:ind w:firstLine="482"/>
              <w:rPr>
                <w:color w:val="auto"/>
                <w:sz w:val="24"/>
                <w:szCs w:val="32"/>
              </w:rPr>
            </w:pPr>
            <w:r>
              <w:rPr>
                <w:color w:val="auto"/>
                <w:sz w:val="24"/>
                <w:szCs w:val="32"/>
              </w:rPr>
              <w:t>施工期焊接烟尘主要产生在建设</w:t>
            </w:r>
            <w:r>
              <w:rPr>
                <w:rFonts w:hint="eastAsia"/>
                <w:color w:val="auto"/>
                <w:sz w:val="24"/>
                <w:szCs w:val="32"/>
                <w:lang w:val="en-US" w:eastAsia="zh-CN"/>
              </w:rPr>
              <w:t>焊接</w:t>
            </w:r>
            <w:r>
              <w:rPr>
                <w:color w:val="auto"/>
                <w:sz w:val="24"/>
                <w:szCs w:val="32"/>
              </w:rPr>
              <w:t>过程中少量焊接烟尘，项目采用合格的焊条进行焊接，产生的焊接烟尘在露天环境下很快得到扩散，不会形成局部高浓度区域，对周边环境影响很小。</w:t>
            </w:r>
          </w:p>
          <w:p w14:paraId="434F05BA">
            <w:pPr>
              <w:spacing w:line="360" w:lineRule="auto"/>
              <w:ind w:firstLine="480" w:firstLineChars="200"/>
              <w:rPr>
                <w:color w:val="auto"/>
                <w:sz w:val="24"/>
                <w:szCs w:val="24"/>
              </w:rPr>
            </w:pPr>
            <w:r>
              <w:rPr>
                <w:color w:val="auto"/>
                <w:sz w:val="24"/>
                <w:szCs w:val="24"/>
              </w:rPr>
              <w:t>综上，项目施工期废气防治措施是可行的，在采取以上措施后，项目施工期场界扬尘可满足《大气污染物综合排放标准》（GB16297-1996）表2中无组织排放监控浓度限值要求，项目施工期废气对周围环境影响不大。</w:t>
            </w:r>
          </w:p>
          <w:p w14:paraId="6BF76BB9">
            <w:pPr>
              <w:spacing w:line="360" w:lineRule="auto"/>
              <w:ind w:firstLine="482" w:firstLineChars="200"/>
              <w:rPr>
                <w:b/>
                <w:bCs/>
                <w:color w:val="auto"/>
                <w:sz w:val="24"/>
                <w:szCs w:val="24"/>
              </w:rPr>
            </w:pPr>
            <w:r>
              <w:rPr>
                <w:b/>
                <w:bCs/>
                <w:color w:val="auto"/>
                <w:sz w:val="24"/>
                <w:szCs w:val="24"/>
              </w:rPr>
              <w:t>二、施工期废水环境影响和保护措施</w:t>
            </w:r>
          </w:p>
          <w:p w14:paraId="27B8B374">
            <w:pPr>
              <w:spacing w:line="360" w:lineRule="auto"/>
              <w:ind w:firstLine="482" w:firstLineChars="200"/>
              <w:rPr>
                <w:b/>
                <w:bCs/>
                <w:color w:val="auto"/>
                <w:sz w:val="24"/>
                <w:szCs w:val="24"/>
              </w:rPr>
            </w:pPr>
            <w:r>
              <w:rPr>
                <w:b/>
                <w:bCs/>
                <w:color w:val="auto"/>
                <w:sz w:val="24"/>
                <w:szCs w:val="24"/>
              </w:rPr>
              <w:t>1、施工期废水产生情况</w:t>
            </w:r>
          </w:p>
          <w:p w14:paraId="1DC83255">
            <w:pPr>
              <w:spacing w:line="360" w:lineRule="auto"/>
              <w:ind w:firstLine="480" w:firstLineChars="200"/>
              <w:rPr>
                <w:color w:val="auto"/>
                <w:sz w:val="24"/>
                <w:szCs w:val="24"/>
              </w:rPr>
            </w:pPr>
            <w:r>
              <w:rPr>
                <w:color w:val="auto"/>
                <w:sz w:val="24"/>
                <w:szCs w:val="24"/>
              </w:rPr>
              <w:t>项目施工期施工人员均不在项目区内食宿，项目施工期无生活污水产生。施工期的废水主要有</w:t>
            </w:r>
            <w:r>
              <w:rPr>
                <w:rFonts w:hint="eastAsia"/>
                <w:color w:val="auto"/>
                <w:sz w:val="24"/>
                <w:szCs w:val="24"/>
                <w:lang w:val="en-US" w:eastAsia="zh-CN"/>
              </w:rPr>
              <w:t>施工</w:t>
            </w:r>
            <w:r>
              <w:rPr>
                <w:color w:val="auto"/>
                <w:sz w:val="24"/>
                <w:szCs w:val="24"/>
              </w:rPr>
              <w:t>废水和</w:t>
            </w:r>
            <w:r>
              <w:rPr>
                <w:rFonts w:hint="eastAsia"/>
                <w:color w:val="auto"/>
                <w:sz w:val="24"/>
                <w:szCs w:val="24"/>
              </w:rPr>
              <w:t>初期雨水</w:t>
            </w:r>
            <w:r>
              <w:rPr>
                <w:color w:val="auto"/>
                <w:sz w:val="24"/>
                <w:szCs w:val="24"/>
              </w:rPr>
              <w:t>等，其特点是没有毒害物质和有机质，主要污染物是悬浮物。</w:t>
            </w:r>
          </w:p>
          <w:p w14:paraId="21DB4A57">
            <w:pPr>
              <w:spacing w:line="360" w:lineRule="auto"/>
              <w:ind w:firstLine="480" w:firstLineChars="200"/>
              <w:rPr>
                <w:rFonts w:hint="default" w:eastAsia="宋体"/>
                <w:color w:val="auto"/>
                <w:sz w:val="24"/>
                <w:szCs w:val="24"/>
                <w:lang w:val="en-US" w:eastAsia="zh-CN"/>
              </w:rPr>
            </w:pPr>
            <w:r>
              <w:rPr>
                <w:color w:val="auto"/>
                <w:sz w:val="24"/>
                <w:szCs w:val="24"/>
              </w:rPr>
              <w:t>（1）</w:t>
            </w:r>
            <w:r>
              <w:rPr>
                <w:rFonts w:hint="eastAsia"/>
                <w:color w:val="auto"/>
                <w:sz w:val="24"/>
                <w:szCs w:val="24"/>
                <w:lang w:val="en-US" w:eastAsia="zh-CN"/>
              </w:rPr>
              <w:t>施工废水</w:t>
            </w:r>
          </w:p>
          <w:p w14:paraId="35A142B2">
            <w:pPr>
              <w:spacing w:line="360" w:lineRule="auto"/>
              <w:ind w:firstLine="480" w:firstLineChars="200"/>
              <w:rPr>
                <w:color w:val="auto"/>
              </w:rPr>
            </w:pPr>
            <w:r>
              <w:rPr>
                <w:color w:val="auto"/>
                <w:sz w:val="24"/>
                <w:szCs w:val="24"/>
              </w:rPr>
              <w:t>该项目使用商品混凝土，不产生搅拌废水。</w:t>
            </w:r>
            <w:r>
              <w:rPr>
                <w:rFonts w:hint="eastAsia"/>
                <w:color w:val="auto"/>
                <w:sz w:val="24"/>
              </w:rPr>
              <w:t>项目施工废水主要由机械设备、工具清洗、养护废水等产生，</w:t>
            </w:r>
            <w:r>
              <w:rPr>
                <w:color w:val="auto"/>
                <w:sz w:val="24"/>
              </w:rPr>
              <w:t>污染物主要为SS、</w:t>
            </w:r>
            <w:r>
              <w:rPr>
                <w:rFonts w:hint="eastAsia"/>
                <w:color w:val="auto"/>
                <w:sz w:val="24"/>
              </w:rPr>
              <w:t>pH</w:t>
            </w:r>
            <w:r>
              <w:rPr>
                <w:color w:val="auto"/>
                <w:sz w:val="24"/>
              </w:rPr>
              <w:t>、</w:t>
            </w:r>
            <w:r>
              <w:rPr>
                <w:rFonts w:hint="eastAsia"/>
                <w:color w:val="auto"/>
                <w:sz w:val="24"/>
              </w:rPr>
              <w:t>石油类</w:t>
            </w:r>
            <w:r>
              <w:rPr>
                <w:color w:val="auto"/>
                <w:sz w:val="24"/>
              </w:rPr>
              <w:t>等，</w:t>
            </w:r>
            <w:r>
              <w:rPr>
                <w:rFonts w:hint="eastAsia"/>
                <w:color w:val="auto"/>
                <w:sz w:val="24"/>
                <w:szCs w:val="24"/>
              </w:rPr>
              <w:t>根据《云南省地方标准用水定额》（DB53/T 168-2</w:t>
            </w:r>
            <w:r>
              <w:rPr>
                <w:rFonts w:hint="eastAsia"/>
                <w:color w:val="auto"/>
                <w:sz w:val="24"/>
                <w:szCs w:val="24"/>
                <w:lang w:val="en-US" w:eastAsia="zh-CN"/>
              </w:rPr>
              <w:t>026</w:t>
            </w:r>
            <w:r>
              <w:rPr>
                <w:rFonts w:hint="eastAsia"/>
                <w:color w:val="auto"/>
                <w:sz w:val="24"/>
                <w:szCs w:val="24"/>
              </w:rPr>
              <w:t>），建筑业用水定额“</w:t>
            </w:r>
            <w:r>
              <w:rPr>
                <w:rFonts w:hint="eastAsia"/>
                <w:color w:val="auto"/>
                <w:sz w:val="24"/>
                <w:szCs w:val="24"/>
                <w:lang w:val="en-US" w:eastAsia="zh-CN"/>
              </w:rPr>
              <w:t>框架</w:t>
            </w:r>
            <w:r>
              <w:rPr>
                <w:rFonts w:hint="eastAsia"/>
                <w:color w:val="auto"/>
                <w:sz w:val="24"/>
                <w:szCs w:val="24"/>
              </w:rPr>
              <w:t>结构”建筑用水量为</w:t>
            </w:r>
            <w:r>
              <w:rPr>
                <w:rFonts w:hint="eastAsia"/>
                <w:color w:val="auto"/>
                <w:sz w:val="24"/>
                <w:szCs w:val="24"/>
                <w:lang w:val="en-US" w:eastAsia="zh-CN"/>
              </w:rPr>
              <w:t>0.65</w:t>
            </w:r>
            <w:r>
              <w:rPr>
                <w:rFonts w:hint="eastAsia"/>
                <w:color w:val="auto"/>
                <w:sz w:val="24"/>
                <w:szCs w:val="24"/>
              </w:rPr>
              <w:t>m</w:t>
            </w:r>
            <w:r>
              <w:rPr>
                <w:rFonts w:hint="eastAsia"/>
                <w:color w:val="auto"/>
                <w:sz w:val="24"/>
                <w:szCs w:val="24"/>
                <w:vertAlign w:val="superscript"/>
              </w:rPr>
              <w:t>3</w:t>
            </w:r>
            <w:r>
              <w:rPr>
                <w:rFonts w:hint="eastAsia"/>
                <w:color w:val="auto"/>
                <w:sz w:val="24"/>
                <w:szCs w:val="24"/>
              </w:rPr>
              <w:t>/m</w:t>
            </w:r>
            <w:r>
              <w:rPr>
                <w:rFonts w:hint="eastAsia"/>
                <w:color w:val="auto"/>
                <w:sz w:val="24"/>
                <w:szCs w:val="24"/>
                <w:vertAlign w:val="superscript"/>
              </w:rPr>
              <w:t>2</w:t>
            </w:r>
            <w:r>
              <w:rPr>
                <w:rFonts w:hint="eastAsia"/>
                <w:color w:val="auto"/>
                <w:sz w:val="24"/>
                <w:szCs w:val="24"/>
              </w:rPr>
              <w:t>，根据同类项目施工经验，施工废水产生量约为施工用水量的5%，本项目</w:t>
            </w:r>
            <w:r>
              <w:rPr>
                <w:rFonts w:hint="eastAsia"/>
                <w:color w:val="auto"/>
                <w:sz w:val="24"/>
                <w:szCs w:val="24"/>
                <w:highlight w:val="none"/>
                <w:lang w:val="en-US" w:eastAsia="zh-CN"/>
              </w:rPr>
              <w:t>主体工程</w:t>
            </w:r>
            <w:r>
              <w:rPr>
                <w:rFonts w:hint="eastAsia"/>
                <w:color w:val="auto"/>
                <w:sz w:val="24"/>
                <w:szCs w:val="24"/>
                <w:highlight w:val="none"/>
              </w:rPr>
              <w:t>建筑面积</w:t>
            </w:r>
            <w:r>
              <w:rPr>
                <w:rFonts w:hint="eastAsia"/>
                <w:color w:val="auto"/>
                <w:sz w:val="24"/>
                <w:szCs w:val="24"/>
                <w:highlight w:val="none"/>
                <w:lang w:val="en-US" w:eastAsia="zh-CN"/>
              </w:rPr>
              <w:t>5500</w:t>
            </w:r>
            <w:r>
              <w:rPr>
                <w:color w:val="auto"/>
                <w:sz w:val="24"/>
                <w:szCs w:val="24"/>
                <w:highlight w:val="none"/>
              </w:rPr>
              <w:t>m</w:t>
            </w:r>
            <w:r>
              <w:rPr>
                <w:color w:val="auto"/>
                <w:sz w:val="24"/>
                <w:szCs w:val="24"/>
                <w:highlight w:val="none"/>
                <w:vertAlign w:val="superscript"/>
              </w:rPr>
              <w:t>2</w:t>
            </w:r>
            <w:r>
              <w:rPr>
                <w:rFonts w:hint="eastAsia"/>
                <w:color w:val="auto"/>
                <w:sz w:val="24"/>
                <w:szCs w:val="24"/>
                <w:highlight w:val="none"/>
                <w:vertAlign w:val="baseline"/>
                <w:lang w:eastAsia="zh-CN"/>
              </w:rPr>
              <w:t>，</w:t>
            </w:r>
            <w:r>
              <w:rPr>
                <w:rFonts w:hint="eastAsia"/>
                <w:color w:val="auto"/>
                <w:sz w:val="24"/>
                <w:highlight w:val="none"/>
              </w:rPr>
              <w:t>则项目施工</w:t>
            </w:r>
            <w:r>
              <w:rPr>
                <w:rFonts w:hint="eastAsia"/>
                <w:color w:val="auto"/>
                <w:sz w:val="24"/>
                <w:highlight w:val="none"/>
                <w:lang w:val="en-US" w:eastAsia="zh-CN"/>
              </w:rPr>
              <w:t>废</w:t>
            </w:r>
            <w:r>
              <w:rPr>
                <w:rFonts w:hint="eastAsia"/>
                <w:color w:val="auto"/>
                <w:sz w:val="24"/>
                <w:highlight w:val="none"/>
              </w:rPr>
              <w:t>水量约为</w:t>
            </w:r>
            <w:r>
              <w:rPr>
                <w:rFonts w:hint="eastAsia"/>
                <w:color w:val="auto"/>
                <w:sz w:val="24"/>
                <w:highlight w:val="none"/>
                <w:lang w:val="en-US" w:eastAsia="zh-CN"/>
              </w:rPr>
              <w:t>178.75</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，项目</w:t>
            </w:r>
            <w:r>
              <w:rPr>
                <w:rFonts w:hint="eastAsia"/>
                <w:color w:val="auto"/>
                <w:sz w:val="24"/>
                <w:highlight w:val="none"/>
                <w:lang w:val="en-US" w:eastAsia="zh-CN"/>
              </w:rPr>
              <w:t>建筑</w:t>
            </w:r>
            <w:r>
              <w:rPr>
                <w:rFonts w:hint="eastAsia"/>
                <w:color w:val="auto"/>
                <w:sz w:val="24"/>
                <w:highlight w:val="none"/>
              </w:rPr>
              <w:t>施工约</w:t>
            </w:r>
            <w:r>
              <w:rPr>
                <w:rFonts w:hint="eastAsia"/>
                <w:color w:val="auto"/>
                <w:sz w:val="24"/>
                <w:highlight w:val="none"/>
                <w:lang w:val="en-US" w:eastAsia="zh-CN"/>
              </w:rPr>
              <w:t>12</w:t>
            </w:r>
            <w:r>
              <w:rPr>
                <w:rFonts w:hint="eastAsia"/>
                <w:color w:val="auto"/>
                <w:sz w:val="24"/>
                <w:highlight w:val="none"/>
              </w:rPr>
              <w:t>个月，则废水产生量约为</w:t>
            </w:r>
            <w:r>
              <w:rPr>
                <w:rFonts w:hint="eastAsia"/>
                <w:color w:val="auto"/>
                <w:sz w:val="24"/>
                <w:highlight w:val="none"/>
                <w:lang w:val="en-US" w:eastAsia="zh-CN"/>
              </w:rPr>
              <w:t>0.49</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/d，施工废水主要含有泥沙、水泥等悬浮物，浓度一般为800~2000mg/L，通过设置一个</w:t>
            </w:r>
            <w:r>
              <w:rPr>
                <w:rFonts w:hint="eastAsia"/>
                <w:color w:val="auto"/>
                <w:sz w:val="24"/>
                <w:highlight w:val="none"/>
                <w:lang w:val="en-US" w:eastAsia="zh-CN"/>
              </w:rPr>
              <w:t>3</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的沉淀池沉淀处理后回用于施工过程和场地洒水抑尘，不外排。</w:t>
            </w:r>
          </w:p>
          <w:p w14:paraId="2E4B5C4F">
            <w:pPr>
              <w:spacing w:line="360" w:lineRule="auto"/>
              <w:ind w:firstLine="480" w:firstLineChars="200"/>
              <w:rPr>
                <w:color w:val="auto"/>
                <w:sz w:val="24"/>
                <w:szCs w:val="24"/>
              </w:rPr>
            </w:pPr>
            <w:r>
              <w:rPr>
                <w:color w:val="auto"/>
                <w:sz w:val="24"/>
                <w:szCs w:val="24"/>
              </w:rPr>
              <w:t>（2）初期雨水</w:t>
            </w:r>
          </w:p>
          <w:p w14:paraId="6F9642C3">
            <w:pPr>
              <w:spacing w:line="360" w:lineRule="auto"/>
              <w:ind w:firstLine="480" w:firstLineChars="200"/>
              <w:rPr>
                <w:color w:val="auto"/>
                <w:sz w:val="24"/>
                <w:szCs w:val="24"/>
              </w:rPr>
            </w:pPr>
            <w:r>
              <w:rPr>
                <w:color w:val="auto"/>
                <w:sz w:val="24"/>
                <w:szCs w:val="24"/>
              </w:rPr>
              <w:t>项目在施工期间如果遇到雨天，会产生初期雨水。初期雨水主要指前10分钟冲刷浮土、建筑砂石、垃圾、弃土等高浊度废水，会夹带大量泥沙。初期雨水与施工期间天气状况有较大的关系，如果处理不当，对周围水环境会有一定的影响。</w:t>
            </w:r>
          </w:p>
          <w:p w14:paraId="1EFBFD54">
            <w:pPr>
              <w:spacing w:line="360" w:lineRule="auto"/>
              <w:ind w:firstLine="480" w:firstLineChars="200"/>
              <w:rPr>
                <w:color w:val="auto"/>
                <w:sz w:val="24"/>
                <w:szCs w:val="24"/>
              </w:rPr>
            </w:pPr>
            <w:r>
              <w:rPr>
                <w:color w:val="auto"/>
                <w:sz w:val="24"/>
                <w:szCs w:val="24"/>
              </w:rPr>
              <w:t>本次评价考虑最不利情况即暴雨天气下，</w:t>
            </w:r>
            <w:r>
              <w:rPr>
                <w:rFonts w:hint="eastAsia"/>
                <w:color w:val="auto"/>
                <w:sz w:val="24"/>
                <w:szCs w:val="24"/>
              </w:rPr>
              <w:t>10</w:t>
            </w:r>
            <w:r>
              <w:rPr>
                <w:color w:val="auto"/>
                <w:sz w:val="24"/>
                <w:szCs w:val="24"/>
              </w:rPr>
              <w:t>分钟内的初期雨水量。</w:t>
            </w:r>
          </w:p>
          <w:p w14:paraId="24FE7484">
            <w:pPr>
              <w:spacing w:line="360" w:lineRule="auto"/>
              <w:ind w:firstLine="480" w:firstLineChars="200"/>
              <w:rPr>
                <w:color w:val="auto"/>
                <w:sz w:val="24"/>
                <w:szCs w:val="24"/>
              </w:rPr>
            </w:pPr>
            <w:r>
              <w:rPr>
                <w:color w:val="auto"/>
                <w:sz w:val="24"/>
                <w:szCs w:val="24"/>
              </w:rPr>
              <w:t>项目区</w:t>
            </w:r>
            <w:r>
              <w:rPr>
                <w:rFonts w:hint="eastAsia"/>
                <w:color w:val="auto"/>
                <w:sz w:val="24"/>
                <w:szCs w:val="24"/>
              </w:rPr>
              <w:t>地块一的</w:t>
            </w:r>
            <w:r>
              <w:rPr>
                <w:color w:val="auto"/>
                <w:sz w:val="24"/>
                <w:szCs w:val="24"/>
              </w:rPr>
              <w:t>初期雨水量按以下经验公式计算：</w:t>
            </w:r>
          </w:p>
          <w:p w14:paraId="5A784DE7">
            <w:pPr>
              <w:spacing w:line="360" w:lineRule="auto"/>
              <w:jc w:val="center"/>
              <w:rPr>
                <w:color w:val="auto"/>
                <w:szCs w:val="21"/>
              </w:rPr>
            </w:pPr>
            <w:r>
              <w:rPr>
                <w:color w:val="auto"/>
                <w:szCs w:val="21"/>
              </w:rPr>
              <w:object>
                <v:shape id="_x0000_i1027" o:spt="75" type="#_x0000_t75" style="height:20.5pt;width:57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p>
          <w:p w14:paraId="40FC71BA">
            <w:pPr>
              <w:spacing w:line="360" w:lineRule="auto"/>
              <w:ind w:firstLine="480" w:firstLineChars="200"/>
              <w:rPr>
                <w:color w:val="auto"/>
                <w:sz w:val="24"/>
                <w:szCs w:val="24"/>
              </w:rPr>
            </w:pPr>
            <w:r>
              <w:rPr>
                <w:color w:val="auto"/>
                <w:sz w:val="24"/>
                <w:szCs w:val="24"/>
              </w:rPr>
              <w:t>式中：Q总—雨天地表径流，m</w:t>
            </w:r>
            <w:r>
              <w:rPr>
                <w:color w:val="auto"/>
                <w:sz w:val="24"/>
                <w:szCs w:val="24"/>
                <w:vertAlign w:val="superscript"/>
              </w:rPr>
              <w:t>3</w:t>
            </w:r>
            <w:r>
              <w:rPr>
                <w:color w:val="auto"/>
                <w:sz w:val="24"/>
                <w:szCs w:val="24"/>
              </w:rPr>
              <w:t>/h；</w:t>
            </w:r>
          </w:p>
          <w:p w14:paraId="1E92A66B">
            <w:pPr>
              <w:spacing w:line="360" w:lineRule="auto"/>
              <w:ind w:firstLine="480" w:firstLineChars="200"/>
              <w:rPr>
                <w:color w:val="auto"/>
                <w:sz w:val="24"/>
                <w:szCs w:val="24"/>
              </w:rPr>
            </w:pPr>
            <w:r>
              <w:rPr>
                <w:color w:val="auto"/>
                <w:position w:val="-6"/>
                <w:sz w:val="24"/>
                <w:szCs w:val="24"/>
              </w:rPr>
              <w:object>
                <v:shape id="_x0000_i1028" o:spt="75" type="#_x0000_t75" style="height:9.5pt;width:9.5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color w:val="auto"/>
                <w:sz w:val="24"/>
                <w:szCs w:val="24"/>
              </w:rPr>
              <w:t>—径流系数，</w:t>
            </w:r>
            <w:r>
              <w:rPr>
                <w:rFonts w:hint="eastAsia"/>
                <w:color w:val="auto"/>
                <w:sz w:val="24"/>
                <w:szCs w:val="24"/>
                <w:lang w:val="en-US" w:eastAsia="zh-CN"/>
              </w:rPr>
              <w:t>根据径流系数表，项目地为裸露地面，</w:t>
            </w:r>
            <w:r>
              <w:rPr>
                <w:color w:val="auto"/>
                <w:sz w:val="24"/>
                <w:szCs w:val="24"/>
              </w:rPr>
              <w:t>径流系数取0.6；</w:t>
            </w:r>
          </w:p>
          <w:p w14:paraId="635D134C">
            <w:pPr>
              <w:spacing w:line="360" w:lineRule="auto"/>
              <w:ind w:firstLine="480" w:firstLineChars="200"/>
              <w:rPr>
                <w:color w:val="auto"/>
                <w:sz w:val="24"/>
                <w:szCs w:val="24"/>
              </w:rPr>
            </w:pPr>
            <w:r>
              <w:rPr>
                <w:color w:val="auto"/>
                <w:sz w:val="24"/>
                <w:szCs w:val="24"/>
              </w:rPr>
              <w:object>
                <v:shape id="_x0000_i1029" o:spt="75" type="#_x0000_t75" style="height:15pt;width:15pt;" o:ole="t" filled="f" o:preferrelative="t" stroked="f" coordsize="21600,21600">
                  <v:path/>
                  <v:fill on="f" focussize="0,0"/>
                  <v:stroke on="f" joinstyle="miter"/>
                  <v:imagedata r:id="rId17" o:title=""/>
                  <o:lock v:ext="edit" aspectratio="t"/>
                  <w10:wrap type="none"/>
                  <w10:anchorlock/>
                </v:shape>
                <o:OLEObject Type="Embed" ProgID="Equation.3" ShapeID="_x0000_i1029" DrawAspect="Content" ObjectID="_1468075729" r:id="rId16">
                  <o:LockedField>false</o:LockedField>
                </o:OLEObject>
              </w:object>
            </w:r>
            <w:r>
              <w:rPr>
                <w:color w:val="auto"/>
                <w:sz w:val="24"/>
                <w:szCs w:val="24"/>
              </w:rPr>
              <w:t>—降雨参数，寻甸县20年一遇小时最大降雨量为50.12mm，0.05012m；</w:t>
            </w:r>
          </w:p>
          <w:p w14:paraId="1E12289C">
            <w:pPr>
              <w:spacing w:line="360" w:lineRule="auto"/>
              <w:ind w:firstLine="720" w:firstLineChars="300"/>
              <w:rPr>
                <w:color w:val="auto"/>
                <w:sz w:val="24"/>
                <w:szCs w:val="24"/>
              </w:rPr>
            </w:pPr>
            <w:r>
              <w:rPr>
                <w:color w:val="auto"/>
                <w:sz w:val="24"/>
                <w:szCs w:val="24"/>
              </w:rPr>
              <w:t>F—汇水面积，</w:t>
            </w:r>
            <w:r>
              <w:rPr>
                <w:rFonts w:hint="default" w:ascii="Times New Roman" w:hAnsi="Times New Roman" w:eastAsia="宋体" w:cs="Times New Roman"/>
                <w:color w:val="auto"/>
                <w:sz w:val="24"/>
                <w:szCs w:val="24"/>
                <w:highlight w:val="none"/>
              </w:rPr>
              <w:t>本次</w:t>
            </w:r>
            <w:r>
              <w:rPr>
                <w:rFonts w:hint="default" w:ascii="Times New Roman" w:hAnsi="Times New Roman" w:eastAsia="宋体" w:cs="Times New Roman"/>
                <w:color w:val="auto"/>
                <w:sz w:val="24"/>
                <w:szCs w:val="24"/>
                <w:highlight w:val="none"/>
                <w:lang w:val="en-US" w:eastAsia="zh-CN"/>
              </w:rPr>
              <w:t>扩建</w:t>
            </w: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val="en-US" w:eastAsia="zh-CN"/>
              </w:rPr>
              <w:t>共三个地块</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总占地面积为24</w:t>
            </w:r>
            <w:r>
              <w:rPr>
                <w:rFonts w:hint="eastAsia" w:cs="Times New Roman"/>
                <w:color w:val="auto"/>
                <w:sz w:val="24"/>
                <w:szCs w:val="24"/>
                <w:highlight w:val="none"/>
                <w:lang w:val="en-US" w:eastAsia="zh-CN"/>
              </w:rPr>
              <w:t>465</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其中：</w:t>
            </w:r>
            <w:r>
              <w:rPr>
                <w:rFonts w:hint="default" w:ascii="Times New Roman" w:hAnsi="Times New Roman" w:eastAsia="宋体" w:cs="Times New Roman"/>
                <w:color w:val="auto"/>
                <w:sz w:val="24"/>
                <w:szCs w:val="24"/>
              </w:rPr>
              <w:t>地块</w:t>
            </w:r>
            <w:r>
              <w:rPr>
                <w:rFonts w:hint="default"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rPr>
              <w:t>总占地面积</w:t>
            </w:r>
            <w:r>
              <w:rPr>
                <w:rFonts w:hint="default" w:ascii="Times New Roman" w:hAnsi="Times New Roman" w:eastAsia="宋体" w:cs="Times New Roman"/>
                <w:color w:val="auto"/>
                <w:sz w:val="24"/>
                <w:szCs w:val="24"/>
                <w:lang w:val="en-US" w:eastAsia="zh-CN"/>
              </w:rPr>
              <w:t>945</w:t>
            </w:r>
            <w:r>
              <w:rPr>
                <w:rFonts w:hint="eastAsia" w:cs="Times New Roman"/>
                <w:color w:val="auto"/>
                <w:sz w:val="24"/>
                <w:szCs w:val="24"/>
                <w:lang w:val="en-US" w:eastAsia="zh-CN"/>
              </w:rPr>
              <w:t>0</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w:t>
            </w:r>
            <w:r>
              <w:rPr>
                <w:rFonts w:hint="eastAsia"/>
                <w:color w:val="auto"/>
                <w:sz w:val="24"/>
                <w:szCs w:val="24"/>
              </w:rPr>
              <w:t>、地块二</w:t>
            </w:r>
            <w:r>
              <w:rPr>
                <w:rFonts w:hint="eastAsia"/>
                <w:color w:val="auto"/>
                <w:sz w:val="24"/>
                <w:szCs w:val="24"/>
                <w:lang w:val="en-US" w:eastAsia="zh-CN"/>
              </w:rPr>
              <w:t>7130</w:t>
            </w:r>
            <w:r>
              <w:rPr>
                <w:color w:val="auto"/>
                <w:sz w:val="24"/>
                <w:szCs w:val="24"/>
              </w:rPr>
              <w:t>m</w:t>
            </w:r>
            <w:r>
              <w:rPr>
                <w:color w:val="auto"/>
                <w:sz w:val="24"/>
                <w:szCs w:val="24"/>
                <w:vertAlign w:val="superscript"/>
              </w:rPr>
              <w:t>2</w:t>
            </w:r>
            <w:r>
              <w:rPr>
                <w:rFonts w:hint="eastAsia"/>
                <w:color w:val="auto"/>
                <w:sz w:val="24"/>
                <w:szCs w:val="24"/>
                <w:lang w:eastAsia="zh-CN"/>
              </w:rPr>
              <w:t>、</w:t>
            </w:r>
            <w:r>
              <w:rPr>
                <w:rFonts w:hint="eastAsia"/>
                <w:color w:val="auto"/>
                <w:sz w:val="24"/>
                <w:szCs w:val="24"/>
              </w:rPr>
              <w:t>地块二</w:t>
            </w:r>
            <w:r>
              <w:rPr>
                <w:rFonts w:hint="eastAsia"/>
                <w:color w:val="auto"/>
                <w:sz w:val="24"/>
                <w:szCs w:val="24"/>
                <w:lang w:val="en-US" w:eastAsia="zh-CN"/>
              </w:rPr>
              <w:t>7885</w:t>
            </w:r>
            <w:r>
              <w:rPr>
                <w:color w:val="auto"/>
                <w:sz w:val="24"/>
                <w:szCs w:val="24"/>
              </w:rPr>
              <w:t>m</w:t>
            </w:r>
            <w:r>
              <w:rPr>
                <w:color w:val="auto"/>
                <w:sz w:val="24"/>
                <w:szCs w:val="24"/>
                <w:vertAlign w:val="superscript"/>
              </w:rPr>
              <w:t>2</w:t>
            </w:r>
            <w:r>
              <w:rPr>
                <w:color w:val="auto"/>
                <w:sz w:val="24"/>
                <w:szCs w:val="24"/>
              </w:rPr>
              <w:t>。</w:t>
            </w:r>
          </w:p>
          <w:p w14:paraId="66CB5D61">
            <w:pPr>
              <w:spacing w:line="360" w:lineRule="auto"/>
              <w:ind w:firstLine="480" w:firstLineChars="200"/>
              <w:rPr>
                <w:rFonts w:hint="default" w:eastAsia="宋体"/>
                <w:color w:val="auto"/>
                <w:sz w:val="24"/>
                <w:szCs w:val="24"/>
                <w:lang w:val="en-US" w:eastAsia="zh-CN"/>
              </w:rPr>
            </w:pPr>
            <w:r>
              <w:rPr>
                <w:color w:val="auto"/>
                <w:sz w:val="24"/>
                <w:szCs w:val="24"/>
              </w:rPr>
              <w:t>根据上式计算可得，项目施工区</w:t>
            </w:r>
            <w:r>
              <w:rPr>
                <w:rFonts w:hint="eastAsia"/>
                <w:color w:val="auto"/>
                <w:sz w:val="24"/>
                <w:szCs w:val="24"/>
              </w:rPr>
              <w:t>地块一的</w:t>
            </w:r>
            <w:r>
              <w:rPr>
                <w:color w:val="auto"/>
                <w:sz w:val="24"/>
                <w:szCs w:val="24"/>
              </w:rPr>
              <w:t>初期雨水最大小时产生量为</w:t>
            </w:r>
            <w:r>
              <w:rPr>
                <w:rFonts w:hint="eastAsia"/>
                <w:color w:val="auto"/>
                <w:sz w:val="24"/>
                <w:szCs w:val="24"/>
                <w:lang w:val="en-US" w:eastAsia="zh-CN"/>
              </w:rPr>
              <w:t>284.4</w:t>
            </w:r>
            <w:r>
              <w:rPr>
                <w:color w:val="auto"/>
                <w:sz w:val="24"/>
                <w:szCs w:val="24"/>
              </w:rPr>
              <w:t>m</w:t>
            </w:r>
            <w:r>
              <w:rPr>
                <w:color w:val="auto"/>
                <w:sz w:val="24"/>
                <w:szCs w:val="24"/>
                <w:vertAlign w:val="superscript"/>
              </w:rPr>
              <w:t>3</w:t>
            </w:r>
            <w:r>
              <w:rPr>
                <w:rFonts w:hint="eastAsia"/>
                <w:color w:val="auto"/>
                <w:sz w:val="24"/>
                <w:szCs w:val="24"/>
              </w:rPr>
              <w:t>，地块二的</w:t>
            </w:r>
            <w:r>
              <w:rPr>
                <w:color w:val="auto"/>
                <w:sz w:val="24"/>
                <w:szCs w:val="24"/>
              </w:rPr>
              <w:t>初期雨水最大小时产生量为</w:t>
            </w:r>
            <w:r>
              <w:rPr>
                <w:rFonts w:hint="eastAsia"/>
                <w:color w:val="auto"/>
                <w:sz w:val="24"/>
                <w:szCs w:val="24"/>
                <w:lang w:val="en-US" w:eastAsia="zh-CN"/>
              </w:rPr>
              <w:t>214.5</w:t>
            </w:r>
            <w:r>
              <w:rPr>
                <w:color w:val="auto"/>
                <w:sz w:val="24"/>
                <w:szCs w:val="24"/>
              </w:rPr>
              <w:t>m</w:t>
            </w:r>
            <w:r>
              <w:rPr>
                <w:color w:val="auto"/>
                <w:sz w:val="24"/>
                <w:szCs w:val="24"/>
                <w:vertAlign w:val="superscript"/>
              </w:rPr>
              <w:t>3</w:t>
            </w:r>
            <w:r>
              <w:rPr>
                <w:color w:val="auto"/>
                <w:sz w:val="24"/>
                <w:szCs w:val="24"/>
              </w:rPr>
              <w:t>，</w:t>
            </w:r>
            <w:r>
              <w:rPr>
                <w:rFonts w:hint="eastAsia"/>
                <w:color w:val="auto"/>
                <w:sz w:val="24"/>
                <w:szCs w:val="24"/>
                <w:lang w:val="en-US" w:eastAsia="zh-CN"/>
              </w:rPr>
              <w:t>地块三</w:t>
            </w:r>
            <w:r>
              <w:rPr>
                <w:rFonts w:hint="eastAsia"/>
                <w:color w:val="auto"/>
                <w:sz w:val="24"/>
                <w:szCs w:val="24"/>
              </w:rPr>
              <w:t>的</w:t>
            </w:r>
            <w:r>
              <w:rPr>
                <w:color w:val="auto"/>
                <w:sz w:val="24"/>
                <w:szCs w:val="24"/>
              </w:rPr>
              <w:t>初期雨水最大小时产生量为</w:t>
            </w:r>
            <w:r>
              <w:rPr>
                <w:rFonts w:hint="eastAsia"/>
                <w:color w:val="auto"/>
                <w:sz w:val="24"/>
                <w:szCs w:val="24"/>
                <w:lang w:val="en-US" w:eastAsia="zh-CN"/>
              </w:rPr>
              <w:t>238</w:t>
            </w:r>
            <w:r>
              <w:rPr>
                <w:color w:val="auto"/>
                <w:sz w:val="24"/>
                <w:szCs w:val="24"/>
              </w:rPr>
              <w:t>m</w:t>
            </w:r>
            <w:r>
              <w:rPr>
                <w:color w:val="auto"/>
                <w:sz w:val="24"/>
                <w:szCs w:val="24"/>
                <w:vertAlign w:val="superscript"/>
              </w:rPr>
              <w:t>3</w:t>
            </w:r>
            <w:r>
              <w:rPr>
                <w:color w:val="auto"/>
                <w:sz w:val="24"/>
                <w:szCs w:val="24"/>
              </w:rPr>
              <w:t>，</w:t>
            </w:r>
          </w:p>
          <w:p w14:paraId="61E6A288">
            <w:pPr>
              <w:spacing w:line="360" w:lineRule="auto"/>
              <w:ind w:firstLine="480" w:firstLineChars="200"/>
              <w:rPr>
                <w:color w:val="auto"/>
                <w:sz w:val="24"/>
                <w:szCs w:val="24"/>
              </w:rPr>
            </w:pPr>
            <w:r>
              <w:rPr>
                <w:rFonts w:hint="eastAsia"/>
                <w:color w:val="auto"/>
                <w:sz w:val="24"/>
                <w:szCs w:val="24"/>
              </w:rPr>
              <w:t>地块一</w:t>
            </w:r>
            <w:r>
              <w:rPr>
                <w:color w:val="auto"/>
                <w:sz w:val="24"/>
                <w:szCs w:val="24"/>
              </w:rPr>
              <w:t>前</w:t>
            </w:r>
            <w:r>
              <w:rPr>
                <w:rFonts w:hint="eastAsia"/>
                <w:color w:val="auto"/>
                <w:sz w:val="24"/>
                <w:szCs w:val="24"/>
              </w:rPr>
              <w:t>10</w:t>
            </w:r>
            <w:r>
              <w:rPr>
                <w:color w:val="auto"/>
                <w:sz w:val="24"/>
                <w:szCs w:val="24"/>
              </w:rPr>
              <w:t>分钟产生量约为</w:t>
            </w:r>
            <w:r>
              <w:rPr>
                <w:rFonts w:hint="eastAsia"/>
                <w:color w:val="auto"/>
                <w:sz w:val="24"/>
                <w:szCs w:val="24"/>
                <w:lang w:val="en-US" w:eastAsia="zh-CN"/>
              </w:rPr>
              <w:t>47.4</w:t>
            </w:r>
            <w:r>
              <w:rPr>
                <w:color w:val="auto"/>
                <w:sz w:val="24"/>
                <w:szCs w:val="24"/>
              </w:rPr>
              <w:t>m</w:t>
            </w:r>
            <w:r>
              <w:rPr>
                <w:color w:val="auto"/>
                <w:sz w:val="24"/>
                <w:szCs w:val="24"/>
                <w:vertAlign w:val="superscript"/>
              </w:rPr>
              <w:t>3</w:t>
            </w:r>
            <w:r>
              <w:rPr>
                <w:rFonts w:hint="eastAsia"/>
                <w:color w:val="auto"/>
                <w:sz w:val="24"/>
                <w:szCs w:val="24"/>
              </w:rPr>
              <w:t>，地块二</w:t>
            </w:r>
            <w:r>
              <w:rPr>
                <w:color w:val="auto"/>
                <w:sz w:val="24"/>
                <w:szCs w:val="24"/>
              </w:rPr>
              <w:t>前</w:t>
            </w:r>
            <w:r>
              <w:rPr>
                <w:rFonts w:hint="eastAsia"/>
                <w:color w:val="auto"/>
                <w:sz w:val="24"/>
                <w:szCs w:val="24"/>
              </w:rPr>
              <w:t>10</w:t>
            </w:r>
            <w:r>
              <w:rPr>
                <w:color w:val="auto"/>
                <w:sz w:val="24"/>
                <w:szCs w:val="24"/>
              </w:rPr>
              <w:t>分钟产生量约为</w:t>
            </w:r>
            <w:r>
              <w:rPr>
                <w:rFonts w:hint="eastAsia"/>
                <w:color w:val="auto"/>
                <w:sz w:val="24"/>
                <w:szCs w:val="24"/>
                <w:lang w:val="en-US" w:eastAsia="zh-CN"/>
              </w:rPr>
              <w:t>35.75</w:t>
            </w:r>
            <w:r>
              <w:rPr>
                <w:color w:val="auto"/>
                <w:sz w:val="24"/>
                <w:szCs w:val="24"/>
              </w:rPr>
              <w:t>m</w:t>
            </w:r>
            <w:r>
              <w:rPr>
                <w:color w:val="auto"/>
                <w:sz w:val="24"/>
                <w:szCs w:val="24"/>
                <w:vertAlign w:val="superscript"/>
              </w:rPr>
              <w:t>3</w:t>
            </w:r>
            <w:r>
              <w:rPr>
                <w:rFonts w:hint="eastAsia"/>
                <w:color w:val="auto"/>
                <w:sz w:val="24"/>
                <w:szCs w:val="24"/>
                <w:lang w:eastAsia="zh-CN"/>
              </w:rPr>
              <w:t>，</w:t>
            </w:r>
            <w:r>
              <w:rPr>
                <w:rFonts w:hint="eastAsia"/>
                <w:color w:val="auto"/>
                <w:sz w:val="24"/>
                <w:szCs w:val="24"/>
              </w:rPr>
              <w:t>地块</w:t>
            </w:r>
            <w:r>
              <w:rPr>
                <w:rFonts w:hint="eastAsia"/>
                <w:color w:val="auto"/>
                <w:sz w:val="24"/>
                <w:szCs w:val="24"/>
                <w:lang w:val="en-US" w:eastAsia="zh-CN"/>
              </w:rPr>
              <w:t>三</w:t>
            </w:r>
            <w:r>
              <w:rPr>
                <w:color w:val="auto"/>
                <w:sz w:val="24"/>
                <w:szCs w:val="24"/>
              </w:rPr>
              <w:t>前</w:t>
            </w:r>
            <w:r>
              <w:rPr>
                <w:rFonts w:hint="eastAsia"/>
                <w:color w:val="auto"/>
                <w:sz w:val="24"/>
                <w:szCs w:val="24"/>
              </w:rPr>
              <w:t>10</w:t>
            </w:r>
            <w:r>
              <w:rPr>
                <w:color w:val="auto"/>
                <w:sz w:val="24"/>
                <w:szCs w:val="24"/>
              </w:rPr>
              <w:t>分钟产生量约为</w:t>
            </w:r>
            <w:r>
              <w:rPr>
                <w:rFonts w:hint="eastAsia"/>
                <w:color w:val="auto"/>
                <w:sz w:val="24"/>
                <w:szCs w:val="24"/>
                <w:lang w:val="en-US" w:eastAsia="zh-CN"/>
              </w:rPr>
              <w:t>39.6</w:t>
            </w:r>
            <w:r>
              <w:rPr>
                <w:color w:val="auto"/>
                <w:sz w:val="24"/>
                <w:szCs w:val="24"/>
              </w:rPr>
              <w:t>m</w:t>
            </w:r>
            <w:r>
              <w:rPr>
                <w:color w:val="auto"/>
                <w:sz w:val="24"/>
                <w:szCs w:val="24"/>
                <w:vertAlign w:val="superscript"/>
              </w:rPr>
              <w:t>3</w:t>
            </w:r>
            <w:r>
              <w:rPr>
                <w:color w:val="auto"/>
                <w:sz w:val="24"/>
                <w:szCs w:val="24"/>
              </w:rPr>
              <w:t>。初期雨水主要污染物为SS，本次环评要求建设单位</w:t>
            </w:r>
            <w:r>
              <w:rPr>
                <w:rFonts w:hint="eastAsia"/>
                <w:color w:val="auto"/>
                <w:sz w:val="24"/>
                <w:szCs w:val="24"/>
              </w:rPr>
              <w:t>在地块一</w:t>
            </w:r>
            <w:r>
              <w:rPr>
                <w:color w:val="auto"/>
                <w:sz w:val="24"/>
                <w:szCs w:val="24"/>
              </w:rPr>
              <w:t>建设容积为</w:t>
            </w:r>
            <w:r>
              <w:rPr>
                <w:rFonts w:hint="eastAsia"/>
                <w:color w:val="auto"/>
                <w:sz w:val="24"/>
                <w:szCs w:val="24"/>
              </w:rPr>
              <w:t>60</w:t>
            </w:r>
            <w:r>
              <w:rPr>
                <w:color w:val="auto"/>
                <w:sz w:val="24"/>
                <w:szCs w:val="24"/>
              </w:rPr>
              <w:t>m</w:t>
            </w:r>
            <w:r>
              <w:rPr>
                <w:color w:val="auto"/>
                <w:sz w:val="24"/>
                <w:szCs w:val="24"/>
                <w:vertAlign w:val="superscript"/>
              </w:rPr>
              <w:t>3</w:t>
            </w:r>
            <w:r>
              <w:rPr>
                <w:color w:val="auto"/>
                <w:sz w:val="24"/>
                <w:szCs w:val="24"/>
              </w:rPr>
              <w:t>的</w:t>
            </w:r>
            <w:r>
              <w:rPr>
                <w:rFonts w:hint="eastAsia"/>
                <w:color w:val="auto"/>
                <w:sz w:val="24"/>
                <w:szCs w:val="24"/>
              </w:rPr>
              <w:t>初期雨水池，地块二</w:t>
            </w:r>
            <w:r>
              <w:rPr>
                <w:color w:val="auto"/>
                <w:sz w:val="24"/>
                <w:szCs w:val="24"/>
              </w:rPr>
              <w:t>建设容积为</w:t>
            </w:r>
            <w:r>
              <w:rPr>
                <w:rFonts w:hint="eastAsia"/>
                <w:color w:val="auto"/>
                <w:sz w:val="24"/>
                <w:szCs w:val="24"/>
                <w:lang w:val="en-US" w:eastAsia="zh-CN"/>
              </w:rPr>
              <w:t>5</w:t>
            </w:r>
            <w:r>
              <w:rPr>
                <w:rFonts w:hint="eastAsia"/>
                <w:color w:val="auto"/>
                <w:sz w:val="24"/>
                <w:szCs w:val="24"/>
              </w:rPr>
              <w:t>0</w:t>
            </w:r>
            <w:r>
              <w:rPr>
                <w:color w:val="auto"/>
                <w:sz w:val="24"/>
                <w:szCs w:val="24"/>
              </w:rPr>
              <w:t>m</w:t>
            </w:r>
            <w:r>
              <w:rPr>
                <w:color w:val="auto"/>
                <w:sz w:val="24"/>
                <w:szCs w:val="24"/>
                <w:vertAlign w:val="superscript"/>
              </w:rPr>
              <w:t>3</w:t>
            </w:r>
            <w:r>
              <w:rPr>
                <w:color w:val="auto"/>
                <w:sz w:val="24"/>
                <w:szCs w:val="24"/>
              </w:rPr>
              <w:t>的</w:t>
            </w:r>
            <w:r>
              <w:rPr>
                <w:rFonts w:hint="eastAsia"/>
                <w:color w:val="auto"/>
                <w:sz w:val="24"/>
                <w:szCs w:val="24"/>
              </w:rPr>
              <w:t>初期雨水池</w:t>
            </w:r>
            <w:r>
              <w:rPr>
                <w:color w:val="auto"/>
                <w:sz w:val="24"/>
                <w:szCs w:val="24"/>
              </w:rPr>
              <w:t>，</w:t>
            </w:r>
            <w:r>
              <w:rPr>
                <w:rFonts w:hint="eastAsia"/>
                <w:color w:val="auto"/>
                <w:sz w:val="24"/>
                <w:szCs w:val="24"/>
              </w:rPr>
              <w:t>地块</w:t>
            </w:r>
            <w:r>
              <w:rPr>
                <w:rFonts w:hint="eastAsia"/>
                <w:color w:val="auto"/>
                <w:sz w:val="24"/>
                <w:szCs w:val="24"/>
                <w:lang w:val="en-US" w:eastAsia="zh-CN"/>
              </w:rPr>
              <w:t>三</w:t>
            </w:r>
            <w:r>
              <w:rPr>
                <w:color w:val="auto"/>
                <w:sz w:val="24"/>
                <w:szCs w:val="24"/>
              </w:rPr>
              <w:t>建设容积为</w:t>
            </w:r>
            <w:r>
              <w:rPr>
                <w:rFonts w:hint="eastAsia"/>
                <w:color w:val="auto"/>
                <w:sz w:val="24"/>
                <w:szCs w:val="24"/>
                <w:lang w:val="en-US" w:eastAsia="zh-CN"/>
              </w:rPr>
              <w:t>5</w:t>
            </w:r>
            <w:r>
              <w:rPr>
                <w:rFonts w:hint="eastAsia"/>
                <w:color w:val="auto"/>
                <w:sz w:val="24"/>
                <w:szCs w:val="24"/>
              </w:rPr>
              <w:t>0</w:t>
            </w:r>
            <w:r>
              <w:rPr>
                <w:color w:val="auto"/>
                <w:sz w:val="24"/>
                <w:szCs w:val="24"/>
              </w:rPr>
              <w:t>m</w:t>
            </w:r>
            <w:r>
              <w:rPr>
                <w:color w:val="auto"/>
                <w:sz w:val="24"/>
                <w:szCs w:val="24"/>
                <w:vertAlign w:val="superscript"/>
              </w:rPr>
              <w:t>3</w:t>
            </w:r>
            <w:r>
              <w:rPr>
                <w:color w:val="auto"/>
                <w:sz w:val="24"/>
                <w:szCs w:val="24"/>
              </w:rPr>
              <w:t>的</w:t>
            </w:r>
            <w:r>
              <w:rPr>
                <w:rFonts w:hint="eastAsia"/>
                <w:color w:val="auto"/>
                <w:sz w:val="24"/>
                <w:szCs w:val="24"/>
              </w:rPr>
              <w:t>初期雨水池</w:t>
            </w:r>
            <w:r>
              <w:rPr>
                <w:color w:val="auto"/>
                <w:sz w:val="24"/>
                <w:szCs w:val="24"/>
              </w:rPr>
              <w:t>，满足雨水收集要求。项目周围设置</w:t>
            </w:r>
            <w:r>
              <w:rPr>
                <w:rFonts w:hint="eastAsia"/>
                <w:color w:val="auto"/>
                <w:sz w:val="24"/>
                <w:szCs w:val="24"/>
              </w:rPr>
              <w:t>截排水沟</w:t>
            </w:r>
            <w:r>
              <w:rPr>
                <w:color w:val="auto"/>
                <w:sz w:val="24"/>
                <w:szCs w:val="24"/>
              </w:rPr>
              <w:t>，在</w:t>
            </w:r>
            <w:r>
              <w:rPr>
                <w:rFonts w:hint="eastAsia"/>
                <w:color w:val="auto"/>
                <w:sz w:val="24"/>
                <w:szCs w:val="24"/>
              </w:rPr>
              <w:t>截排水沟</w:t>
            </w:r>
            <w:r>
              <w:rPr>
                <w:color w:val="auto"/>
                <w:sz w:val="24"/>
                <w:szCs w:val="24"/>
              </w:rPr>
              <w:t>末端设置</w:t>
            </w:r>
            <w:r>
              <w:rPr>
                <w:rFonts w:hint="eastAsia"/>
                <w:color w:val="auto"/>
                <w:sz w:val="24"/>
                <w:szCs w:val="24"/>
              </w:rPr>
              <w:t>初期</w:t>
            </w:r>
            <w:r>
              <w:rPr>
                <w:rFonts w:hint="eastAsia"/>
                <w:color w:val="auto"/>
                <w:sz w:val="24"/>
                <w:szCs w:val="24"/>
                <w:lang w:val="en-US" w:eastAsia="zh-CN"/>
              </w:rPr>
              <w:t>雨</w:t>
            </w:r>
            <w:r>
              <w:rPr>
                <w:rFonts w:hint="eastAsia"/>
                <w:color w:val="auto"/>
                <w:sz w:val="24"/>
                <w:szCs w:val="24"/>
              </w:rPr>
              <w:t>水池收集初期雨水</w:t>
            </w:r>
            <w:r>
              <w:rPr>
                <w:color w:val="auto"/>
                <w:sz w:val="24"/>
                <w:szCs w:val="24"/>
              </w:rPr>
              <w:t>，经过沉淀后回用于施工场地洒水降尘、施工用水。</w:t>
            </w:r>
          </w:p>
          <w:p w14:paraId="340B4AC5">
            <w:pPr>
              <w:spacing w:line="360" w:lineRule="auto"/>
              <w:ind w:firstLine="482" w:firstLineChars="200"/>
              <w:rPr>
                <w:b/>
                <w:bCs/>
                <w:color w:val="auto"/>
                <w:sz w:val="24"/>
                <w:szCs w:val="24"/>
              </w:rPr>
            </w:pPr>
            <w:r>
              <w:rPr>
                <w:b/>
                <w:bCs/>
                <w:color w:val="auto"/>
                <w:sz w:val="24"/>
                <w:szCs w:val="24"/>
              </w:rPr>
              <w:t>2、施工期废水治理措施</w:t>
            </w:r>
          </w:p>
          <w:p w14:paraId="056D5417">
            <w:pPr>
              <w:spacing w:line="360" w:lineRule="auto"/>
              <w:ind w:firstLine="480" w:firstLineChars="200"/>
              <w:rPr>
                <w:color w:val="auto"/>
                <w:sz w:val="24"/>
                <w:szCs w:val="24"/>
              </w:rPr>
            </w:pPr>
            <w:r>
              <w:rPr>
                <w:color w:val="auto"/>
                <w:sz w:val="24"/>
                <w:szCs w:val="24"/>
              </w:rPr>
              <w:t>项目施工期废水主要为车辆机械设备冲洗废水、初期雨水，针对各废水产污环节，项目施工期采取废水防治措施为车辆机械设备冲洗废水储存在容积为3m</w:t>
            </w:r>
            <w:r>
              <w:rPr>
                <w:color w:val="auto"/>
                <w:sz w:val="24"/>
                <w:szCs w:val="24"/>
                <w:vertAlign w:val="superscript"/>
              </w:rPr>
              <w:t>3</w:t>
            </w:r>
            <w:r>
              <w:rPr>
                <w:color w:val="auto"/>
                <w:sz w:val="24"/>
                <w:szCs w:val="24"/>
              </w:rPr>
              <w:t>临时沉淀池内，沉淀后回用于场地洒水降尘。</w:t>
            </w:r>
            <w:r>
              <w:rPr>
                <w:rFonts w:hint="eastAsia"/>
                <w:color w:val="auto"/>
                <w:sz w:val="24"/>
                <w:szCs w:val="24"/>
              </w:rPr>
              <w:t>地块一</w:t>
            </w:r>
            <w:r>
              <w:rPr>
                <w:rFonts w:hint="eastAsia"/>
                <w:color w:val="auto"/>
                <w:sz w:val="24"/>
                <w:szCs w:val="24"/>
                <w:lang w:eastAsia="zh-CN"/>
              </w:rPr>
              <w:t>、</w:t>
            </w:r>
            <w:r>
              <w:rPr>
                <w:rFonts w:hint="eastAsia"/>
                <w:color w:val="auto"/>
                <w:sz w:val="24"/>
                <w:szCs w:val="24"/>
              </w:rPr>
              <w:t>地块二</w:t>
            </w:r>
            <w:r>
              <w:rPr>
                <w:rFonts w:hint="eastAsia"/>
                <w:color w:val="auto"/>
                <w:sz w:val="24"/>
                <w:szCs w:val="24"/>
                <w:lang w:eastAsia="zh-CN"/>
              </w:rPr>
              <w:t>、</w:t>
            </w:r>
            <w:r>
              <w:rPr>
                <w:rFonts w:hint="eastAsia"/>
                <w:color w:val="auto"/>
                <w:sz w:val="24"/>
                <w:szCs w:val="24"/>
                <w:lang w:val="en-US" w:eastAsia="zh-CN"/>
              </w:rPr>
              <w:t>地块三</w:t>
            </w:r>
            <w:r>
              <w:rPr>
                <w:color w:val="auto"/>
                <w:sz w:val="24"/>
                <w:szCs w:val="24"/>
              </w:rPr>
              <w:t>初期</w:t>
            </w:r>
            <w:r>
              <w:rPr>
                <w:rFonts w:hint="eastAsia"/>
                <w:color w:val="auto"/>
                <w:sz w:val="24"/>
                <w:szCs w:val="24"/>
              </w:rPr>
              <w:t>雨水</w:t>
            </w:r>
            <w:r>
              <w:rPr>
                <w:color w:val="auto"/>
                <w:sz w:val="24"/>
                <w:szCs w:val="24"/>
              </w:rPr>
              <w:t>通过施工场地四周的排水沟收集到容积为</w:t>
            </w:r>
            <w:r>
              <w:rPr>
                <w:rFonts w:hint="eastAsia"/>
                <w:color w:val="auto"/>
                <w:sz w:val="24"/>
                <w:szCs w:val="24"/>
              </w:rPr>
              <w:t>60</w:t>
            </w:r>
            <w:r>
              <w:rPr>
                <w:color w:val="auto"/>
                <w:sz w:val="24"/>
                <w:szCs w:val="24"/>
              </w:rPr>
              <w:t>m</w:t>
            </w:r>
            <w:r>
              <w:rPr>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5</w:t>
            </w:r>
            <w:r>
              <w:rPr>
                <w:rFonts w:hint="eastAsia"/>
                <w:color w:val="auto"/>
                <w:sz w:val="24"/>
                <w:szCs w:val="24"/>
              </w:rPr>
              <w:t>0</w:t>
            </w:r>
            <w:r>
              <w:rPr>
                <w:color w:val="auto"/>
                <w:sz w:val="24"/>
                <w:szCs w:val="24"/>
              </w:rPr>
              <w:t>m</w:t>
            </w:r>
            <w:r>
              <w:rPr>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5</w:t>
            </w:r>
            <w:r>
              <w:rPr>
                <w:rFonts w:hint="eastAsia"/>
                <w:color w:val="auto"/>
                <w:sz w:val="24"/>
                <w:szCs w:val="24"/>
              </w:rPr>
              <w:t>0</w:t>
            </w:r>
            <w:r>
              <w:rPr>
                <w:color w:val="auto"/>
                <w:sz w:val="24"/>
                <w:szCs w:val="24"/>
              </w:rPr>
              <w:t>m</w:t>
            </w:r>
            <w:r>
              <w:rPr>
                <w:color w:val="auto"/>
                <w:sz w:val="24"/>
                <w:szCs w:val="24"/>
                <w:vertAlign w:val="superscript"/>
              </w:rPr>
              <w:t>3</w:t>
            </w:r>
            <w:r>
              <w:rPr>
                <w:color w:val="auto"/>
                <w:sz w:val="24"/>
                <w:szCs w:val="24"/>
              </w:rPr>
              <w:t>的</w:t>
            </w:r>
            <w:r>
              <w:rPr>
                <w:rFonts w:hint="eastAsia"/>
                <w:color w:val="auto"/>
                <w:sz w:val="24"/>
                <w:szCs w:val="24"/>
              </w:rPr>
              <w:t>初期雨水池</w:t>
            </w:r>
            <w:r>
              <w:rPr>
                <w:color w:val="auto"/>
                <w:sz w:val="24"/>
                <w:szCs w:val="24"/>
              </w:rPr>
              <w:t>内，沉淀后回用于施工场地洒水降尘、施工用水。</w:t>
            </w:r>
          </w:p>
          <w:p w14:paraId="0D789F9C">
            <w:pPr>
              <w:spacing w:line="360" w:lineRule="auto"/>
              <w:ind w:firstLine="482" w:firstLineChars="200"/>
              <w:rPr>
                <w:b/>
                <w:bCs/>
                <w:color w:val="auto"/>
                <w:sz w:val="24"/>
                <w:szCs w:val="24"/>
              </w:rPr>
            </w:pPr>
            <w:r>
              <w:rPr>
                <w:b/>
                <w:bCs/>
                <w:color w:val="auto"/>
                <w:sz w:val="24"/>
                <w:szCs w:val="24"/>
              </w:rPr>
              <w:t>3、施工期废水环境影响</w:t>
            </w:r>
          </w:p>
          <w:p w14:paraId="6CBF1337">
            <w:pPr>
              <w:spacing w:line="360" w:lineRule="auto"/>
              <w:ind w:firstLine="480" w:firstLineChars="200"/>
              <w:rPr>
                <w:color w:val="auto"/>
                <w:sz w:val="24"/>
                <w:szCs w:val="24"/>
              </w:rPr>
            </w:pPr>
            <w:r>
              <w:rPr>
                <w:color w:val="auto"/>
                <w:sz w:val="24"/>
                <w:szCs w:val="24"/>
              </w:rPr>
              <w:t>项目产生的废水经沉淀池处理可去除水中的大部分SS物质，可回用于项目施工区洒水降尘处理，经沉淀处理后的废水是可以满足洒水降尘用水要求的。前</w:t>
            </w:r>
            <w:r>
              <w:rPr>
                <w:rFonts w:hint="eastAsia"/>
                <w:color w:val="auto"/>
                <w:sz w:val="24"/>
                <w:szCs w:val="24"/>
                <w:lang w:val="en-US" w:eastAsia="zh-CN"/>
              </w:rPr>
              <w:t>10</w:t>
            </w:r>
            <w:r>
              <w:rPr>
                <w:color w:val="auto"/>
                <w:sz w:val="24"/>
                <w:szCs w:val="24"/>
              </w:rPr>
              <w:t>分钟初期雨水流入</w:t>
            </w:r>
            <w:r>
              <w:rPr>
                <w:rFonts w:hint="eastAsia"/>
                <w:color w:val="auto"/>
                <w:sz w:val="24"/>
                <w:szCs w:val="24"/>
              </w:rPr>
              <w:t>初期雨水池</w:t>
            </w:r>
            <w:r>
              <w:rPr>
                <w:color w:val="auto"/>
                <w:sz w:val="24"/>
                <w:szCs w:val="24"/>
              </w:rPr>
              <w:t>可去除其中的大部分SS，超过</w:t>
            </w:r>
            <w:r>
              <w:rPr>
                <w:rFonts w:hint="eastAsia"/>
                <w:color w:val="auto"/>
                <w:sz w:val="24"/>
                <w:szCs w:val="24"/>
                <w:lang w:val="en-US" w:eastAsia="zh-CN"/>
              </w:rPr>
              <w:t>10</w:t>
            </w:r>
            <w:r>
              <w:rPr>
                <w:color w:val="auto"/>
                <w:sz w:val="24"/>
                <w:szCs w:val="24"/>
              </w:rPr>
              <w:t>分钟后，初期雨水中SS含量大大减少，多余的随施工场地四周排放对周围环境影响不大。</w:t>
            </w:r>
          </w:p>
          <w:p w14:paraId="5ABC209B">
            <w:pPr>
              <w:spacing w:line="360" w:lineRule="auto"/>
              <w:ind w:firstLine="480" w:firstLineChars="200"/>
              <w:rPr>
                <w:color w:val="auto"/>
                <w:sz w:val="24"/>
                <w:szCs w:val="24"/>
              </w:rPr>
            </w:pPr>
            <w:r>
              <w:rPr>
                <w:color w:val="auto"/>
                <w:sz w:val="24"/>
                <w:szCs w:val="24"/>
              </w:rPr>
              <w:t>综上，项目施工期废水防治措施是可行的，在采取以上措施后，项目施工期废水对周围环境影响不大。</w:t>
            </w:r>
          </w:p>
          <w:p w14:paraId="19BEC41F">
            <w:pPr>
              <w:spacing w:line="360" w:lineRule="auto"/>
              <w:ind w:firstLine="482" w:firstLineChars="200"/>
              <w:rPr>
                <w:b/>
                <w:bCs/>
                <w:color w:val="auto"/>
                <w:sz w:val="24"/>
                <w:szCs w:val="24"/>
              </w:rPr>
            </w:pPr>
            <w:r>
              <w:rPr>
                <w:b/>
                <w:bCs/>
                <w:color w:val="auto"/>
                <w:sz w:val="24"/>
                <w:szCs w:val="24"/>
              </w:rPr>
              <w:t>三、施工期噪声影响及保护措施</w:t>
            </w:r>
          </w:p>
          <w:p w14:paraId="6CD8AFCD">
            <w:pPr>
              <w:spacing w:line="360" w:lineRule="auto"/>
              <w:ind w:firstLine="482" w:firstLineChars="200"/>
              <w:rPr>
                <w:b/>
                <w:bCs/>
                <w:color w:val="auto"/>
                <w:sz w:val="24"/>
              </w:rPr>
            </w:pPr>
            <w:r>
              <w:rPr>
                <w:rFonts w:hint="eastAsia"/>
                <w:b/>
                <w:bCs/>
                <w:color w:val="auto"/>
                <w:sz w:val="24"/>
              </w:rPr>
              <w:t>1、施工期噪声源强</w:t>
            </w:r>
          </w:p>
          <w:p w14:paraId="4018090B">
            <w:pPr>
              <w:spacing w:line="360" w:lineRule="auto"/>
              <w:ind w:firstLine="480" w:firstLineChars="200"/>
              <w:rPr>
                <w:color w:val="auto"/>
                <w:sz w:val="24"/>
              </w:rPr>
            </w:pPr>
            <w:r>
              <w:rPr>
                <w:rFonts w:hint="eastAsia"/>
                <w:color w:val="auto"/>
                <w:sz w:val="24"/>
              </w:rPr>
              <w:t>项目施工期间的主要噪声源见表</w:t>
            </w:r>
            <w:r>
              <w:rPr>
                <w:rFonts w:hint="eastAsia"/>
                <w:color w:val="auto"/>
                <w:sz w:val="24"/>
                <w:lang w:val="en-US" w:eastAsia="zh-CN"/>
              </w:rPr>
              <w:t>4</w:t>
            </w:r>
            <w:r>
              <w:rPr>
                <w:color w:val="auto"/>
                <w:sz w:val="24"/>
              </w:rPr>
              <w:t>-1</w:t>
            </w:r>
            <w:r>
              <w:rPr>
                <w:rFonts w:hint="eastAsia"/>
                <w:color w:val="auto"/>
                <w:sz w:val="24"/>
              </w:rPr>
              <w:t>。</w:t>
            </w:r>
          </w:p>
          <w:p w14:paraId="7F516F3A">
            <w:pPr>
              <w:spacing w:line="240" w:lineRule="auto"/>
              <w:jc w:val="center"/>
              <w:rPr>
                <w:b/>
                <w:color w:val="auto"/>
                <w:sz w:val="21"/>
                <w:szCs w:val="21"/>
              </w:rPr>
            </w:pPr>
            <w:r>
              <w:rPr>
                <w:b/>
                <w:color w:val="auto"/>
                <w:sz w:val="21"/>
                <w:szCs w:val="21"/>
              </w:rPr>
              <w:t>表</w:t>
            </w:r>
            <w:r>
              <w:rPr>
                <w:rFonts w:hint="eastAsia"/>
                <w:b/>
                <w:color w:val="auto"/>
                <w:sz w:val="21"/>
                <w:szCs w:val="21"/>
                <w:lang w:val="en-US" w:eastAsia="zh-CN"/>
              </w:rPr>
              <w:t>4</w:t>
            </w:r>
            <w:r>
              <w:rPr>
                <w:b/>
                <w:color w:val="auto"/>
                <w:sz w:val="21"/>
                <w:szCs w:val="21"/>
              </w:rPr>
              <w:t xml:space="preserve">-1  </w:t>
            </w:r>
            <w:r>
              <w:rPr>
                <w:b/>
                <w:bCs/>
                <w:color w:val="auto"/>
                <w:sz w:val="21"/>
                <w:szCs w:val="21"/>
              </w:rPr>
              <w:t>工程施工机械噪声源强</w:t>
            </w:r>
            <w:r>
              <w:rPr>
                <w:b/>
                <w:color w:val="auto"/>
                <w:sz w:val="21"/>
                <w:szCs w:val="21"/>
              </w:rPr>
              <w:t>单位：Leq[dB （A）]</w:t>
            </w:r>
          </w:p>
          <w:tbl>
            <w:tblPr>
              <w:tblStyle w:val="23"/>
              <w:tblW w:w="8127" w:type="dxa"/>
              <w:tblInd w:w="11" w:type="dxa"/>
              <w:tblLayout w:type="autofit"/>
              <w:tblCellMar>
                <w:top w:w="91" w:type="dxa"/>
                <w:left w:w="115" w:type="dxa"/>
                <w:bottom w:w="0" w:type="dxa"/>
                <w:right w:w="115" w:type="dxa"/>
              </w:tblCellMar>
            </w:tblPr>
            <w:tblGrid>
              <w:gridCol w:w="1875"/>
              <w:gridCol w:w="3152"/>
              <w:gridCol w:w="3100"/>
            </w:tblGrid>
            <w:tr w14:paraId="514E3491">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2402B06F">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
                      <w:bCs w:val="0"/>
                      <w:color w:val="auto"/>
                      <w:sz w:val="21"/>
                      <w:szCs w:val="21"/>
                      <w:lang w:val="zh-CN"/>
                    </w:rPr>
                  </w:pPr>
                  <w:r>
                    <w:rPr>
                      <w:rFonts w:hint="eastAsia"/>
                      <w:b/>
                      <w:bCs w:val="0"/>
                      <w:color w:val="auto"/>
                      <w:sz w:val="21"/>
                      <w:szCs w:val="21"/>
                      <w:lang w:val="zh-CN"/>
                    </w:rPr>
                    <w:t>序号</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38B7BDF2">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
                      <w:bCs w:val="0"/>
                      <w:color w:val="auto"/>
                      <w:sz w:val="21"/>
                      <w:szCs w:val="21"/>
                      <w:lang w:val="zh-CN"/>
                    </w:rPr>
                  </w:pPr>
                  <w:r>
                    <w:rPr>
                      <w:rFonts w:hint="eastAsia"/>
                      <w:b/>
                      <w:bCs w:val="0"/>
                      <w:color w:val="auto"/>
                      <w:sz w:val="21"/>
                      <w:szCs w:val="21"/>
                      <w:lang w:val="zh-CN"/>
                    </w:rPr>
                    <w:t>噪声源</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3032A933">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
                      <w:bCs w:val="0"/>
                      <w:color w:val="auto"/>
                      <w:sz w:val="21"/>
                      <w:szCs w:val="21"/>
                      <w:lang w:val="zh-CN"/>
                    </w:rPr>
                  </w:pPr>
                  <w:r>
                    <w:rPr>
                      <w:rFonts w:hint="eastAsia"/>
                      <w:b/>
                      <w:bCs w:val="0"/>
                      <w:color w:val="auto"/>
                      <w:sz w:val="21"/>
                      <w:szCs w:val="21"/>
                      <w:lang w:val="zh-CN"/>
                    </w:rPr>
                    <w:t>声级</w:t>
                  </w:r>
                  <w:r>
                    <w:rPr>
                      <w:rFonts w:hint="default"/>
                      <w:b/>
                      <w:bCs w:val="0"/>
                      <w:color w:val="auto"/>
                      <w:sz w:val="21"/>
                      <w:szCs w:val="21"/>
                      <w:lang w:val="zh-CN"/>
                    </w:rPr>
                    <w:t xml:space="preserve"> dB</w:t>
                  </w:r>
                  <w:r>
                    <w:rPr>
                      <w:rFonts w:hint="eastAsia"/>
                      <w:b/>
                      <w:bCs w:val="0"/>
                      <w:color w:val="auto"/>
                      <w:sz w:val="21"/>
                      <w:szCs w:val="21"/>
                      <w:lang w:val="zh-CN"/>
                    </w:rPr>
                    <w:t>（</w:t>
                  </w:r>
                  <w:r>
                    <w:rPr>
                      <w:rFonts w:hint="default"/>
                      <w:b/>
                      <w:bCs w:val="0"/>
                      <w:color w:val="auto"/>
                      <w:sz w:val="21"/>
                      <w:szCs w:val="21"/>
                      <w:lang w:val="zh-CN"/>
                    </w:rPr>
                    <w:t>A</w:t>
                  </w:r>
                  <w:r>
                    <w:rPr>
                      <w:rFonts w:hint="eastAsia"/>
                      <w:b/>
                      <w:bCs w:val="0"/>
                      <w:color w:val="auto"/>
                      <w:sz w:val="21"/>
                      <w:szCs w:val="21"/>
                      <w:lang w:val="zh-CN"/>
                    </w:rPr>
                    <w:t>）</w:t>
                  </w:r>
                </w:p>
              </w:tc>
            </w:tr>
            <w:tr w14:paraId="2ADC78B0">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04B2C8E2">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1</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3D2E3FAF">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挖掘机</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7A5EFA51">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84</w:t>
                  </w:r>
                </w:p>
              </w:tc>
            </w:tr>
            <w:tr w14:paraId="4100E5AD">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7E26DD9E">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2</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11962727">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推土机</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60BE7F01">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86</w:t>
                  </w:r>
                </w:p>
              </w:tc>
            </w:tr>
            <w:tr w14:paraId="632ACD97">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3F444EB1">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3</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15629F56">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振捣机</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463106A2">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90</w:t>
                  </w:r>
                </w:p>
              </w:tc>
            </w:tr>
            <w:tr w14:paraId="0F0CFC9F">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3064E0BC">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4</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14E2F67D">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切割机</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697BC335">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90</w:t>
                  </w:r>
                </w:p>
              </w:tc>
            </w:tr>
            <w:tr w14:paraId="72EF165A">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22704E98">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5</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1A637A51">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电锯</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0915A23C">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84</w:t>
                  </w:r>
                </w:p>
              </w:tc>
            </w:tr>
            <w:tr w14:paraId="4D12CFD2">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566465ED">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6</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2F7C2A4A">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电焊机</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45308CAE">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85</w:t>
                  </w:r>
                </w:p>
              </w:tc>
            </w:tr>
            <w:tr w14:paraId="75B0D5B4">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2FDE7D9A">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7</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255342E1">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lang w:val="zh-CN"/>
                    </w:rPr>
                    <w:t>电钻</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34FA4B33">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default"/>
                      <w:bCs/>
                      <w:color w:val="auto"/>
                      <w:sz w:val="21"/>
                      <w:szCs w:val="21"/>
                      <w:lang w:val="zh-CN"/>
                    </w:rPr>
                    <w:t>95</w:t>
                  </w:r>
                </w:p>
              </w:tc>
            </w:tr>
            <w:tr w14:paraId="3F1D6BA5">
              <w:tblPrEx>
                <w:tblCellMar>
                  <w:top w:w="91" w:type="dxa"/>
                  <w:left w:w="115" w:type="dxa"/>
                  <w:bottom w:w="0" w:type="dxa"/>
                  <w:right w:w="115" w:type="dxa"/>
                </w:tblCellMar>
              </w:tblPrEx>
              <w:tc>
                <w:tcPr>
                  <w:tcW w:w="1875" w:type="dxa"/>
                  <w:tcBorders>
                    <w:top w:val="single" w:color="000000" w:sz="4" w:space="0"/>
                    <w:left w:val="single" w:color="000000" w:sz="4" w:space="0"/>
                    <w:bottom w:val="single" w:color="000000" w:sz="4" w:space="0"/>
                    <w:right w:val="single" w:color="000000" w:sz="4" w:space="0"/>
                  </w:tcBorders>
                  <w:noWrap w:val="0"/>
                  <w:vAlign w:val="top"/>
                </w:tcPr>
                <w:p w14:paraId="69DECCC6">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rPr>
                    <w:t>8</w:t>
                  </w:r>
                </w:p>
              </w:tc>
              <w:tc>
                <w:tcPr>
                  <w:tcW w:w="3152" w:type="dxa"/>
                  <w:tcBorders>
                    <w:top w:val="single" w:color="000000" w:sz="4" w:space="0"/>
                    <w:left w:val="single" w:color="000000" w:sz="4" w:space="0"/>
                    <w:bottom w:val="single" w:color="000000" w:sz="4" w:space="0"/>
                    <w:right w:val="single" w:color="000000" w:sz="4" w:space="0"/>
                  </w:tcBorders>
                  <w:noWrap w:val="0"/>
                  <w:vAlign w:val="top"/>
                </w:tcPr>
                <w:p w14:paraId="7CDDF044">
                  <w:pPr>
                    <w:keepNext w:val="0"/>
                    <w:keepLines w:val="0"/>
                    <w:suppressLineNumbers w:val="0"/>
                    <w:autoSpaceDE w:val="0"/>
                    <w:autoSpaceDN w:val="0"/>
                    <w:spacing w:before="0" w:beforeAutospacing="0" w:after="0" w:afterAutospacing="0" w:line="240" w:lineRule="auto"/>
                    <w:ind w:left="0" w:right="0" w:firstLine="0" w:firstLineChars="0"/>
                    <w:jc w:val="center"/>
                    <w:rPr>
                      <w:rFonts w:hint="eastAsia"/>
                      <w:bCs/>
                      <w:color w:val="auto"/>
                      <w:sz w:val="21"/>
                      <w:szCs w:val="21"/>
                      <w:lang w:val="zh-CN"/>
                    </w:rPr>
                  </w:pPr>
                  <w:r>
                    <w:rPr>
                      <w:rFonts w:hint="eastAsia"/>
                      <w:bCs/>
                      <w:color w:val="auto"/>
                      <w:sz w:val="21"/>
                      <w:szCs w:val="21"/>
                    </w:rPr>
                    <w:t>运输车辆</w:t>
                  </w:r>
                </w:p>
              </w:tc>
              <w:tc>
                <w:tcPr>
                  <w:tcW w:w="3100" w:type="dxa"/>
                  <w:tcBorders>
                    <w:top w:val="single" w:color="000000" w:sz="4" w:space="0"/>
                    <w:left w:val="single" w:color="000000" w:sz="4" w:space="0"/>
                    <w:bottom w:val="single" w:color="000000" w:sz="4" w:space="0"/>
                    <w:right w:val="single" w:color="auto" w:sz="4" w:space="0"/>
                  </w:tcBorders>
                  <w:noWrap w:val="0"/>
                  <w:vAlign w:val="top"/>
                </w:tcPr>
                <w:p w14:paraId="5A9B1829">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bCs/>
                      <w:color w:val="auto"/>
                      <w:sz w:val="21"/>
                      <w:szCs w:val="21"/>
                      <w:lang w:val="zh-CN"/>
                    </w:rPr>
                  </w:pPr>
                  <w:r>
                    <w:rPr>
                      <w:rFonts w:hint="eastAsia"/>
                      <w:bCs/>
                      <w:color w:val="auto"/>
                      <w:sz w:val="21"/>
                      <w:szCs w:val="21"/>
                    </w:rPr>
                    <w:t>85</w:t>
                  </w:r>
                </w:p>
              </w:tc>
            </w:tr>
          </w:tbl>
          <w:p w14:paraId="207F48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auto"/>
                <w:sz w:val="24"/>
                <w:szCs w:val="24"/>
              </w:rPr>
            </w:pPr>
            <w:r>
              <w:rPr>
                <w:rFonts w:hint="eastAsia"/>
                <w:b/>
                <w:color w:val="auto"/>
                <w:sz w:val="24"/>
                <w:szCs w:val="24"/>
              </w:rPr>
              <w:t>2、</w:t>
            </w:r>
            <w:r>
              <w:rPr>
                <w:b/>
                <w:color w:val="auto"/>
                <w:sz w:val="24"/>
                <w:szCs w:val="24"/>
              </w:rPr>
              <w:t>施工机械噪声衰减预测</w:t>
            </w:r>
          </w:p>
          <w:p w14:paraId="5998D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噪声从声源传播到受声点，传播距离，空气吸收，阻挡物的反射与屏障等因素的影响而产生衰减。用A声级进行预测时，其预测模式如下：</w:t>
            </w:r>
          </w:p>
          <w:p w14:paraId="4D0657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color w:val="auto"/>
                <w:sz w:val="24"/>
                <w:szCs w:val="24"/>
                <w:lang w:val="pt-BR"/>
              </w:rPr>
            </w:pPr>
            <w:r>
              <w:rPr>
                <w:color w:val="auto"/>
                <w:sz w:val="24"/>
                <w:szCs w:val="24"/>
                <w:lang w:val="pt-BR"/>
              </w:rPr>
              <w:t>L</w:t>
            </w:r>
            <w:r>
              <w:rPr>
                <w:color w:val="auto"/>
                <w:sz w:val="24"/>
                <w:szCs w:val="24"/>
                <w:vertAlign w:val="subscript"/>
                <w:lang w:val="pt-BR"/>
              </w:rPr>
              <w:t>A</w:t>
            </w:r>
            <w:r>
              <w:rPr>
                <w:color w:val="auto"/>
                <w:sz w:val="24"/>
                <w:szCs w:val="24"/>
                <w:lang w:val="pt-BR"/>
              </w:rPr>
              <w:t>（r）=L</w:t>
            </w:r>
            <w:r>
              <w:rPr>
                <w:color w:val="auto"/>
                <w:sz w:val="24"/>
                <w:szCs w:val="24"/>
                <w:vertAlign w:val="subscript"/>
                <w:lang w:val="pt-BR"/>
              </w:rPr>
              <w:t>Aref</w:t>
            </w:r>
            <w:r>
              <w:rPr>
                <w:color w:val="auto"/>
                <w:sz w:val="24"/>
                <w:szCs w:val="24"/>
                <w:lang w:val="pt-BR"/>
              </w:rPr>
              <w:t>（r</w:t>
            </w:r>
            <w:r>
              <w:rPr>
                <w:color w:val="auto"/>
                <w:sz w:val="24"/>
                <w:szCs w:val="24"/>
                <w:vertAlign w:val="subscript"/>
                <w:lang w:val="pt-BR"/>
              </w:rPr>
              <w:t>o</w:t>
            </w:r>
            <w:r>
              <w:rPr>
                <w:color w:val="auto"/>
                <w:sz w:val="24"/>
                <w:szCs w:val="24"/>
                <w:lang w:val="pt-BR"/>
              </w:rPr>
              <w:t>）-(A</w:t>
            </w:r>
            <w:r>
              <w:rPr>
                <w:color w:val="auto"/>
                <w:sz w:val="24"/>
                <w:szCs w:val="24"/>
                <w:vertAlign w:val="subscript"/>
                <w:lang w:val="pt-BR"/>
              </w:rPr>
              <w:t>div</w:t>
            </w:r>
            <w:r>
              <w:rPr>
                <w:color w:val="auto"/>
                <w:sz w:val="24"/>
                <w:szCs w:val="24"/>
                <w:lang w:val="pt-BR"/>
              </w:rPr>
              <w:t>+A</w:t>
            </w:r>
            <w:r>
              <w:rPr>
                <w:color w:val="auto"/>
                <w:sz w:val="24"/>
                <w:szCs w:val="24"/>
                <w:vertAlign w:val="subscript"/>
                <w:lang w:val="pt-BR"/>
              </w:rPr>
              <w:t>bar</w:t>
            </w:r>
            <w:r>
              <w:rPr>
                <w:color w:val="auto"/>
                <w:sz w:val="24"/>
                <w:szCs w:val="24"/>
                <w:lang w:val="pt-BR"/>
              </w:rPr>
              <w:t>+A</w:t>
            </w:r>
            <w:r>
              <w:rPr>
                <w:color w:val="auto"/>
                <w:sz w:val="24"/>
                <w:szCs w:val="24"/>
                <w:vertAlign w:val="subscript"/>
                <w:lang w:val="pt-BR"/>
              </w:rPr>
              <w:t>atm</w:t>
            </w:r>
            <w:r>
              <w:rPr>
                <w:color w:val="auto"/>
                <w:sz w:val="24"/>
                <w:szCs w:val="24"/>
                <w:lang w:val="pt-BR"/>
              </w:rPr>
              <w:t>+A</w:t>
            </w:r>
            <w:r>
              <w:rPr>
                <w:color w:val="auto"/>
                <w:sz w:val="24"/>
                <w:szCs w:val="24"/>
                <w:vertAlign w:val="subscript"/>
                <w:lang w:val="pt-BR"/>
              </w:rPr>
              <w:t>exc</w:t>
            </w:r>
            <w:r>
              <w:rPr>
                <w:color w:val="auto"/>
                <w:sz w:val="24"/>
                <w:szCs w:val="24"/>
                <w:lang w:val="pt-BR"/>
              </w:rPr>
              <w:t>)</w:t>
            </w:r>
          </w:p>
          <w:p w14:paraId="22042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式中：L</w:t>
            </w:r>
            <w:r>
              <w:rPr>
                <w:color w:val="auto"/>
                <w:sz w:val="24"/>
                <w:szCs w:val="24"/>
                <w:vertAlign w:val="subscript"/>
              </w:rPr>
              <w:t>A</w:t>
            </w:r>
            <w:r>
              <w:rPr>
                <w:color w:val="auto"/>
                <w:sz w:val="24"/>
                <w:szCs w:val="24"/>
              </w:rPr>
              <w:t>（r）——距声源r处的A声级，dB；</w:t>
            </w:r>
          </w:p>
          <w:p w14:paraId="51D664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L</w:t>
            </w:r>
            <w:r>
              <w:rPr>
                <w:color w:val="auto"/>
                <w:sz w:val="24"/>
                <w:szCs w:val="24"/>
                <w:vertAlign w:val="subscript"/>
              </w:rPr>
              <w:t>Aref</w:t>
            </w:r>
            <w:r>
              <w:rPr>
                <w:color w:val="auto"/>
                <w:sz w:val="24"/>
                <w:szCs w:val="24"/>
              </w:rPr>
              <w:t>（r</w:t>
            </w:r>
            <w:r>
              <w:rPr>
                <w:color w:val="auto"/>
                <w:sz w:val="24"/>
                <w:szCs w:val="24"/>
                <w:vertAlign w:val="subscript"/>
              </w:rPr>
              <w:t>o</w:t>
            </w:r>
            <w:r>
              <w:rPr>
                <w:color w:val="auto"/>
                <w:sz w:val="24"/>
                <w:szCs w:val="24"/>
              </w:rPr>
              <w:t>）——参考位置r</w:t>
            </w:r>
            <w:r>
              <w:rPr>
                <w:color w:val="auto"/>
                <w:sz w:val="24"/>
                <w:szCs w:val="24"/>
                <w:vertAlign w:val="subscript"/>
              </w:rPr>
              <w:t>o</w:t>
            </w:r>
            <w:r>
              <w:rPr>
                <w:color w:val="auto"/>
                <w:sz w:val="24"/>
                <w:szCs w:val="24"/>
              </w:rPr>
              <w:t>处的A声级，dB；</w:t>
            </w:r>
          </w:p>
          <w:p w14:paraId="4E037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A</w:t>
            </w:r>
            <w:r>
              <w:rPr>
                <w:color w:val="auto"/>
                <w:sz w:val="24"/>
                <w:szCs w:val="24"/>
                <w:vertAlign w:val="subscript"/>
              </w:rPr>
              <w:t>div</w:t>
            </w:r>
            <w:r>
              <w:rPr>
                <w:color w:val="auto"/>
                <w:sz w:val="24"/>
                <w:szCs w:val="24"/>
              </w:rPr>
              <w:t>——声波几何发散引起的A声级衰减量dB ，</w:t>
            </w:r>
          </w:p>
          <w:p w14:paraId="4A48F8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lang w:val="pt-BR"/>
              </w:rPr>
            </w:pPr>
            <w:r>
              <w:rPr>
                <w:color w:val="auto"/>
                <w:sz w:val="24"/>
                <w:szCs w:val="24"/>
                <w:lang w:val="pt-BR"/>
              </w:rPr>
              <w:t>A</w:t>
            </w:r>
            <w:r>
              <w:rPr>
                <w:color w:val="auto"/>
                <w:sz w:val="24"/>
                <w:szCs w:val="24"/>
                <w:vertAlign w:val="subscript"/>
                <w:lang w:val="pt-BR"/>
              </w:rPr>
              <w:t>div</w:t>
            </w:r>
            <w:r>
              <w:rPr>
                <w:color w:val="auto"/>
                <w:sz w:val="24"/>
                <w:szCs w:val="24"/>
                <w:lang w:val="pt-BR"/>
              </w:rPr>
              <w:t>=20lg（r/ r</w:t>
            </w:r>
            <w:r>
              <w:rPr>
                <w:color w:val="auto"/>
                <w:sz w:val="24"/>
                <w:szCs w:val="24"/>
                <w:vertAlign w:val="subscript"/>
                <w:lang w:val="pt-BR"/>
              </w:rPr>
              <w:t>o</w:t>
            </w:r>
            <w:r>
              <w:rPr>
                <w:color w:val="auto"/>
                <w:sz w:val="24"/>
                <w:szCs w:val="24"/>
                <w:lang w:val="pt-BR"/>
              </w:rPr>
              <w:t>）</w:t>
            </w:r>
          </w:p>
          <w:p w14:paraId="5E53AF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A</w:t>
            </w:r>
            <w:r>
              <w:rPr>
                <w:color w:val="auto"/>
                <w:sz w:val="24"/>
                <w:szCs w:val="24"/>
                <w:vertAlign w:val="subscript"/>
              </w:rPr>
              <w:t>bar</w:t>
            </w:r>
            <w:r>
              <w:rPr>
                <w:color w:val="auto"/>
                <w:sz w:val="24"/>
                <w:szCs w:val="24"/>
              </w:rPr>
              <w:t>——遮挡物引起的A声级衰减量dB，在此取值为0；</w:t>
            </w:r>
          </w:p>
          <w:p w14:paraId="4052ED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A</w:t>
            </w:r>
            <w:r>
              <w:rPr>
                <w:color w:val="auto"/>
                <w:sz w:val="24"/>
                <w:szCs w:val="24"/>
                <w:vertAlign w:val="subscript"/>
              </w:rPr>
              <w:t>atm</w:t>
            </w:r>
            <w:r>
              <w:rPr>
                <w:color w:val="auto"/>
                <w:sz w:val="24"/>
                <w:szCs w:val="24"/>
              </w:rPr>
              <w:t>——空气吸收引起的A声级衰减量dB，</w:t>
            </w:r>
          </w:p>
          <w:p w14:paraId="120EF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 xml:space="preserve">      A</w:t>
            </w:r>
            <w:r>
              <w:rPr>
                <w:color w:val="auto"/>
                <w:sz w:val="24"/>
                <w:szCs w:val="24"/>
                <w:vertAlign w:val="subscript"/>
              </w:rPr>
              <w:t>atm</w:t>
            </w:r>
            <w:r>
              <w:rPr>
                <w:color w:val="auto"/>
                <w:sz w:val="24"/>
                <w:szCs w:val="24"/>
              </w:rPr>
              <w:t>=α(r/r</w:t>
            </w:r>
            <w:r>
              <w:rPr>
                <w:color w:val="auto"/>
                <w:sz w:val="24"/>
                <w:szCs w:val="24"/>
                <w:vertAlign w:val="subscript"/>
              </w:rPr>
              <w:t>o</w:t>
            </w:r>
            <w:r>
              <w:rPr>
                <w:color w:val="auto"/>
                <w:sz w:val="24"/>
                <w:szCs w:val="24"/>
              </w:rPr>
              <w:t>)/100，查表取α为1.142；</w:t>
            </w:r>
          </w:p>
          <w:p w14:paraId="224D1B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 xml:space="preserve">          A</w:t>
            </w:r>
            <w:r>
              <w:rPr>
                <w:color w:val="auto"/>
                <w:sz w:val="24"/>
                <w:szCs w:val="24"/>
                <w:vertAlign w:val="subscript"/>
              </w:rPr>
              <w:t>exc</w:t>
            </w:r>
            <w:r>
              <w:rPr>
                <w:color w:val="auto"/>
                <w:sz w:val="24"/>
                <w:szCs w:val="24"/>
              </w:rPr>
              <w:t>——附加A声级衰减量dB，A</w:t>
            </w:r>
            <w:r>
              <w:rPr>
                <w:color w:val="auto"/>
                <w:sz w:val="24"/>
                <w:szCs w:val="24"/>
                <w:vertAlign w:val="subscript"/>
              </w:rPr>
              <w:t>exc</w:t>
            </w:r>
            <w:r>
              <w:rPr>
                <w:color w:val="auto"/>
                <w:sz w:val="24"/>
                <w:szCs w:val="24"/>
              </w:rPr>
              <w:t>=5lg(r/r</w:t>
            </w:r>
            <w:r>
              <w:rPr>
                <w:color w:val="auto"/>
                <w:sz w:val="24"/>
                <w:szCs w:val="24"/>
                <w:vertAlign w:val="subscript"/>
              </w:rPr>
              <w:t>o</w:t>
            </w:r>
            <w:r>
              <w:rPr>
                <w:color w:val="auto"/>
                <w:sz w:val="24"/>
                <w:szCs w:val="24"/>
              </w:rPr>
              <w:t>)。</w:t>
            </w:r>
          </w:p>
          <w:p w14:paraId="7094AE8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auto"/>
                <w:sz w:val="24"/>
                <w:szCs w:val="24"/>
              </w:rPr>
            </w:pPr>
            <w:r>
              <w:rPr>
                <w:rFonts w:hint="eastAsia"/>
                <w:b/>
                <w:color w:val="auto"/>
                <w:sz w:val="24"/>
                <w:szCs w:val="24"/>
              </w:rPr>
              <w:t>3、</w:t>
            </w:r>
            <w:r>
              <w:rPr>
                <w:b/>
                <w:color w:val="auto"/>
                <w:sz w:val="24"/>
                <w:szCs w:val="24"/>
              </w:rPr>
              <w:t>施工期噪声影响预测</w:t>
            </w:r>
          </w:p>
          <w:p w14:paraId="206624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限于施工计划和施工设备等资料不够详尽，现将施工中使用较频繁的几种主要机械设备的噪声值分别代入前述预测模式进行计算，预测单台机械设备的噪声值。现场施工时具体投入多少台机械设备很难预测，本次评价假设有多台设备同时使用，将所产生的噪声叠加后预测对某个距离的总声压级。</w:t>
            </w:r>
          </w:p>
          <w:p w14:paraId="01A6A1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Cs/>
                <w:color w:val="auto"/>
                <w:sz w:val="24"/>
                <w:szCs w:val="24"/>
              </w:rPr>
            </w:pPr>
            <w:r>
              <w:rPr>
                <w:rFonts w:hint="eastAsia"/>
                <w:bCs/>
                <w:color w:val="auto"/>
                <w:sz w:val="24"/>
                <w:szCs w:val="24"/>
                <w:lang w:eastAsia="zh-CN"/>
              </w:rPr>
              <w:t>（</w:t>
            </w:r>
            <w:r>
              <w:rPr>
                <w:rFonts w:hint="eastAsia"/>
                <w:bCs/>
                <w:color w:val="auto"/>
                <w:sz w:val="24"/>
                <w:szCs w:val="24"/>
                <w:lang w:val="en-US" w:eastAsia="zh-CN"/>
              </w:rPr>
              <w:t>1</w:t>
            </w:r>
            <w:r>
              <w:rPr>
                <w:rFonts w:hint="eastAsia"/>
                <w:bCs/>
                <w:color w:val="auto"/>
                <w:sz w:val="24"/>
                <w:szCs w:val="24"/>
                <w:lang w:eastAsia="zh-CN"/>
              </w:rPr>
              <w:t>）</w:t>
            </w:r>
            <w:r>
              <w:rPr>
                <w:bCs/>
                <w:color w:val="auto"/>
                <w:sz w:val="24"/>
                <w:szCs w:val="24"/>
              </w:rPr>
              <w:t>施工期单台机械设备噪声贡献值</w:t>
            </w:r>
          </w:p>
          <w:p w14:paraId="1A822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采用点源衰减模式，预测只计算声源至受声点的几何发散衰减，不考虑声屏障、空气吸收等衰减。预测公式如下：</w:t>
            </w:r>
          </w:p>
          <w:p w14:paraId="711C3B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color w:val="auto"/>
                <w:sz w:val="24"/>
                <w:szCs w:val="24"/>
              </w:rPr>
            </w:pPr>
            <w:r>
              <w:rPr>
                <w:color w:val="auto"/>
                <w:sz w:val="24"/>
                <w:szCs w:val="24"/>
              </w:rPr>
              <w:t>L</w:t>
            </w:r>
            <w:r>
              <w:rPr>
                <w:color w:val="auto"/>
                <w:sz w:val="24"/>
                <w:szCs w:val="24"/>
                <w:vertAlign w:val="subscript"/>
              </w:rPr>
              <w:t>r</w:t>
            </w:r>
            <w:r>
              <w:rPr>
                <w:color w:val="auto"/>
                <w:sz w:val="24"/>
                <w:szCs w:val="24"/>
              </w:rPr>
              <w:t>=L</w:t>
            </w:r>
            <w:r>
              <w:rPr>
                <w:color w:val="auto"/>
                <w:sz w:val="24"/>
                <w:szCs w:val="24"/>
                <w:vertAlign w:val="subscript"/>
              </w:rPr>
              <w:t>r0</w:t>
            </w:r>
            <w:r>
              <w:rPr>
                <w:color w:val="auto"/>
                <w:sz w:val="24"/>
                <w:szCs w:val="24"/>
              </w:rPr>
              <w:t>-△L</w:t>
            </w:r>
          </w:p>
          <w:p w14:paraId="48B63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color w:val="auto"/>
                <w:sz w:val="24"/>
                <w:szCs w:val="24"/>
              </w:rPr>
            </w:pPr>
            <w:r>
              <w:rPr>
                <w:color w:val="auto"/>
                <w:sz w:val="24"/>
                <w:szCs w:val="24"/>
              </w:rPr>
              <w:t>△L=20lg(r/r</w:t>
            </w:r>
            <w:r>
              <w:rPr>
                <w:color w:val="auto"/>
                <w:sz w:val="24"/>
                <w:szCs w:val="24"/>
                <w:vertAlign w:val="subscript"/>
              </w:rPr>
              <w:t>0</w:t>
            </w:r>
            <w:r>
              <w:rPr>
                <w:color w:val="auto"/>
                <w:sz w:val="24"/>
                <w:szCs w:val="24"/>
              </w:rPr>
              <w:t>)</w:t>
            </w:r>
          </w:p>
          <w:p w14:paraId="4DA77F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式中：ΔL—距离增加产生的衰减值，dB（A）；</w:t>
            </w:r>
          </w:p>
          <w:p w14:paraId="15234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L</w:t>
            </w:r>
            <w:r>
              <w:rPr>
                <w:color w:val="auto"/>
                <w:sz w:val="24"/>
                <w:szCs w:val="24"/>
                <w:vertAlign w:val="subscript"/>
              </w:rPr>
              <w:t>r</w:t>
            </w:r>
            <w:r>
              <w:rPr>
                <w:color w:val="auto"/>
                <w:sz w:val="24"/>
                <w:szCs w:val="24"/>
              </w:rPr>
              <w:t>—距声源r处的A声压级，dB(A)；</w:t>
            </w:r>
          </w:p>
          <w:p w14:paraId="4BF740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L</w:t>
            </w:r>
            <w:r>
              <w:rPr>
                <w:color w:val="auto"/>
                <w:sz w:val="24"/>
                <w:szCs w:val="24"/>
                <w:vertAlign w:val="subscript"/>
              </w:rPr>
              <w:t>rO</w:t>
            </w:r>
            <w:r>
              <w:rPr>
                <w:color w:val="auto"/>
                <w:sz w:val="24"/>
                <w:szCs w:val="24"/>
              </w:rPr>
              <w:t>—距声源r</w:t>
            </w:r>
            <w:r>
              <w:rPr>
                <w:color w:val="auto"/>
                <w:sz w:val="24"/>
                <w:szCs w:val="24"/>
                <w:vertAlign w:val="subscript"/>
              </w:rPr>
              <w:t>0</w:t>
            </w:r>
            <w:r>
              <w:rPr>
                <w:color w:val="auto"/>
                <w:sz w:val="24"/>
                <w:szCs w:val="24"/>
              </w:rPr>
              <w:t>处的A声压级，dB(A)；</w:t>
            </w:r>
          </w:p>
          <w:p w14:paraId="489C00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r一预测点与声源的距离，m；</w:t>
            </w:r>
          </w:p>
          <w:p w14:paraId="507996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r</w:t>
            </w:r>
            <w:r>
              <w:rPr>
                <w:color w:val="auto"/>
                <w:sz w:val="24"/>
                <w:szCs w:val="24"/>
                <w:vertAlign w:val="subscript"/>
              </w:rPr>
              <w:t>o</w:t>
            </w:r>
            <w:r>
              <w:rPr>
                <w:color w:val="auto"/>
                <w:sz w:val="24"/>
                <w:szCs w:val="24"/>
              </w:rPr>
              <w:t>—监测设备噪声时的距离，m。</w:t>
            </w:r>
          </w:p>
          <w:p w14:paraId="0DEAA4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rPr>
              <w:t>本项目各施工设备声源在不同距离的衰减计算结果见下表。</w:t>
            </w:r>
          </w:p>
          <w:p w14:paraId="26448FEA">
            <w:pPr>
              <w:pStyle w:val="3"/>
              <w:keepNext w:val="0"/>
              <w:keepLines w:val="0"/>
              <w:pageBreakBefore w:val="0"/>
              <w:widowControl/>
              <w:kinsoku/>
              <w:wordWrap/>
              <w:overflowPunct/>
              <w:topLinePunct w:val="0"/>
              <w:autoSpaceDE/>
              <w:autoSpaceDN/>
              <w:bidi w:val="0"/>
              <w:adjustRightInd/>
              <w:snapToGrid w:val="0"/>
              <w:spacing w:before="0" w:after="0" w:line="260" w:lineRule="auto"/>
              <w:ind w:right="0"/>
              <w:jc w:val="center"/>
              <w:textAlignment w:val="auto"/>
              <w:rPr>
                <w:rFonts w:hint="eastAsia"/>
                <w:b/>
                <w:bCs/>
                <w:color w:val="auto"/>
                <w:sz w:val="21"/>
                <w:szCs w:val="21"/>
              </w:rPr>
            </w:pPr>
            <w:r>
              <w:rPr>
                <w:rFonts w:hint="eastAsia"/>
                <w:b/>
                <w:bCs/>
                <w:color w:val="auto"/>
                <w:sz w:val="21"/>
                <w:szCs w:val="21"/>
              </w:rPr>
              <w:t>表</w:t>
            </w:r>
            <w:r>
              <w:rPr>
                <w:rFonts w:hint="eastAsia"/>
                <w:b/>
                <w:bCs/>
                <w:color w:val="auto"/>
                <w:sz w:val="21"/>
                <w:szCs w:val="21"/>
                <w:lang w:val="en-US" w:eastAsia="zh-CN"/>
              </w:rPr>
              <w:t>4</w:t>
            </w:r>
            <w:r>
              <w:rPr>
                <w:rFonts w:hint="eastAsia"/>
                <w:b/>
                <w:bCs/>
                <w:color w:val="auto"/>
                <w:sz w:val="21"/>
                <w:szCs w:val="21"/>
              </w:rPr>
              <w:t>-</w:t>
            </w:r>
            <w:r>
              <w:rPr>
                <w:rFonts w:hint="eastAsia"/>
                <w:b/>
                <w:bCs/>
                <w:color w:val="auto"/>
                <w:sz w:val="21"/>
                <w:szCs w:val="21"/>
                <w:lang w:val="en-US" w:eastAsia="zh-CN"/>
              </w:rPr>
              <w:t>2</w:t>
            </w:r>
            <w:r>
              <w:rPr>
                <w:rFonts w:hint="eastAsia" w:ascii="宋体" w:hAnsi="宋体" w:cs="宋体"/>
                <w:b/>
                <w:bCs/>
                <w:color w:val="auto"/>
                <w:sz w:val="21"/>
                <w:szCs w:val="21"/>
              </w:rPr>
              <w:t xml:space="preserve">  </w:t>
            </w:r>
            <w:r>
              <w:rPr>
                <w:rFonts w:hint="eastAsia"/>
                <w:b/>
                <w:bCs/>
                <w:color w:val="auto"/>
                <w:sz w:val="21"/>
                <w:szCs w:val="21"/>
              </w:rPr>
              <w:t>各种施工噪声源在不同距离处的噪声贡献值</w:t>
            </w:r>
          </w:p>
          <w:tbl>
            <w:tblPr>
              <w:tblStyle w:val="23"/>
              <w:tblW w:w="8236" w:type="dxa"/>
              <w:tblInd w:w="0" w:type="dxa"/>
              <w:tblLayout w:type="autofit"/>
              <w:tblCellMar>
                <w:top w:w="90" w:type="dxa"/>
                <w:left w:w="106" w:type="dxa"/>
                <w:bottom w:w="0" w:type="dxa"/>
                <w:right w:w="107" w:type="dxa"/>
              </w:tblCellMar>
            </w:tblPr>
            <w:tblGrid>
              <w:gridCol w:w="551"/>
              <w:gridCol w:w="686"/>
              <w:gridCol w:w="686"/>
              <w:gridCol w:w="701"/>
              <w:gridCol w:w="701"/>
              <w:gridCol w:w="686"/>
              <w:gridCol w:w="686"/>
              <w:gridCol w:w="686"/>
              <w:gridCol w:w="710"/>
              <w:gridCol w:w="704"/>
              <w:gridCol w:w="728"/>
              <w:gridCol w:w="711"/>
            </w:tblGrid>
            <w:tr w14:paraId="12A15D09">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3C1D9D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AF8C4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1m</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0196F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5m</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2972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10m</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AA44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20m</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744FD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30m</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63B36C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40m</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04BADE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50m</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BC37C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70m</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C15F5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100m</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70F8A4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150m</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13337D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185m</w:t>
                  </w:r>
                </w:p>
              </w:tc>
            </w:tr>
            <w:tr w14:paraId="49FF60D0">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2E2012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推土机</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5D8011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93CD4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5A7AD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3E9C7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32490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C5D51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89D68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3D7127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B233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4C6EFC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5A06F1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40.66</w:t>
                  </w:r>
                </w:p>
              </w:tc>
            </w:tr>
            <w:tr w14:paraId="2ECA9FD9">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096AC6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振捣机</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ECDFC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9373E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C3F1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2CF4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D5B52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0B1F18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66613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089DD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83A9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351281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512612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44.66</w:t>
                  </w:r>
                </w:p>
              </w:tc>
            </w:tr>
            <w:tr w14:paraId="66742ED2">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4D7CA5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挖掘机</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68AA7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84</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2012F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7774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CD0B3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D59DC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0638A9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0A1EAA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42CC74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F735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A4823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517D0D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38.66</w:t>
                  </w:r>
                </w:p>
              </w:tc>
            </w:tr>
            <w:tr w14:paraId="497EF9BD">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0CB80F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切割机</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688748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E66F2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49824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789EA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B1CC5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40A521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6EA54D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7AE8BB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2008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765C7A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0AA5DD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44.66</w:t>
                  </w:r>
                </w:p>
              </w:tc>
            </w:tr>
            <w:tr w14:paraId="645FC631">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30BA46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A71AE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84</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21E7F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B8ABA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6AD56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C1958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6BC701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246B21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3407CC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E4FBE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4E01DB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3C8988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38.66</w:t>
                  </w:r>
                </w:p>
              </w:tc>
            </w:tr>
            <w:tr w14:paraId="5E90419A">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024D75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电焊机</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51661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BFFA2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71.02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F7E80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40B1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B5FF7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66AD9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BDA83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037CC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48.10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8F4C6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1837F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4D1BEB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39.66</w:t>
                  </w:r>
                </w:p>
              </w:tc>
            </w:tr>
            <w:tr w14:paraId="754C922A">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3FCB4D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电钻</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78248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5FB9B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23150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0C32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665C0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20BAC0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62.96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4CDC87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9C158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6C353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5DF0AA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4653D4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49.66</w:t>
                  </w:r>
                </w:p>
              </w:tc>
            </w:tr>
            <w:tr w14:paraId="10BAD399">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4074E7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运输车辆</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6AFB7B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7C6E4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71.02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8FE87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7602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58.98</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5A629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55.46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112780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52.96</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29D3A2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51.02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3FBEDB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48.10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093C3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45.00</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B6AB4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41.48</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350101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39.66</w:t>
                  </w:r>
                </w:p>
              </w:tc>
            </w:tr>
            <w:tr w14:paraId="17C3B880">
              <w:tblPrEx>
                <w:tblCellMar>
                  <w:top w:w="90" w:type="dxa"/>
                  <w:left w:w="106" w:type="dxa"/>
                  <w:bottom w:w="0" w:type="dxa"/>
                  <w:right w:w="107" w:type="dxa"/>
                </w:tblCellMar>
              </w:tblPrEx>
              <w:tc>
                <w:tcPr>
                  <w:tcW w:w="704" w:type="dxa"/>
                  <w:tcBorders>
                    <w:top w:val="single" w:color="000000" w:sz="4" w:space="0"/>
                    <w:left w:val="single" w:color="000000" w:sz="4" w:space="0"/>
                    <w:bottom w:val="single" w:color="000000" w:sz="4" w:space="0"/>
                    <w:right w:val="single" w:color="000000" w:sz="4" w:space="0"/>
                  </w:tcBorders>
                  <w:noWrap w:val="0"/>
                  <w:vAlign w:val="center"/>
                </w:tcPr>
                <w:p w14:paraId="6DACAF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叠加值</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183577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98.26</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2F688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84.28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A7858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78.26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4B9A0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72.24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9F12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68.72</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553905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66.22</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14:paraId="7B7508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64.28</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44523C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61.36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600A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58.26</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B05C0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54.74</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14:paraId="454E8F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52.92</w:t>
                  </w:r>
                </w:p>
              </w:tc>
            </w:tr>
          </w:tbl>
          <w:p w14:paraId="14391CE8">
            <w:pPr>
              <w:adjustRightInd w:val="0"/>
              <w:snapToGrid w:val="0"/>
              <w:spacing w:line="360" w:lineRule="auto"/>
              <w:ind w:firstLine="480" w:firstLineChars="200"/>
              <w:textAlignment w:val="baseline"/>
              <w:rPr>
                <w:color w:val="auto"/>
                <w:sz w:val="24"/>
                <w:szCs w:val="24"/>
              </w:rPr>
            </w:pPr>
            <w:r>
              <w:rPr>
                <w:rFonts w:hint="eastAsia"/>
                <w:color w:val="auto"/>
                <w:sz w:val="24"/>
                <w:szCs w:val="24"/>
                <w:lang w:val="en-US" w:eastAsia="zh-CN"/>
              </w:rPr>
              <w:t>（2）</w:t>
            </w:r>
            <w:r>
              <w:rPr>
                <w:color w:val="auto"/>
                <w:sz w:val="24"/>
                <w:szCs w:val="24"/>
              </w:rPr>
              <w:t>施工厂界噪声预测与评价</w:t>
            </w:r>
          </w:p>
          <w:p w14:paraId="15917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根据《建筑施工场界环境噪声排放标准》（</w:t>
            </w:r>
            <w:r>
              <w:rPr>
                <w:color w:val="auto"/>
                <w:sz w:val="24"/>
                <w:szCs w:val="24"/>
              </w:rPr>
              <w:t>GB12523-20</w:t>
            </w:r>
            <w:r>
              <w:rPr>
                <w:rFonts w:hint="eastAsia"/>
                <w:color w:val="auto"/>
                <w:sz w:val="24"/>
                <w:szCs w:val="24"/>
                <w:lang w:val="en-US" w:eastAsia="zh-CN"/>
              </w:rPr>
              <w:t>25</w:t>
            </w:r>
            <w:r>
              <w:rPr>
                <w:rFonts w:hint="eastAsia"/>
                <w:color w:val="auto"/>
                <w:sz w:val="24"/>
                <w:szCs w:val="24"/>
              </w:rPr>
              <w:t>），昼间噪声限值为</w:t>
            </w:r>
            <w:r>
              <w:rPr>
                <w:color w:val="auto"/>
                <w:sz w:val="24"/>
                <w:szCs w:val="24"/>
              </w:rPr>
              <w:t xml:space="preserve"> 70dB(A)</w:t>
            </w:r>
            <w:r>
              <w:rPr>
                <w:rFonts w:hint="eastAsia"/>
                <w:color w:val="auto"/>
                <w:sz w:val="24"/>
                <w:szCs w:val="24"/>
              </w:rPr>
              <w:t>，夜间限值为</w:t>
            </w:r>
            <w:r>
              <w:rPr>
                <w:color w:val="auto"/>
                <w:sz w:val="24"/>
                <w:szCs w:val="24"/>
              </w:rPr>
              <w:t>55dB(A)</w:t>
            </w:r>
            <w:r>
              <w:rPr>
                <w:rFonts w:hint="eastAsia"/>
                <w:color w:val="auto"/>
                <w:sz w:val="24"/>
                <w:szCs w:val="24"/>
              </w:rPr>
              <w:t>。从表</w:t>
            </w:r>
            <w:r>
              <w:rPr>
                <w:rFonts w:hint="eastAsia"/>
                <w:color w:val="auto"/>
                <w:sz w:val="24"/>
                <w:szCs w:val="24"/>
                <w:lang w:val="en-US" w:eastAsia="zh-CN"/>
              </w:rPr>
              <w:t>5</w:t>
            </w:r>
            <w:r>
              <w:rPr>
                <w:rFonts w:hint="eastAsia"/>
                <w:color w:val="auto"/>
                <w:sz w:val="24"/>
                <w:szCs w:val="24"/>
              </w:rPr>
              <w:t>.1-</w:t>
            </w:r>
            <w:r>
              <w:rPr>
                <w:rFonts w:hint="eastAsia"/>
                <w:color w:val="auto"/>
                <w:sz w:val="24"/>
                <w:szCs w:val="24"/>
                <w:lang w:val="en-US" w:eastAsia="zh-CN"/>
              </w:rPr>
              <w:t>2</w:t>
            </w:r>
            <w:r>
              <w:rPr>
                <w:rFonts w:hint="eastAsia"/>
                <w:color w:val="auto"/>
                <w:sz w:val="24"/>
                <w:szCs w:val="24"/>
              </w:rPr>
              <w:t>噪声预测结果可以看出：施工机械距场界昼间在</w:t>
            </w:r>
            <w:r>
              <w:rPr>
                <w:color w:val="auto"/>
                <w:sz w:val="24"/>
                <w:szCs w:val="24"/>
              </w:rPr>
              <w:t>30m</w:t>
            </w:r>
            <w:r>
              <w:rPr>
                <w:rFonts w:hint="eastAsia"/>
                <w:color w:val="auto"/>
                <w:sz w:val="24"/>
                <w:szCs w:val="24"/>
              </w:rPr>
              <w:t>处可达到《建筑施工场界环境噪声排放标准》（</w:t>
            </w:r>
            <w:r>
              <w:rPr>
                <w:color w:val="auto"/>
                <w:sz w:val="24"/>
                <w:szCs w:val="24"/>
              </w:rPr>
              <w:t>GB12523-20</w:t>
            </w:r>
            <w:r>
              <w:rPr>
                <w:rFonts w:hint="eastAsia"/>
                <w:color w:val="auto"/>
                <w:sz w:val="24"/>
                <w:szCs w:val="24"/>
                <w:lang w:val="en-US" w:eastAsia="zh-CN"/>
              </w:rPr>
              <w:t>25</w:t>
            </w:r>
            <w:r>
              <w:rPr>
                <w:rFonts w:hint="eastAsia"/>
                <w:color w:val="auto"/>
                <w:sz w:val="24"/>
                <w:szCs w:val="24"/>
              </w:rPr>
              <w:t>）标准要求；本项目施工机械集中位置距离场界最近距离均大于30</w:t>
            </w:r>
            <w:r>
              <w:rPr>
                <w:color w:val="auto"/>
                <w:sz w:val="24"/>
                <w:szCs w:val="24"/>
              </w:rPr>
              <w:t>m</w:t>
            </w:r>
            <w:r>
              <w:rPr>
                <w:rFonts w:hint="eastAsia"/>
                <w:color w:val="auto"/>
                <w:sz w:val="24"/>
                <w:szCs w:val="24"/>
              </w:rPr>
              <w:t>，昼间噪声可以达到《建筑施工场界环境噪声排放标准》（</w:t>
            </w:r>
            <w:r>
              <w:rPr>
                <w:color w:val="auto"/>
                <w:sz w:val="24"/>
                <w:szCs w:val="24"/>
              </w:rPr>
              <w:t>GB12523-20</w:t>
            </w:r>
            <w:r>
              <w:rPr>
                <w:rFonts w:hint="eastAsia"/>
                <w:color w:val="auto"/>
                <w:sz w:val="24"/>
                <w:szCs w:val="24"/>
                <w:lang w:val="en-US" w:eastAsia="zh-CN"/>
              </w:rPr>
              <w:t>25</w:t>
            </w:r>
            <w:r>
              <w:rPr>
                <w:rFonts w:hint="eastAsia"/>
                <w:color w:val="auto"/>
                <w:sz w:val="24"/>
                <w:szCs w:val="24"/>
              </w:rPr>
              <w:t>）的标准限值，夜间不达标，但是夜间不进行施工。距离本项目</w:t>
            </w:r>
            <w:r>
              <w:rPr>
                <w:rFonts w:hint="eastAsia"/>
                <w:color w:val="auto"/>
                <w:sz w:val="24"/>
                <w:szCs w:val="24"/>
                <w:lang w:val="en-US" w:eastAsia="zh-CN"/>
              </w:rPr>
              <w:t>地块一</w:t>
            </w:r>
            <w:r>
              <w:rPr>
                <w:rFonts w:hint="eastAsia"/>
                <w:color w:val="auto"/>
                <w:sz w:val="24"/>
                <w:szCs w:val="24"/>
              </w:rPr>
              <w:t>最近的保护目标为</w:t>
            </w:r>
            <w:r>
              <w:rPr>
                <w:rFonts w:hint="eastAsia"/>
                <w:color w:val="auto"/>
                <w:sz w:val="24"/>
                <w:szCs w:val="24"/>
                <w:lang w:val="en-US" w:eastAsia="zh-CN"/>
              </w:rPr>
              <w:t>东</w:t>
            </w:r>
            <w:r>
              <w:rPr>
                <w:rFonts w:hint="eastAsia"/>
                <w:color w:val="auto"/>
                <w:sz w:val="24"/>
                <w:szCs w:val="24"/>
              </w:rPr>
              <w:t>面</w:t>
            </w:r>
            <w:r>
              <w:rPr>
                <w:rFonts w:hint="eastAsia"/>
                <w:color w:val="auto"/>
                <w:sz w:val="24"/>
                <w:szCs w:val="24"/>
                <w:lang w:val="en-US" w:eastAsia="zh-CN"/>
              </w:rPr>
              <w:t>160</w:t>
            </w:r>
            <w:r>
              <w:rPr>
                <w:rFonts w:hint="eastAsia"/>
                <w:color w:val="auto"/>
                <w:sz w:val="24"/>
                <w:szCs w:val="24"/>
              </w:rPr>
              <w:t>米处的</w:t>
            </w:r>
            <w:r>
              <w:rPr>
                <w:color w:val="auto"/>
                <w:sz w:val="24"/>
                <w:szCs w:val="24"/>
              </w:rPr>
              <w:t>以其末村零散住户</w:t>
            </w:r>
            <w:r>
              <w:rPr>
                <w:rFonts w:hint="eastAsia"/>
                <w:color w:val="auto"/>
                <w:sz w:val="24"/>
                <w:szCs w:val="24"/>
              </w:rPr>
              <w:t>，</w:t>
            </w:r>
            <w:r>
              <w:rPr>
                <w:rFonts w:hint="eastAsia"/>
                <w:color w:val="auto"/>
                <w:sz w:val="24"/>
                <w:szCs w:val="24"/>
                <w:lang w:eastAsia="zh-CN"/>
              </w:rPr>
              <w:t>经过距离衰减</w:t>
            </w:r>
            <w:r>
              <w:rPr>
                <w:rFonts w:hint="eastAsia"/>
                <w:color w:val="auto"/>
                <w:sz w:val="24"/>
                <w:szCs w:val="24"/>
              </w:rPr>
              <w:t>，对其影响不大。项目施工期噪声对周围环境影响不大，是可以接受的。</w:t>
            </w:r>
          </w:p>
          <w:p w14:paraId="76EB992C">
            <w:pPr>
              <w:adjustRightInd w:val="0"/>
              <w:snapToGrid w:val="0"/>
              <w:spacing w:line="360" w:lineRule="auto"/>
              <w:ind w:firstLine="480" w:firstLineChars="200"/>
              <w:textAlignment w:val="baseline"/>
              <w:rPr>
                <w:color w:val="auto"/>
                <w:sz w:val="24"/>
                <w:szCs w:val="24"/>
              </w:rPr>
            </w:pPr>
            <w:r>
              <w:rPr>
                <w:rFonts w:hint="eastAsia"/>
                <w:color w:val="auto"/>
                <w:sz w:val="24"/>
                <w:szCs w:val="24"/>
                <w:lang w:val="en-US" w:eastAsia="zh-CN"/>
              </w:rPr>
              <w:t>（3）</w:t>
            </w:r>
            <w:r>
              <w:rPr>
                <w:color w:val="auto"/>
                <w:sz w:val="24"/>
                <w:szCs w:val="24"/>
              </w:rPr>
              <w:t>为减轻施工噪声对环境的影响，环评提出以下减缓措施：</w:t>
            </w:r>
          </w:p>
          <w:p w14:paraId="0386B15A">
            <w:pPr>
              <w:adjustRightInd w:val="0"/>
              <w:snapToGrid w:val="0"/>
              <w:spacing w:line="360" w:lineRule="auto"/>
              <w:ind w:firstLine="480" w:firstLineChars="200"/>
              <w:textAlignment w:val="baseline"/>
              <w:rPr>
                <w:color w:val="auto"/>
                <w:sz w:val="24"/>
                <w:szCs w:val="24"/>
              </w:rPr>
            </w:pPr>
            <w:r>
              <w:rPr>
                <w:rFonts w:hint="eastAsia" w:cs="宋体"/>
                <w:color w:val="auto"/>
                <w:sz w:val="24"/>
                <w:szCs w:val="24"/>
              </w:rPr>
              <w:t>①</w:t>
            </w:r>
            <w:r>
              <w:rPr>
                <w:color w:val="auto"/>
                <w:sz w:val="24"/>
                <w:szCs w:val="24"/>
              </w:rPr>
              <w:t>车辆出入现场时应低速、禁鸣；</w:t>
            </w:r>
          </w:p>
          <w:p w14:paraId="27C05498">
            <w:pPr>
              <w:adjustRightInd w:val="0"/>
              <w:snapToGrid w:val="0"/>
              <w:spacing w:line="360" w:lineRule="auto"/>
              <w:ind w:firstLine="480" w:firstLineChars="200"/>
              <w:textAlignment w:val="baseline"/>
              <w:rPr>
                <w:color w:val="auto"/>
                <w:sz w:val="24"/>
                <w:szCs w:val="24"/>
              </w:rPr>
            </w:pPr>
            <w:r>
              <w:rPr>
                <w:rFonts w:hint="eastAsia"/>
                <w:color w:val="auto"/>
                <w:sz w:val="24"/>
                <w:szCs w:val="24"/>
              </w:rPr>
              <w:t>②禁止夜间施工；</w:t>
            </w:r>
          </w:p>
          <w:p w14:paraId="147CC02C">
            <w:pPr>
              <w:adjustRightInd w:val="0"/>
              <w:snapToGrid w:val="0"/>
              <w:spacing w:line="360" w:lineRule="auto"/>
              <w:ind w:firstLine="480" w:firstLineChars="200"/>
              <w:textAlignment w:val="baseline"/>
              <w:rPr>
                <w:color w:val="auto"/>
                <w:sz w:val="24"/>
                <w:szCs w:val="24"/>
              </w:rPr>
            </w:pPr>
            <w:r>
              <w:rPr>
                <w:rFonts w:hint="eastAsia" w:cs="宋体"/>
                <w:color w:val="auto"/>
                <w:sz w:val="24"/>
                <w:szCs w:val="24"/>
              </w:rPr>
              <w:t>③</w:t>
            </w:r>
            <w:r>
              <w:rPr>
                <w:color w:val="auto"/>
                <w:sz w:val="24"/>
                <w:szCs w:val="24"/>
              </w:rPr>
              <w:t>加强检查、维护和保养机械设备，紧固各部件，减少运行</w:t>
            </w:r>
            <w:r>
              <w:rPr>
                <w:rFonts w:hint="eastAsia"/>
                <w:color w:val="auto"/>
                <w:sz w:val="24"/>
                <w:szCs w:val="24"/>
                <w:lang w:eastAsia="zh-CN"/>
              </w:rPr>
              <w:t>振动</w:t>
            </w:r>
            <w:r>
              <w:rPr>
                <w:color w:val="auto"/>
                <w:sz w:val="24"/>
                <w:szCs w:val="24"/>
              </w:rPr>
              <w:t>噪声</w:t>
            </w:r>
            <w:r>
              <w:rPr>
                <w:rFonts w:hint="eastAsia"/>
                <w:color w:val="auto"/>
                <w:sz w:val="24"/>
                <w:szCs w:val="24"/>
              </w:rPr>
              <w:t>；</w:t>
            </w:r>
          </w:p>
          <w:p w14:paraId="3BF2F712">
            <w:pPr>
              <w:adjustRightInd w:val="0"/>
              <w:snapToGrid w:val="0"/>
              <w:spacing w:line="360" w:lineRule="auto"/>
              <w:ind w:firstLine="480" w:firstLineChars="200"/>
              <w:textAlignment w:val="baseline"/>
              <w:rPr>
                <w:color w:val="auto"/>
                <w:sz w:val="24"/>
                <w:szCs w:val="24"/>
              </w:rPr>
            </w:pPr>
            <w:r>
              <w:rPr>
                <w:rFonts w:hint="eastAsia"/>
                <w:color w:val="auto"/>
                <w:sz w:val="24"/>
                <w:szCs w:val="24"/>
              </w:rPr>
              <w:t>④</w:t>
            </w:r>
            <w:r>
              <w:rPr>
                <w:color w:val="auto"/>
                <w:sz w:val="24"/>
                <w:szCs w:val="24"/>
              </w:rPr>
              <w:t>选用低噪声的施工机械及施工工艺，从根本上降低源强。</w:t>
            </w:r>
          </w:p>
          <w:p w14:paraId="766FA248">
            <w:pPr>
              <w:spacing w:line="360" w:lineRule="auto"/>
              <w:ind w:firstLine="480" w:firstLineChars="200"/>
              <w:rPr>
                <w:color w:val="auto"/>
                <w:sz w:val="24"/>
                <w:szCs w:val="24"/>
              </w:rPr>
            </w:pPr>
            <w:r>
              <w:rPr>
                <w:color w:val="auto"/>
                <w:sz w:val="24"/>
                <w:szCs w:val="24"/>
              </w:rPr>
              <w:t>项目采取合理安排施工机械布置和高噪声机械设备使用时间，错峰使用；对于振捣机、切割机、电焊、电锯等高噪声设备在使用时安装减震垫；施工期间控制好施工材料运输车辆车速，项目周边50m范围内无声环境敏感目标，在做好以上噪声防治措施后，对周围环境影响不大。</w:t>
            </w:r>
          </w:p>
          <w:p w14:paraId="40656AD3">
            <w:pPr>
              <w:spacing w:line="360" w:lineRule="auto"/>
              <w:ind w:firstLine="480" w:firstLineChars="200"/>
              <w:rPr>
                <w:color w:val="auto"/>
                <w:sz w:val="24"/>
                <w:szCs w:val="24"/>
              </w:rPr>
            </w:pPr>
            <w:r>
              <w:rPr>
                <w:color w:val="auto"/>
                <w:sz w:val="24"/>
                <w:szCs w:val="24"/>
              </w:rPr>
              <w:t>综上，项目施工期噪声在采取本次评价提出措施后，对周围环境影响不大，是可以接受的，项目噪声防治措施可行。</w:t>
            </w:r>
          </w:p>
          <w:p w14:paraId="47C654FE">
            <w:pPr>
              <w:spacing w:line="360" w:lineRule="auto"/>
              <w:ind w:firstLine="482" w:firstLineChars="200"/>
              <w:rPr>
                <w:b/>
                <w:bCs/>
                <w:color w:val="auto"/>
                <w:sz w:val="24"/>
                <w:szCs w:val="24"/>
              </w:rPr>
            </w:pPr>
            <w:r>
              <w:rPr>
                <w:b/>
                <w:bCs/>
                <w:color w:val="auto"/>
                <w:sz w:val="24"/>
                <w:szCs w:val="24"/>
              </w:rPr>
              <w:t>四、施工期固废环境影响及防治措施</w:t>
            </w:r>
          </w:p>
          <w:p w14:paraId="29DBC1AF">
            <w:pPr>
              <w:spacing w:line="360" w:lineRule="auto"/>
              <w:ind w:firstLine="482" w:firstLineChars="200"/>
              <w:rPr>
                <w:b/>
                <w:bCs/>
                <w:color w:val="auto"/>
                <w:sz w:val="24"/>
                <w:szCs w:val="24"/>
              </w:rPr>
            </w:pPr>
            <w:r>
              <w:rPr>
                <w:b/>
                <w:bCs/>
                <w:color w:val="auto"/>
                <w:sz w:val="24"/>
                <w:szCs w:val="24"/>
              </w:rPr>
              <w:t>1、施工期固废产生情况</w:t>
            </w:r>
          </w:p>
          <w:p w14:paraId="21B6B062">
            <w:pPr>
              <w:spacing w:line="360" w:lineRule="auto"/>
              <w:ind w:firstLine="480" w:firstLineChars="200"/>
              <w:rPr>
                <w:color w:val="auto"/>
                <w:sz w:val="24"/>
                <w:szCs w:val="24"/>
              </w:rPr>
            </w:pPr>
            <w:r>
              <w:rPr>
                <w:color w:val="auto"/>
                <w:sz w:val="24"/>
                <w:szCs w:val="24"/>
              </w:rPr>
              <w:t>项目施工期产生的固体废弃物主要开挖的土石方、施工过程中产生的建筑垃圾</w:t>
            </w:r>
            <w:r>
              <w:rPr>
                <w:rFonts w:hint="eastAsia"/>
                <w:color w:val="auto"/>
                <w:sz w:val="24"/>
                <w:szCs w:val="24"/>
                <w:lang w:eastAsia="zh-CN"/>
              </w:rPr>
              <w:t>、</w:t>
            </w:r>
            <w:r>
              <w:rPr>
                <w:color w:val="auto"/>
                <w:sz w:val="24"/>
                <w:szCs w:val="24"/>
              </w:rPr>
              <w:t>装卸运输过程中散落的</w:t>
            </w:r>
            <w:r>
              <w:rPr>
                <w:rFonts w:hint="eastAsia"/>
                <w:color w:val="auto"/>
                <w:sz w:val="24"/>
                <w:szCs w:val="24"/>
                <w:lang w:eastAsia="zh-CN"/>
              </w:rPr>
              <w:t>砂石</w:t>
            </w:r>
            <w:r>
              <w:rPr>
                <w:color w:val="auto"/>
                <w:sz w:val="24"/>
                <w:szCs w:val="24"/>
              </w:rPr>
              <w:t>料</w:t>
            </w:r>
            <w:r>
              <w:rPr>
                <w:rFonts w:hint="eastAsia"/>
                <w:color w:val="auto"/>
                <w:sz w:val="24"/>
                <w:szCs w:val="24"/>
                <w:lang w:val="en-US" w:eastAsia="zh-CN"/>
              </w:rPr>
              <w:t>及生活垃圾</w:t>
            </w:r>
            <w:r>
              <w:rPr>
                <w:color w:val="auto"/>
                <w:sz w:val="24"/>
                <w:szCs w:val="24"/>
              </w:rPr>
              <w:t>。</w:t>
            </w:r>
          </w:p>
          <w:p w14:paraId="13E59BA1">
            <w:pPr>
              <w:spacing w:line="360" w:lineRule="auto"/>
              <w:ind w:firstLine="480" w:firstLineChars="200"/>
              <w:rPr>
                <w:color w:val="auto"/>
                <w:sz w:val="24"/>
                <w:szCs w:val="24"/>
              </w:rPr>
            </w:pPr>
            <w:r>
              <w:rPr>
                <w:color w:val="auto"/>
                <w:sz w:val="24"/>
                <w:szCs w:val="24"/>
              </w:rPr>
              <w:t>（1）土石方</w:t>
            </w:r>
          </w:p>
          <w:p w14:paraId="29365770">
            <w:pPr>
              <w:spacing w:line="360" w:lineRule="auto"/>
              <w:ind w:firstLine="480" w:firstLineChars="200"/>
              <w:rPr>
                <w:color w:val="auto"/>
                <w:sz w:val="24"/>
                <w:szCs w:val="24"/>
              </w:rPr>
            </w:pPr>
            <w:r>
              <w:rPr>
                <w:color w:val="auto"/>
                <w:sz w:val="24"/>
                <w:szCs w:val="24"/>
              </w:rPr>
              <w:t>项目施工需进行场地开挖及平整。</w:t>
            </w:r>
            <w:r>
              <w:rPr>
                <w:rFonts w:hint="eastAsia"/>
                <w:color w:val="auto"/>
                <w:sz w:val="24"/>
                <w:szCs w:val="24"/>
              </w:rPr>
              <w:t>本项目建设过程中有</w:t>
            </w:r>
            <w:r>
              <w:rPr>
                <w:rFonts w:hint="eastAsia"/>
                <w:color w:val="auto"/>
                <w:sz w:val="24"/>
                <w:szCs w:val="24"/>
                <w:lang w:val="en-US" w:eastAsia="zh-CN"/>
              </w:rPr>
              <w:t>场地平整、仓库</w:t>
            </w:r>
            <w:r>
              <w:rPr>
                <w:color w:val="auto"/>
                <w:sz w:val="24"/>
                <w:szCs w:val="24"/>
              </w:rPr>
              <w:t>地基、</w:t>
            </w:r>
            <w:r>
              <w:rPr>
                <w:rFonts w:hint="eastAsia"/>
                <w:color w:val="auto"/>
                <w:sz w:val="24"/>
                <w:szCs w:val="24"/>
                <w:lang w:val="en-US" w:eastAsia="zh-CN"/>
              </w:rPr>
              <w:t>展厅地基、</w:t>
            </w:r>
            <w:r>
              <w:rPr>
                <w:color w:val="auto"/>
                <w:sz w:val="24"/>
                <w:szCs w:val="24"/>
              </w:rPr>
              <w:t>化粪池等的开挖</w:t>
            </w:r>
            <w:r>
              <w:rPr>
                <w:rFonts w:hint="eastAsia"/>
                <w:color w:val="auto"/>
                <w:sz w:val="24"/>
                <w:szCs w:val="24"/>
              </w:rPr>
              <w:t>的土石方</w:t>
            </w:r>
            <w:r>
              <w:rPr>
                <w:color w:val="auto"/>
                <w:sz w:val="24"/>
                <w:szCs w:val="24"/>
              </w:rPr>
              <w:t>，</w:t>
            </w:r>
            <w:r>
              <w:rPr>
                <w:rFonts w:hint="eastAsia"/>
                <w:color w:val="auto"/>
                <w:sz w:val="24"/>
                <w:szCs w:val="24"/>
              </w:rPr>
              <w:t>可以内部平衡，无永久弃渣。</w:t>
            </w:r>
          </w:p>
          <w:p w14:paraId="5095199F">
            <w:pPr>
              <w:spacing w:line="360" w:lineRule="auto"/>
              <w:ind w:firstLine="480" w:firstLineChars="200"/>
              <w:rPr>
                <w:color w:val="auto"/>
                <w:sz w:val="24"/>
                <w:szCs w:val="24"/>
              </w:rPr>
            </w:pPr>
            <w:r>
              <w:rPr>
                <w:color w:val="auto"/>
                <w:sz w:val="24"/>
                <w:szCs w:val="24"/>
              </w:rPr>
              <w:t>（2）建筑垃圾</w:t>
            </w:r>
          </w:p>
          <w:p w14:paraId="49493CC7">
            <w:pPr>
              <w:spacing w:line="360" w:lineRule="auto"/>
              <w:ind w:firstLine="480" w:firstLineChars="200"/>
              <w:rPr>
                <w:color w:val="auto"/>
                <w:sz w:val="24"/>
                <w:szCs w:val="24"/>
              </w:rPr>
            </w:pPr>
            <w:r>
              <w:rPr>
                <w:color w:val="auto"/>
                <w:sz w:val="24"/>
                <w:szCs w:val="24"/>
              </w:rPr>
              <w:t>建筑垃圾主要有施工渣土、边角废料、废弃包装袋及装修废材料。主要产生于</w:t>
            </w:r>
            <w:r>
              <w:rPr>
                <w:rFonts w:hint="eastAsia"/>
                <w:color w:val="auto"/>
                <w:sz w:val="24"/>
                <w:szCs w:val="24"/>
                <w:lang w:val="en-US" w:eastAsia="zh-CN"/>
              </w:rPr>
              <w:t>基础建设</w:t>
            </w:r>
            <w:r>
              <w:rPr>
                <w:color w:val="auto"/>
                <w:sz w:val="24"/>
                <w:szCs w:val="24"/>
              </w:rPr>
              <w:t>、主体工程建设、装修等工序。根据相关调查资料，</w:t>
            </w:r>
            <w:r>
              <w:rPr>
                <w:rFonts w:hint="default" w:ascii="Times New Roman" w:hAnsi="Times New Roman" w:cs="Times New Roman"/>
                <w:color w:val="auto"/>
                <w:sz w:val="24"/>
                <w:szCs w:val="24"/>
                <w:highlight w:val="none"/>
                <w:lang w:val="en-US" w:eastAsia="zh-CN"/>
              </w:rPr>
              <w:t>根据查阅相关资料，</w:t>
            </w:r>
            <w:r>
              <w:rPr>
                <w:rFonts w:hint="eastAsia" w:cs="Times New Roman"/>
                <w:color w:val="auto"/>
                <w:sz w:val="24"/>
                <w:szCs w:val="24"/>
                <w:highlight w:val="none"/>
                <w:lang w:val="en-US" w:eastAsia="zh-CN"/>
              </w:rPr>
              <w:t>框架</w:t>
            </w:r>
            <w:r>
              <w:rPr>
                <w:rFonts w:hint="default" w:ascii="Times New Roman" w:hAnsi="Times New Roman" w:cs="Times New Roman"/>
                <w:color w:val="auto"/>
                <w:sz w:val="24"/>
                <w:szCs w:val="24"/>
                <w:highlight w:val="none"/>
                <w:lang w:val="en-US" w:eastAsia="zh-CN"/>
              </w:rPr>
              <w:t>结构建筑垃圾产生量以</w:t>
            </w:r>
            <w:r>
              <w:rPr>
                <w:rFonts w:hint="eastAsia" w:cs="Times New Roman"/>
                <w:color w:val="auto"/>
                <w:sz w:val="24"/>
                <w:szCs w:val="24"/>
                <w:highlight w:val="none"/>
                <w:lang w:val="en-US" w:eastAsia="zh-CN"/>
              </w:rPr>
              <w:t>0.03-</w:t>
            </w:r>
            <w:r>
              <w:rPr>
                <w:rFonts w:hint="default" w:ascii="Times New Roman" w:hAnsi="Times New Roman" w:cs="Times New Roman"/>
                <w:color w:val="auto"/>
                <w:sz w:val="24"/>
                <w:szCs w:val="24"/>
                <w:highlight w:val="none"/>
                <w:lang w:val="en-US" w:eastAsia="zh-CN"/>
              </w:rPr>
              <w:t>0.0</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估算</w:t>
            </w:r>
            <w:r>
              <w:rPr>
                <w:color w:val="auto"/>
                <w:sz w:val="24"/>
                <w:szCs w:val="24"/>
              </w:rPr>
              <w:t>，项目总建筑面积</w:t>
            </w:r>
            <w:r>
              <w:rPr>
                <w:rFonts w:hint="eastAsia"/>
                <w:color w:val="auto"/>
                <w:sz w:val="24"/>
                <w:highlight w:val="none"/>
                <w:lang w:val="en-US" w:eastAsia="zh-CN"/>
              </w:rPr>
              <w:t>5500</w:t>
            </w:r>
            <w:r>
              <w:rPr>
                <w:color w:val="auto"/>
                <w:sz w:val="24"/>
                <w:szCs w:val="24"/>
              </w:rPr>
              <w:t>m</w:t>
            </w:r>
            <w:r>
              <w:rPr>
                <w:color w:val="auto"/>
                <w:sz w:val="24"/>
                <w:szCs w:val="24"/>
                <w:vertAlign w:val="superscript"/>
              </w:rPr>
              <w:t>2</w:t>
            </w:r>
            <w:r>
              <w:rPr>
                <w:color w:val="auto"/>
                <w:sz w:val="24"/>
                <w:szCs w:val="24"/>
              </w:rPr>
              <w:t>，本项目取</w:t>
            </w:r>
            <w:r>
              <w:rPr>
                <w:rFonts w:hint="eastAsia"/>
                <w:color w:val="auto"/>
                <w:sz w:val="24"/>
                <w:szCs w:val="24"/>
                <w:lang w:val="en-US" w:eastAsia="zh-CN"/>
              </w:rPr>
              <w:t>0.04t</w:t>
            </w:r>
            <w:r>
              <w:rPr>
                <w:color w:val="auto"/>
                <w:sz w:val="24"/>
                <w:szCs w:val="24"/>
              </w:rPr>
              <w:t>/m</w:t>
            </w:r>
            <w:r>
              <w:rPr>
                <w:color w:val="auto"/>
                <w:sz w:val="24"/>
                <w:szCs w:val="24"/>
                <w:vertAlign w:val="superscript"/>
              </w:rPr>
              <w:t>2</w:t>
            </w:r>
            <w:r>
              <w:rPr>
                <w:color w:val="auto"/>
                <w:sz w:val="24"/>
                <w:szCs w:val="24"/>
              </w:rPr>
              <w:t>进行计算，则产生建筑垃圾量为</w:t>
            </w:r>
            <w:r>
              <w:rPr>
                <w:rFonts w:hint="eastAsia"/>
                <w:color w:val="auto"/>
                <w:sz w:val="24"/>
                <w:szCs w:val="24"/>
                <w:lang w:val="en-US" w:eastAsia="zh-CN"/>
              </w:rPr>
              <w:t>220</w:t>
            </w:r>
            <w:r>
              <w:rPr>
                <w:color w:val="auto"/>
                <w:sz w:val="24"/>
                <w:szCs w:val="24"/>
              </w:rPr>
              <w:t>t；建设单位应采取将建筑垃圾进行分类，施工过程中产生的废钢筋、金属边角料等，统一收集出售给废品回收站回收利用；剩余不可回收利用的废弃砂石、石块等部分可用于场地和道路回填，回填不完的部分统一清运至住建管理部门指定的地点堆放。</w:t>
            </w:r>
          </w:p>
          <w:p w14:paraId="40C9463E">
            <w:pPr>
              <w:spacing w:line="360" w:lineRule="auto"/>
              <w:ind w:firstLine="480" w:firstLineChars="200"/>
              <w:rPr>
                <w:color w:val="auto"/>
                <w:sz w:val="24"/>
                <w:szCs w:val="24"/>
              </w:rPr>
            </w:pPr>
            <w:bookmarkStart w:id="45" w:name="_Toc27920"/>
            <w:bookmarkStart w:id="46" w:name="_Toc7352"/>
            <w:r>
              <w:rPr>
                <w:color w:val="auto"/>
                <w:sz w:val="24"/>
                <w:szCs w:val="24"/>
              </w:rPr>
              <w:t>（3）散落的</w:t>
            </w:r>
            <w:r>
              <w:rPr>
                <w:rFonts w:hint="eastAsia"/>
                <w:color w:val="auto"/>
                <w:sz w:val="24"/>
                <w:szCs w:val="24"/>
                <w:lang w:eastAsia="zh-CN"/>
              </w:rPr>
              <w:t>砂石</w:t>
            </w:r>
            <w:r>
              <w:rPr>
                <w:color w:val="auto"/>
                <w:sz w:val="24"/>
                <w:szCs w:val="24"/>
              </w:rPr>
              <w:t>料</w:t>
            </w:r>
            <w:bookmarkEnd w:id="45"/>
            <w:bookmarkEnd w:id="46"/>
          </w:p>
          <w:p w14:paraId="2DE13212">
            <w:pPr>
              <w:spacing w:line="360" w:lineRule="auto"/>
              <w:ind w:firstLine="480" w:firstLineChars="200"/>
              <w:rPr>
                <w:color w:val="auto"/>
                <w:sz w:val="24"/>
                <w:szCs w:val="24"/>
              </w:rPr>
            </w:pPr>
            <w:r>
              <w:rPr>
                <w:color w:val="auto"/>
                <w:sz w:val="24"/>
                <w:szCs w:val="24"/>
              </w:rPr>
              <w:t>在物料的装卸运输过程中会散落少量的</w:t>
            </w:r>
            <w:r>
              <w:rPr>
                <w:rFonts w:hint="eastAsia"/>
                <w:color w:val="auto"/>
                <w:sz w:val="24"/>
                <w:szCs w:val="24"/>
                <w:lang w:eastAsia="zh-CN"/>
              </w:rPr>
              <w:t>砂石</w:t>
            </w:r>
            <w:r>
              <w:rPr>
                <w:color w:val="auto"/>
                <w:sz w:val="24"/>
                <w:szCs w:val="24"/>
              </w:rPr>
              <w:t>料，这些散落的</w:t>
            </w:r>
            <w:r>
              <w:rPr>
                <w:rFonts w:hint="eastAsia"/>
                <w:color w:val="auto"/>
                <w:sz w:val="24"/>
                <w:szCs w:val="24"/>
                <w:lang w:eastAsia="zh-CN"/>
              </w:rPr>
              <w:t>砂石</w:t>
            </w:r>
            <w:r>
              <w:rPr>
                <w:color w:val="auto"/>
                <w:sz w:val="24"/>
                <w:szCs w:val="24"/>
              </w:rPr>
              <w:t>料安排人员收集后回用于施工材料。</w:t>
            </w:r>
          </w:p>
          <w:p w14:paraId="4FF39ADA">
            <w:pPr>
              <w:pStyle w:val="30"/>
              <w:keepNext w:val="0"/>
              <w:keepLines w:val="0"/>
              <w:pageBreakBefore w:val="0"/>
              <w:numPr>
                <w:ilvl w:val="0"/>
                <w:numId w:val="0"/>
              </w:numPr>
              <w:kinsoku/>
              <w:wordWrap/>
              <w:overflowPunct/>
              <w:topLinePunct w:val="0"/>
              <w:autoSpaceDE/>
              <w:autoSpaceDN/>
              <w:bidi w:val="0"/>
              <w:adjustRightInd/>
              <w:snapToGrid w:val="0"/>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（4）生活垃圾</w:t>
            </w:r>
          </w:p>
          <w:p w14:paraId="7C724C30">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color w:val="auto"/>
                <w:kern w:val="0"/>
                <w:sz w:val="24"/>
              </w:rPr>
              <w:t>项目</w:t>
            </w:r>
            <w:r>
              <w:rPr>
                <w:color w:val="auto"/>
                <w:kern w:val="0"/>
                <w:sz w:val="24"/>
              </w:rPr>
              <w:t>施工</w:t>
            </w:r>
            <w:r>
              <w:rPr>
                <w:rFonts w:hint="eastAsia"/>
                <w:color w:val="auto"/>
                <w:kern w:val="0"/>
                <w:sz w:val="24"/>
              </w:rPr>
              <w:t>人数为</w:t>
            </w:r>
            <w:r>
              <w:rPr>
                <w:rFonts w:hint="eastAsia"/>
                <w:color w:val="auto"/>
                <w:kern w:val="0"/>
                <w:sz w:val="24"/>
                <w:lang w:val="en-US" w:eastAsia="zh-CN"/>
              </w:rPr>
              <w:t>15</w:t>
            </w:r>
            <w:r>
              <w:rPr>
                <w:rFonts w:hint="eastAsia"/>
                <w:color w:val="auto"/>
                <w:kern w:val="0"/>
                <w:sz w:val="24"/>
              </w:rPr>
              <w:t>人，施工人员均为周边居民，均不在场地内食宿</w:t>
            </w:r>
            <w:r>
              <w:rPr>
                <w:color w:val="auto"/>
                <w:kern w:val="0"/>
                <w:sz w:val="24"/>
              </w:rPr>
              <w:t>，施工人员生活垃圾产生量按0.5kg/人</w:t>
            </w:r>
            <w:r>
              <w:rPr>
                <w:color w:val="auto"/>
                <w:sz w:val="24"/>
                <w:szCs w:val="32"/>
              </w:rPr>
              <w:t>·</w:t>
            </w:r>
            <w:r>
              <w:rPr>
                <w:color w:val="auto"/>
                <w:kern w:val="0"/>
                <w:sz w:val="24"/>
              </w:rPr>
              <w:t>d计，</w:t>
            </w:r>
            <w:r>
              <w:rPr>
                <w:rFonts w:hint="eastAsia"/>
                <w:color w:val="auto"/>
                <w:kern w:val="0"/>
                <w:sz w:val="24"/>
              </w:rPr>
              <w:t>施工期为</w:t>
            </w:r>
            <w:r>
              <w:rPr>
                <w:rFonts w:hint="eastAsia"/>
                <w:color w:val="auto"/>
                <w:kern w:val="0"/>
                <w:sz w:val="24"/>
                <w:lang w:val="en-US" w:eastAsia="zh-CN"/>
              </w:rPr>
              <w:t>12</w:t>
            </w:r>
            <w:r>
              <w:rPr>
                <w:rFonts w:hint="eastAsia"/>
                <w:color w:val="auto"/>
                <w:kern w:val="0"/>
                <w:sz w:val="24"/>
              </w:rPr>
              <w:t>个月，</w:t>
            </w:r>
            <w:r>
              <w:rPr>
                <w:rFonts w:hint="default" w:ascii="Times New Roman" w:hAnsi="Times New Roman" w:eastAsia="宋体" w:cs="Times New Roman"/>
                <w:color w:val="auto"/>
                <w:kern w:val="2"/>
                <w:sz w:val="24"/>
                <w:szCs w:val="24"/>
                <w:lang w:val="en-US" w:eastAsia="zh-CN" w:bidi="ar-SA"/>
              </w:rPr>
              <w:t>产生量约</w:t>
            </w:r>
            <w:r>
              <w:rPr>
                <w:rFonts w:hint="eastAsia" w:cs="Times New Roman"/>
                <w:color w:val="auto"/>
                <w:kern w:val="2"/>
                <w:sz w:val="24"/>
                <w:szCs w:val="24"/>
                <w:lang w:val="en-US" w:eastAsia="zh-CN" w:bidi="ar-SA"/>
              </w:rPr>
              <w:t>2.7t</w:t>
            </w:r>
            <w:r>
              <w:rPr>
                <w:rFonts w:hint="default" w:ascii="Times New Roman" w:hAnsi="Times New Roman" w:eastAsia="宋体" w:cs="Times New Roman"/>
                <w:color w:val="auto"/>
                <w:kern w:val="2"/>
                <w:sz w:val="24"/>
                <w:szCs w:val="24"/>
                <w:lang w:val="en-US" w:eastAsia="zh-CN" w:bidi="ar-SA"/>
              </w:rPr>
              <w:t>。生活垃圾集中收集后委托环卫部门清运处置。</w:t>
            </w:r>
          </w:p>
          <w:p w14:paraId="43902A52">
            <w:pPr>
              <w:spacing w:line="360" w:lineRule="auto"/>
              <w:ind w:firstLine="482" w:firstLineChars="200"/>
              <w:rPr>
                <w:b/>
                <w:bCs/>
                <w:color w:val="auto"/>
                <w:sz w:val="24"/>
                <w:szCs w:val="24"/>
              </w:rPr>
            </w:pPr>
            <w:r>
              <w:rPr>
                <w:b/>
                <w:bCs/>
                <w:color w:val="auto"/>
                <w:sz w:val="24"/>
                <w:szCs w:val="24"/>
              </w:rPr>
              <w:t>2、施工期固废防治措施</w:t>
            </w:r>
          </w:p>
          <w:p w14:paraId="41C0E15B">
            <w:pPr>
              <w:spacing w:line="360" w:lineRule="auto"/>
              <w:ind w:firstLine="480" w:firstLineChars="200"/>
              <w:rPr>
                <w:color w:val="auto"/>
                <w:sz w:val="24"/>
                <w:szCs w:val="24"/>
              </w:rPr>
            </w:pPr>
            <w:r>
              <w:rPr>
                <w:color w:val="auto"/>
                <w:sz w:val="24"/>
                <w:szCs w:val="24"/>
              </w:rPr>
              <w:t>项目施工期产生的固体废弃物主要</w:t>
            </w:r>
            <w:r>
              <w:rPr>
                <w:rFonts w:hint="eastAsia"/>
                <w:color w:val="auto"/>
                <w:sz w:val="24"/>
                <w:szCs w:val="24"/>
              </w:rPr>
              <w:t>为</w:t>
            </w:r>
            <w:r>
              <w:rPr>
                <w:color w:val="auto"/>
                <w:sz w:val="24"/>
                <w:szCs w:val="24"/>
              </w:rPr>
              <w:t>开挖的土石方</w:t>
            </w:r>
            <w:r>
              <w:rPr>
                <w:rFonts w:hint="eastAsia"/>
                <w:color w:val="auto"/>
                <w:sz w:val="24"/>
                <w:szCs w:val="24"/>
              </w:rPr>
              <w:t>、</w:t>
            </w:r>
            <w:r>
              <w:rPr>
                <w:color w:val="auto"/>
                <w:sz w:val="24"/>
                <w:szCs w:val="24"/>
              </w:rPr>
              <w:t>施工过程中产生的建筑垃圾及装卸运输过程中散落的</w:t>
            </w:r>
            <w:r>
              <w:rPr>
                <w:rFonts w:hint="eastAsia"/>
                <w:color w:val="auto"/>
                <w:sz w:val="24"/>
                <w:szCs w:val="24"/>
                <w:lang w:eastAsia="zh-CN"/>
              </w:rPr>
              <w:t>砂石</w:t>
            </w:r>
            <w:r>
              <w:rPr>
                <w:color w:val="auto"/>
                <w:sz w:val="24"/>
                <w:szCs w:val="24"/>
              </w:rPr>
              <w:t>料，项目施工期采取以下固废防治措施：</w:t>
            </w:r>
          </w:p>
          <w:p w14:paraId="234BBCFC">
            <w:pPr>
              <w:pStyle w:val="4"/>
              <w:ind w:left="424" w:leftChars="200" w:hanging="4" w:hangingChars="2"/>
              <w:rPr>
                <w:rFonts w:hint="eastAsia" w:eastAsia="宋体"/>
                <w:b w:val="0"/>
                <w:bCs w:val="0"/>
                <w:color w:val="auto"/>
                <w:kern w:val="2"/>
                <w:sz w:val="24"/>
                <w:szCs w:val="24"/>
                <w:lang w:eastAsia="zh-CN"/>
              </w:rPr>
            </w:pPr>
            <w:r>
              <w:rPr>
                <w:rFonts w:hint="eastAsia" w:eastAsia="宋体"/>
                <w:b w:val="0"/>
                <w:bCs w:val="0"/>
                <w:color w:val="auto"/>
                <w:kern w:val="2"/>
                <w:sz w:val="24"/>
                <w:szCs w:val="24"/>
              </w:rPr>
              <w:t>（1）</w:t>
            </w:r>
            <w:r>
              <w:rPr>
                <w:rFonts w:eastAsia="宋体"/>
                <w:b w:val="0"/>
                <w:bCs w:val="0"/>
                <w:color w:val="auto"/>
                <w:kern w:val="2"/>
                <w:sz w:val="24"/>
                <w:szCs w:val="24"/>
              </w:rPr>
              <w:t>开挖</w:t>
            </w:r>
            <w:r>
              <w:rPr>
                <w:rFonts w:hint="eastAsia" w:eastAsia="宋体"/>
                <w:b w:val="0"/>
                <w:bCs w:val="0"/>
                <w:color w:val="auto"/>
                <w:kern w:val="2"/>
                <w:sz w:val="24"/>
                <w:szCs w:val="24"/>
              </w:rPr>
              <w:t>的土石方</w:t>
            </w:r>
            <w:r>
              <w:rPr>
                <w:rFonts w:eastAsia="宋体"/>
                <w:b w:val="0"/>
                <w:bCs w:val="0"/>
                <w:color w:val="auto"/>
                <w:kern w:val="2"/>
                <w:sz w:val="24"/>
                <w:szCs w:val="24"/>
              </w:rPr>
              <w:t>，</w:t>
            </w:r>
            <w:r>
              <w:rPr>
                <w:rFonts w:hint="eastAsia" w:eastAsia="宋体"/>
                <w:b w:val="0"/>
                <w:bCs w:val="0"/>
                <w:color w:val="auto"/>
                <w:kern w:val="2"/>
                <w:sz w:val="24"/>
                <w:szCs w:val="24"/>
              </w:rPr>
              <w:t>可以内部平衡，无永久弃渣</w:t>
            </w:r>
            <w:r>
              <w:rPr>
                <w:rFonts w:hint="eastAsia" w:eastAsia="宋体"/>
                <w:b w:val="0"/>
                <w:bCs w:val="0"/>
                <w:color w:val="auto"/>
                <w:kern w:val="2"/>
                <w:sz w:val="24"/>
                <w:szCs w:val="24"/>
                <w:lang w:eastAsia="zh-CN"/>
              </w:rPr>
              <w:t>。</w:t>
            </w:r>
          </w:p>
          <w:p w14:paraId="56A4E116">
            <w:pPr>
              <w:spacing w:line="360" w:lineRule="auto"/>
              <w:ind w:firstLine="480" w:firstLineChars="200"/>
              <w:rPr>
                <w:color w:val="auto"/>
                <w:sz w:val="24"/>
                <w:szCs w:val="24"/>
              </w:rPr>
            </w:pPr>
            <w:r>
              <w:rPr>
                <w:rFonts w:hint="eastAsia" w:ascii="Times New Roman" w:hAnsi="Times New Roman" w:eastAsia="宋体" w:cs="Times New Roman"/>
                <w:b w:val="0"/>
                <w:bCs w:val="0"/>
                <w:color w:val="auto"/>
                <w:kern w:val="2"/>
                <w:sz w:val="24"/>
                <w:szCs w:val="24"/>
                <w:lang w:val="en-US" w:eastAsia="zh-CN" w:bidi="ar-SA"/>
              </w:rPr>
              <w:t>（2）建筑垃圾进行分类，能够回收利用的进行回收利用，不能回收利用</w:t>
            </w:r>
            <w:r>
              <w:rPr>
                <w:color w:val="auto"/>
                <w:sz w:val="24"/>
                <w:szCs w:val="24"/>
              </w:rPr>
              <w:t>的运至住建部门指定地点妥善处置的措施，防止其因长期堆放而产生扬尘。</w:t>
            </w:r>
          </w:p>
          <w:p w14:paraId="538FBA54">
            <w:pPr>
              <w:spacing w:line="360" w:lineRule="auto"/>
              <w:ind w:firstLine="480" w:firstLineChars="200"/>
              <w:rPr>
                <w:color w:val="auto"/>
                <w:sz w:val="24"/>
                <w:szCs w:val="24"/>
              </w:rPr>
            </w:pPr>
            <w:bookmarkStart w:id="47" w:name="_Toc514"/>
            <w:bookmarkStart w:id="48" w:name="_Toc6848"/>
            <w:r>
              <w:rPr>
                <w:color w:val="auto"/>
                <w:sz w:val="24"/>
                <w:szCs w:val="24"/>
              </w:rPr>
              <w:t>（3）散落的</w:t>
            </w:r>
            <w:r>
              <w:rPr>
                <w:rFonts w:hint="eastAsia"/>
                <w:color w:val="auto"/>
                <w:sz w:val="24"/>
                <w:szCs w:val="24"/>
                <w:lang w:eastAsia="zh-CN"/>
              </w:rPr>
              <w:t>砂石</w:t>
            </w:r>
            <w:r>
              <w:rPr>
                <w:color w:val="auto"/>
                <w:sz w:val="24"/>
                <w:szCs w:val="24"/>
              </w:rPr>
              <w:t>料安排人员搜集后回用于施工材料。</w:t>
            </w:r>
            <w:bookmarkEnd w:id="47"/>
            <w:bookmarkEnd w:id="48"/>
          </w:p>
          <w:p w14:paraId="3191B4FC">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（4）生活垃圾</w:t>
            </w:r>
            <w:r>
              <w:rPr>
                <w:rFonts w:hint="default" w:ascii="Times New Roman" w:hAnsi="Times New Roman" w:eastAsia="宋体" w:cs="Times New Roman"/>
                <w:color w:val="auto"/>
                <w:kern w:val="2"/>
                <w:sz w:val="24"/>
                <w:szCs w:val="24"/>
                <w:lang w:val="en-US" w:eastAsia="zh-CN" w:bidi="ar-SA"/>
              </w:rPr>
              <w:t>集中收集后委托环卫部门清运处置。</w:t>
            </w:r>
          </w:p>
          <w:p w14:paraId="45EA3461">
            <w:pPr>
              <w:spacing w:line="360" w:lineRule="auto"/>
              <w:ind w:firstLine="482" w:firstLineChars="200"/>
              <w:rPr>
                <w:b/>
                <w:bCs/>
                <w:color w:val="auto"/>
                <w:sz w:val="24"/>
                <w:szCs w:val="24"/>
              </w:rPr>
            </w:pPr>
            <w:r>
              <w:rPr>
                <w:b/>
                <w:bCs/>
                <w:color w:val="auto"/>
                <w:sz w:val="24"/>
                <w:szCs w:val="24"/>
              </w:rPr>
              <w:t>3、施工期固废环境影响分析</w:t>
            </w:r>
          </w:p>
          <w:p w14:paraId="1C6B6125">
            <w:pPr>
              <w:spacing w:line="360" w:lineRule="auto"/>
              <w:ind w:firstLine="480" w:firstLineChars="200"/>
              <w:rPr>
                <w:color w:val="auto"/>
                <w:sz w:val="24"/>
                <w:szCs w:val="24"/>
              </w:rPr>
            </w:pPr>
            <w:bookmarkStart w:id="49" w:name="_Toc21368"/>
            <w:bookmarkStart w:id="50" w:name="_Toc10432"/>
            <w:r>
              <w:rPr>
                <w:color w:val="auto"/>
                <w:sz w:val="24"/>
                <w:szCs w:val="24"/>
              </w:rPr>
              <w:t>项目开挖</w:t>
            </w:r>
            <w:r>
              <w:rPr>
                <w:rFonts w:hint="eastAsia"/>
                <w:color w:val="auto"/>
                <w:sz w:val="24"/>
                <w:szCs w:val="24"/>
              </w:rPr>
              <w:t>的土石方</w:t>
            </w:r>
            <w:r>
              <w:rPr>
                <w:color w:val="auto"/>
                <w:sz w:val="24"/>
                <w:szCs w:val="24"/>
              </w:rPr>
              <w:t>，</w:t>
            </w:r>
            <w:r>
              <w:rPr>
                <w:rFonts w:hint="eastAsia"/>
                <w:color w:val="auto"/>
                <w:sz w:val="24"/>
                <w:szCs w:val="24"/>
              </w:rPr>
              <w:t>可以内部平衡，无永久弃渣</w:t>
            </w:r>
            <w:r>
              <w:rPr>
                <w:color w:val="auto"/>
                <w:sz w:val="24"/>
                <w:szCs w:val="24"/>
              </w:rPr>
              <w:t>。项目为</w:t>
            </w:r>
            <w:r>
              <w:rPr>
                <w:rFonts w:hint="eastAsia"/>
                <w:color w:val="auto"/>
                <w:sz w:val="24"/>
                <w:szCs w:val="24"/>
                <w:lang w:val="en-US" w:eastAsia="zh-CN"/>
              </w:rPr>
              <w:t>扩</w:t>
            </w:r>
            <w:r>
              <w:rPr>
                <w:color w:val="auto"/>
                <w:sz w:val="24"/>
                <w:szCs w:val="24"/>
              </w:rPr>
              <w:t>建项目，施工期建筑垃圾主要是泡沫、塑料、纸板、废钢筋、金属边角料等施工材料及施工过程中掉落的混凝土块等，具有回收利用价值的部分进行收集外售，不具备回收利用价值的部分经统一收集后清运至住建部门指定地点妥善处置</w:t>
            </w:r>
            <w:r>
              <w:rPr>
                <w:rFonts w:hint="eastAsia"/>
                <w:color w:val="auto"/>
                <w:sz w:val="24"/>
                <w:szCs w:val="24"/>
                <w:lang w:eastAsia="zh-CN"/>
              </w:rPr>
              <w:t>，</w:t>
            </w:r>
            <w:r>
              <w:rPr>
                <w:color w:val="auto"/>
                <w:sz w:val="24"/>
                <w:szCs w:val="24"/>
              </w:rPr>
              <w:t>散落的</w:t>
            </w:r>
            <w:r>
              <w:rPr>
                <w:rFonts w:hint="eastAsia"/>
                <w:color w:val="auto"/>
                <w:sz w:val="24"/>
                <w:szCs w:val="24"/>
                <w:lang w:eastAsia="zh-CN"/>
              </w:rPr>
              <w:t>砂石</w:t>
            </w:r>
            <w:r>
              <w:rPr>
                <w:color w:val="auto"/>
                <w:sz w:val="24"/>
                <w:szCs w:val="24"/>
              </w:rPr>
              <w:t>料安排人员搜集后回用于施工材料</w:t>
            </w:r>
            <w:r>
              <w:rPr>
                <w:rFonts w:hint="eastAsia"/>
                <w:color w:val="auto"/>
                <w:sz w:val="24"/>
                <w:szCs w:val="24"/>
                <w:lang w:eastAsia="zh-CN"/>
              </w:rPr>
              <w:t>，</w:t>
            </w:r>
            <w:r>
              <w:rPr>
                <w:rFonts w:hint="eastAsia" w:ascii="Times New Roman" w:hAnsi="Times New Roman" w:eastAsia="宋体" w:cs="Times New Roman"/>
                <w:color w:val="auto"/>
                <w:kern w:val="2"/>
                <w:sz w:val="24"/>
                <w:szCs w:val="24"/>
                <w:lang w:val="en-US" w:eastAsia="zh-CN" w:bidi="ar-SA"/>
              </w:rPr>
              <w:t>生活垃圾</w:t>
            </w:r>
            <w:r>
              <w:rPr>
                <w:rFonts w:hint="default" w:ascii="Times New Roman" w:hAnsi="Times New Roman" w:eastAsia="宋体" w:cs="Times New Roman"/>
                <w:color w:val="auto"/>
                <w:kern w:val="2"/>
                <w:sz w:val="24"/>
                <w:szCs w:val="24"/>
                <w:lang w:val="en-US" w:eastAsia="zh-CN" w:bidi="ar-SA"/>
              </w:rPr>
              <w:t>集中收集后委托环卫部门清运处置</w:t>
            </w:r>
            <w:r>
              <w:rPr>
                <w:color w:val="auto"/>
                <w:sz w:val="24"/>
                <w:szCs w:val="24"/>
              </w:rPr>
              <w:t>的防治措施后固废可以得到100%的处置。</w:t>
            </w:r>
            <w:bookmarkEnd w:id="49"/>
            <w:bookmarkEnd w:id="50"/>
          </w:p>
          <w:p w14:paraId="70D6D92D">
            <w:pPr>
              <w:spacing w:line="360" w:lineRule="auto"/>
              <w:ind w:firstLine="480" w:firstLineChars="200"/>
              <w:rPr>
                <w:color w:val="auto"/>
                <w:sz w:val="24"/>
                <w:szCs w:val="24"/>
              </w:rPr>
            </w:pPr>
            <w:r>
              <w:rPr>
                <w:color w:val="auto"/>
                <w:sz w:val="24"/>
                <w:szCs w:val="24"/>
              </w:rPr>
              <w:t>综上，在采取本次评价提出措施后，项目施工期固废得到妥善处置，对周围环境影响不大。</w:t>
            </w:r>
          </w:p>
          <w:p w14:paraId="34474679">
            <w:pPr>
              <w:spacing w:line="360" w:lineRule="auto"/>
              <w:ind w:firstLine="482" w:firstLineChars="200"/>
              <w:rPr>
                <w:b/>
                <w:bCs/>
                <w:color w:val="auto"/>
                <w:sz w:val="24"/>
                <w:szCs w:val="24"/>
              </w:rPr>
            </w:pPr>
            <w:r>
              <w:rPr>
                <w:b/>
                <w:bCs/>
                <w:color w:val="auto"/>
                <w:sz w:val="24"/>
                <w:szCs w:val="24"/>
              </w:rPr>
              <w:t>五、施工期生态环境影响及保护措施</w:t>
            </w:r>
          </w:p>
          <w:p w14:paraId="52474678">
            <w:pPr>
              <w:spacing w:line="360" w:lineRule="auto"/>
              <w:ind w:firstLine="480" w:firstLineChars="200"/>
              <w:rPr>
                <w:color w:val="auto"/>
                <w:sz w:val="24"/>
                <w:szCs w:val="24"/>
              </w:rPr>
            </w:pPr>
            <w:r>
              <w:rPr>
                <w:color w:val="auto"/>
                <w:sz w:val="24"/>
                <w:szCs w:val="24"/>
              </w:rPr>
              <w:t>项目施工期因为土地平整、地基开挖及回填等工作，将破坏项目区原有地表地貌，对生态环境造成一定程度的影响。根据现场踏勘，项目区现状已进行场地平整。施工期结束后，项目区将会形成绿化、硬化区域，防止项目区水土流失进一步扩大。</w:t>
            </w:r>
          </w:p>
          <w:p w14:paraId="72C5A340">
            <w:pPr>
              <w:spacing w:line="360" w:lineRule="auto"/>
              <w:ind w:firstLine="480" w:firstLineChars="200"/>
              <w:rPr>
                <w:color w:val="auto"/>
                <w:sz w:val="24"/>
                <w:szCs w:val="24"/>
              </w:rPr>
            </w:pPr>
            <w:r>
              <w:rPr>
                <w:color w:val="auto"/>
                <w:sz w:val="24"/>
                <w:szCs w:val="24"/>
              </w:rPr>
              <w:t>项目区占地范围内已进行场地平整，占地范围外植被主要是以云南松、灌草丛等。项目施工期采取以下措施进行生态环境保护：</w:t>
            </w:r>
          </w:p>
          <w:p w14:paraId="69325575">
            <w:pPr>
              <w:spacing w:line="360" w:lineRule="auto"/>
              <w:ind w:firstLine="480" w:firstLineChars="200"/>
              <w:rPr>
                <w:color w:val="auto"/>
                <w:sz w:val="24"/>
                <w:szCs w:val="24"/>
              </w:rPr>
            </w:pPr>
            <w:r>
              <w:rPr>
                <w:color w:val="auto"/>
                <w:sz w:val="24"/>
                <w:szCs w:val="24"/>
              </w:rPr>
              <w:t>（1）严格按照项目备案及选址意见中规定的占地面积进行施工，不得额外占地；</w:t>
            </w:r>
          </w:p>
          <w:p w14:paraId="6BA32BA8">
            <w:pPr>
              <w:spacing w:line="360" w:lineRule="auto"/>
              <w:ind w:firstLine="480" w:firstLineChars="200"/>
              <w:rPr>
                <w:color w:val="auto"/>
                <w:sz w:val="24"/>
                <w:szCs w:val="24"/>
              </w:rPr>
            </w:pPr>
            <w:r>
              <w:rPr>
                <w:color w:val="auto"/>
                <w:sz w:val="24"/>
                <w:szCs w:val="24"/>
              </w:rPr>
              <w:t>（2）管束好施工人员，严禁破坏项目占地范围外的植被及猎杀动物；</w:t>
            </w:r>
          </w:p>
          <w:p w14:paraId="6484B55F">
            <w:pPr>
              <w:spacing w:line="360" w:lineRule="auto"/>
              <w:ind w:firstLine="480" w:firstLineChars="200"/>
              <w:rPr>
                <w:color w:val="auto"/>
                <w:sz w:val="24"/>
                <w:szCs w:val="24"/>
              </w:rPr>
            </w:pPr>
            <w:r>
              <w:rPr>
                <w:color w:val="auto"/>
                <w:sz w:val="24"/>
                <w:szCs w:val="24"/>
              </w:rPr>
              <w:t>（3）充分利用库区外的截排水沟等水保措施，防止水土流失现象进一步恶化。</w:t>
            </w:r>
          </w:p>
          <w:p w14:paraId="04DFC736">
            <w:pPr>
              <w:spacing w:line="360" w:lineRule="auto"/>
              <w:ind w:firstLine="480" w:firstLineChars="200"/>
              <w:rPr>
                <w:color w:val="auto"/>
                <w:szCs w:val="21"/>
              </w:rPr>
            </w:pPr>
            <w:r>
              <w:rPr>
                <w:color w:val="auto"/>
                <w:sz w:val="24"/>
                <w:szCs w:val="24"/>
              </w:rPr>
              <w:t>（4）对项目区进行硬化、绿化处理。</w:t>
            </w:r>
          </w:p>
        </w:tc>
      </w:tr>
      <w:tr w14:paraId="0B49D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10" w:type="dxa"/>
            <w:tcMar>
              <w:left w:w="28" w:type="dxa"/>
              <w:right w:w="28" w:type="dxa"/>
            </w:tcMar>
            <w:vAlign w:val="center"/>
          </w:tcPr>
          <w:p w14:paraId="1360E99A">
            <w:pPr>
              <w:spacing w:line="360" w:lineRule="auto"/>
              <w:jc w:val="center"/>
              <w:rPr>
                <w:color w:val="auto"/>
                <w:szCs w:val="21"/>
              </w:rPr>
            </w:pPr>
            <w:r>
              <w:rPr>
                <w:color w:val="auto"/>
                <w:sz w:val="24"/>
                <w:szCs w:val="24"/>
              </w:rPr>
              <w:t>运营期环境影响和保护措施</w:t>
            </w:r>
          </w:p>
        </w:tc>
        <w:tc>
          <w:tcPr>
            <w:tcW w:w="8371" w:type="dxa"/>
            <w:vAlign w:val="center"/>
          </w:tcPr>
          <w:p w14:paraId="6C271294">
            <w:pPr>
              <w:spacing w:line="360" w:lineRule="auto"/>
              <w:ind w:firstLine="482" w:firstLineChars="200"/>
              <w:rPr>
                <w:b/>
                <w:bCs/>
                <w:color w:val="auto"/>
                <w:sz w:val="24"/>
                <w:szCs w:val="24"/>
              </w:rPr>
            </w:pPr>
            <w:r>
              <w:rPr>
                <w:rFonts w:hint="eastAsia"/>
                <w:b/>
                <w:bCs/>
                <w:color w:val="auto"/>
                <w:sz w:val="24"/>
                <w:szCs w:val="24"/>
              </w:rPr>
              <w:t>一、</w:t>
            </w:r>
            <w:r>
              <w:rPr>
                <w:b/>
                <w:bCs/>
                <w:color w:val="auto"/>
                <w:sz w:val="24"/>
                <w:szCs w:val="24"/>
              </w:rPr>
              <w:t>运营期废气环境影响分析</w:t>
            </w:r>
          </w:p>
          <w:p w14:paraId="7A1A3876">
            <w:pPr>
              <w:spacing w:line="360" w:lineRule="auto"/>
              <w:ind w:firstLine="480" w:firstLineChars="200"/>
              <w:rPr>
                <w:color w:val="auto"/>
                <w:sz w:val="24"/>
                <w:szCs w:val="24"/>
              </w:rPr>
            </w:pPr>
            <w:r>
              <w:rPr>
                <w:color w:val="auto"/>
                <w:sz w:val="24"/>
                <w:szCs w:val="24"/>
              </w:rPr>
              <w:t>项目运营期不进行烟花爆竹的生产活动，主要污染物为运输车辆的尾气、工作人员生活污水、生活垃圾、及噪声和储存过程中的过期或残损的烟花爆竹。</w:t>
            </w:r>
          </w:p>
          <w:p w14:paraId="0947144F">
            <w:pPr>
              <w:spacing w:line="360" w:lineRule="auto"/>
              <w:ind w:firstLine="482" w:firstLineChars="200"/>
              <w:rPr>
                <w:b/>
                <w:bCs/>
                <w:color w:val="auto"/>
                <w:sz w:val="24"/>
                <w:szCs w:val="24"/>
              </w:rPr>
            </w:pPr>
            <w:r>
              <w:rPr>
                <w:rFonts w:hint="eastAsia"/>
                <w:b/>
                <w:bCs/>
                <w:color w:val="auto"/>
                <w:sz w:val="24"/>
                <w:szCs w:val="24"/>
              </w:rPr>
              <w:t>1.废气产排情况</w:t>
            </w:r>
          </w:p>
          <w:p w14:paraId="30CE53BB">
            <w:pPr>
              <w:spacing w:line="360" w:lineRule="auto"/>
              <w:ind w:firstLine="480" w:firstLineChars="200"/>
              <w:rPr>
                <w:color w:val="auto"/>
                <w:sz w:val="24"/>
                <w:szCs w:val="24"/>
              </w:rPr>
            </w:pPr>
            <w:r>
              <w:rPr>
                <w:color w:val="auto"/>
                <w:sz w:val="24"/>
                <w:szCs w:val="24"/>
              </w:rPr>
              <w:t>该项目不进行烟花爆竹的生产性活动，因此无工艺废气产生，产生的废气主要为车辆尾气及进场行驶过程中产生的道路扬尘</w:t>
            </w:r>
            <w:r>
              <w:rPr>
                <w:rFonts w:hint="eastAsia"/>
                <w:color w:val="auto"/>
                <w:sz w:val="24"/>
                <w:szCs w:val="24"/>
              </w:rPr>
              <w:t>、装卸粉尘</w:t>
            </w:r>
            <w:r>
              <w:rPr>
                <w:color w:val="auto"/>
                <w:sz w:val="24"/>
                <w:szCs w:val="24"/>
              </w:rPr>
              <w:t>。</w:t>
            </w:r>
          </w:p>
          <w:p w14:paraId="5FC0547D">
            <w:pPr>
              <w:pStyle w:val="4"/>
              <w:ind w:left="459" w:leftChars="100" w:hanging="249" w:hangingChars="104"/>
              <w:rPr>
                <w:rFonts w:eastAsia="宋体"/>
                <w:b w:val="0"/>
                <w:bCs w:val="0"/>
                <w:color w:val="auto"/>
                <w:kern w:val="2"/>
                <w:sz w:val="24"/>
                <w:szCs w:val="24"/>
              </w:rPr>
            </w:pPr>
            <w:r>
              <w:rPr>
                <w:rFonts w:hint="eastAsia" w:eastAsia="宋体"/>
                <w:b w:val="0"/>
                <w:bCs w:val="0"/>
                <w:color w:val="auto"/>
                <w:kern w:val="2"/>
                <w:sz w:val="24"/>
                <w:szCs w:val="24"/>
              </w:rPr>
              <w:t>（1）</w:t>
            </w:r>
            <w:r>
              <w:rPr>
                <w:rFonts w:eastAsia="宋体"/>
                <w:b w:val="0"/>
                <w:bCs w:val="0"/>
                <w:color w:val="auto"/>
                <w:kern w:val="2"/>
                <w:sz w:val="24"/>
                <w:szCs w:val="24"/>
              </w:rPr>
              <w:t>车辆尾气及进场行驶过程中产生的道路扬尘</w:t>
            </w:r>
          </w:p>
          <w:p w14:paraId="042B05CB">
            <w:pPr>
              <w:spacing w:line="360" w:lineRule="auto"/>
              <w:ind w:firstLine="480" w:firstLineChars="200"/>
              <w:rPr>
                <w:color w:val="auto"/>
                <w:sz w:val="24"/>
                <w:szCs w:val="24"/>
              </w:rPr>
            </w:pPr>
            <w:r>
              <w:rPr>
                <w:rFonts w:hint="eastAsia"/>
                <w:color w:val="auto"/>
                <w:sz w:val="24"/>
                <w:szCs w:val="24"/>
              </w:rPr>
              <w:t>汽车尾气中的主要污染物为总烃、CO、NOx等，烟花爆竹车辆入库及进库运输过程尾气产生量较少，本次环评不作量化计算。</w:t>
            </w:r>
            <w:r>
              <w:rPr>
                <w:color w:val="auto"/>
                <w:sz w:val="24"/>
                <w:szCs w:val="24"/>
              </w:rPr>
              <w:t>由于场内道路基本以水泥混凝土或沥青路面为主，且车流量不大，因此，车辆行驶过程中扬尘量不大，但仍需加强库区内及进场道路的清扫工作</w:t>
            </w:r>
            <w:r>
              <w:rPr>
                <w:rFonts w:hint="eastAsia"/>
                <w:color w:val="auto"/>
                <w:sz w:val="24"/>
                <w:szCs w:val="24"/>
              </w:rPr>
              <w:t>，对周围环境影响较小。</w:t>
            </w:r>
          </w:p>
          <w:p w14:paraId="39CB1E81">
            <w:pPr>
              <w:spacing w:line="360" w:lineRule="auto"/>
              <w:ind w:firstLine="480" w:firstLineChars="200"/>
              <w:rPr>
                <w:color w:val="auto"/>
                <w:sz w:val="24"/>
                <w:szCs w:val="24"/>
              </w:rPr>
            </w:pPr>
            <w:r>
              <w:rPr>
                <w:rFonts w:hint="eastAsia"/>
                <w:color w:val="auto"/>
                <w:sz w:val="24"/>
                <w:szCs w:val="24"/>
              </w:rPr>
              <w:t>（2）装卸粉尘</w:t>
            </w:r>
          </w:p>
          <w:p w14:paraId="6181E83B">
            <w:pPr>
              <w:spacing w:line="360" w:lineRule="auto"/>
              <w:ind w:firstLine="480" w:firstLineChars="200"/>
              <w:rPr>
                <w:color w:val="auto"/>
                <w:sz w:val="24"/>
                <w:szCs w:val="24"/>
              </w:rPr>
            </w:pPr>
            <w:r>
              <w:rPr>
                <w:rFonts w:hint="eastAsia"/>
                <w:color w:val="auto"/>
                <w:sz w:val="24"/>
                <w:szCs w:val="24"/>
              </w:rPr>
              <w:t>本项目贮存的烟花爆竹均为包装好的产品，在有入库及出库装卸烟花爆竹的过程中会产生一定量的粉尘，由于搬运量不大，产生量较少，呈无组织排放，通过加强对地面的清扫、洒水降尘后对周围环境影响不大。</w:t>
            </w:r>
          </w:p>
          <w:p w14:paraId="5E94D757">
            <w:pPr>
              <w:spacing w:line="360" w:lineRule="auto"/>
              <w:ind w:firstLine="482" w:firstLineChars="200"/>
              <w:rPr>
                <w:b/>
                <w:bCs/>
                <w:color w:val="auto"/>
                <w:sz w:val="24"/>
                <w:szCs w:val="24"/>
              </w:rPr>
            </w:pPr>
            <w:r>
              <w:rPr>
                <w:b/>
                <w:bCs/>
                <w:color w:val="auto"/>
                <w:sz w:val="24"/>
                <w:szCs w:val="24"/>
              </w:rPr>
              <w:t>2.废气防治措施</w:t>
            </w:r>
          </w:p>
          <w:p w14:paraId="4BE8482D">
            <w:pPr>
              <w:spacing w:line="360" w:lineRule="auto"/>
              <w:ind w:firstLine="480" w:firstLineChars="200"/>
              <w:rPr>
                <w:color w:val="auto"/>
                <w:sz w:val="24"/>
                <w:szCs w:val="24"/>
              </w:rPr>
            </w:pPr>
            <w:r>
              <w:rPr>
                <w:color w:val="auto"/>
                <w:sz w:val="24"/>
                <w:szCs w:val="24"/>
              </w:rPr>
              <w:t>（1）对车辆进场道路及时清扫，以降低道路地面扬尘；</w:t>
            </w:r>
          </w:p>
          <w:p w14:paraId="33465EAB">
            <w:pPr>
              <w:spacing w:line="360" w:lineRule="auto"/>
              <w:ind w:firstLine="480" w:firstLineChars="200"/>
              <w:rPr>
                <w:color w:val="auto"/>
                <w:sz w:val="24"/>
                <w:szCs w:val="24"/>
              </w:rPr>
            </w:pPr>
            <w:bookmarkStart w:id="51" w:name="_Toc34"/>
            <w:bookmarkStart w:id="52" w:name="_Toc24041"/>
            <w:r>
              <w:rPr>
                <w:color w:val="auto"/>
                <w:sz w:val="24"/>
                <w:szCs w:val="24"/>
              </w:rPr>
              <w:t>（2）对运输道路进行定时洒水降尘</w:t>
            </w:r>
            <w:bookmarkEnd w:id="51"/>
            <w:bookmarkEnd w:id="52"/>
          </w:p>
          <w:p w14:paraId="72A8B0DB">
            <w:pPr>
              <w:spacing w:line="360" w:lineRule="auto"/>
              <w:ind w:firstLine="480" w:firstLineChars="200"/>
              <w:rPr>
                <w:color w:val="auto"/>
                <w:sz w:val="24"/>
                <w:szCs w:val="24"/>
              </w:rPr>
            </w:pPr>
            <w:r>
              <w:rPr>
                <w:color w:val="auto"/>
                <w:sz w:val="24"/>
                <w:szCs w:val="24"/>
              </w:rPr>
              <w:t>（3）在库区四周设置绿化带，并以种植阔叶树为主。</w:t>
            </w:r>
          </w:p>
          <w:p w14:paraId="7E2CCB7E">
            <w:pPr>
              <w:spacing w:line="360" w:lineRule="auto"/>
              <w:ind w:firstLine="480" w:firstLineChars="200"/>
              <w:rPr>
                <w:color w:val="auto"/>
                <w:sz w:val="24"/>
                <w:szCs w:val="24"/>
              </w:rPr>
            </w:pPr>
            <w:r>
              <w:rPr>
                <w:color w:val="auto"/>
                <w:sz w:val="24"/>
                <w:szCs w:val="24"/>
              </w:rPr>
              <w:t>通过上述控制措施，可有效降低库区尾气对环境的影响。</w:t>
            </w:r>
          </w:p>
          <w:p w14:paraId="1147110B">
            <w:pPr>
              <w:spacing w:line="360" w:lineRule="auto"/>
              <w:ind w:firstLine="482" w:firstLineChars="200"/>
              <w:rPr>
                <w:b/>
                <w:bCs/>
                <w:color w:val="auto"/>
                <w:sz w:val="24"/>
                <w:szCs w:val="24"/>
              </w:rPr>
            </w:pPr>
            <w:r>
              <w:rPr>
                <w:b/>
                <w:bCs/>
                <w:color w:val="auto"/>
                <w:sz w:val="24"/>
                <w:szCs w:val="24"/>
              </w:rPr>
              <w:t>3.废气环境影响分析</w:t>
            </w:r>
          </w:p>
          <w:p w14:paraId="75E4A230">
            <w:pPr>
              <w:spacing w:line="360" w:lineRule="auto"/>
              <w:ind w:firstLine="480" w:firstLineChars="200"/>
              <w:rPr>
                <w:color w:val="auto"/>
                <w:sz w:val="24"/>
                <w:szCs w:val="24"/>
              </w:rPr>
            </w:pPr>
            <w:r>
              <w:rPr>
                <w:color w:val="auto"/>
                <w:sz w:val="24"/>
                <w:szCs w:val="24"/>
              </w:rPr>
              <w:t>项目采取对车辆进场道路及时清扫降低道路地面扬尘；对运输道路进行定时洒水降尘；在库区四周设置绿化带，并以种植阔叶树为主。项目在采取本次评价措施后，废气的产生量减少，对周围环境影响不大，项目的TSP排放浓度满足《大气污染物综合排放标准》（GB16297-1996）中表2无组织排放监控浓度限值的要求。</w:t>
            </w:r>
          </w:p>
          <w:p w14:paraId="3A443C4C">
            <w:pPr>
              <w:spacing w:line="360" w:lineRule="auto"/>
              <w:ind w:firstLine="482" w:firstLineChars="200"/>
              <w:rPr>
                <w:b/>
                <w:bCs/>
                <w:color w:val="auto"/>
                <w:sz w:val="24"/>
                <w:szCs w:val="24"/>
              </w:rPr>
            </w:pPr>
            <w:r>
              <w:rPr>
                <w:b/>
                <w:bCs/>
                <w:color w:val="auto"/>
                <w:sz w:val="24"/>
                <w:szCs w:val="24"/>
              </w:rPr>
              <w:t>二、运营期废水环境影响及防治措施</w:t>
            </w:r>
          </w:p>
          <w:p w14:paraId="32DD61EE">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、项目废水防治措施</w:t>
            </w:r>
          </w:p>
          <w:p w14:paraId="2B101703">
            <w:pPr>
              <w:pStyle w:val="59"/>
              <w:keepNext w:val="0"/>
              <w:keepLines w:val="0"/>
              <w:pageBreakBefore w:val="0"/>
              <w:widowControl w:val="0"/>
              <w:kinsoku/>
              <w:wordWrap/>
              <w:overflowPunct/>
              <w:topLinePunct w:val="0"/>
              <w:autoSpaceDE/>
              <w:autoSpaceDN/>
              <w:bidi w:val="0"/>
              <w:adjustRightInd/>
              <w:snapToGrid/>
              <w:spacing w:line="360" w:lineRule="auto"/>
              <w:ind w:left="0" w:firstLine="476"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
                <w:sz w:val="24"/>
                <w:szCs w:val="24"/>
                <w:lang w:val="en-US" w:eastAsia="zh-CN"/>
              </w:rPr>
              <w:t>扩建</w:t>
            </w:r>
            <w:r>
              <w:rPr>
                <w:rFonts w:hint="default" w:ascii="Times New Roman" w:hAnsi="Times New Roman" w:eastAsia="宋体" w:cs="Times New Roman"/>
                <w:color w:val="auto"/>
                <w:spacing w:val="-1"/>
                <w:sz w:val="24"/>
                <w:szCs w:val="24"/>
              </w:rPr>
              <w:t>项目废水主要为员工</w:t>
            </w:r>
            <w:r>
              <w:rPr>
                <w:rFonts w:hint="default" w:ascii="Times New Roman" w:hAnsi="Times New Roman" w:eastAsia="宋体" w:cs="Times New Roman"/>
                <w:color w:val="auto"/>
                <w:spacing w:val="-1"/>
                <w:sz w:val="24"/>
                <w:szCs w:val="24"/>
                <w:lang w:val="en-US" w:eastAsia="zh-CN"/>
              </w:rPr>
              <w:t>办公</w:t>
            </w:r>
            <w:r>
              <w:rPr>
                <w:rFonts w:hint="default" w:ascii="Times New Roman" w:hAnsi="Times New Roman" w:eastAsia="宋体" w:cs="Times New Roman"/>
                <w:color w:val="auto"/>
                <w:spacing w:val="-1"/>
                <w:sz w:val="24"/>
                <w:szCs w:val="24"/>
              </w:rPr>
              <w:t>生活废水</w:t>
            </w: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pacing w:val="-1"/>
                <w:sz w:val="24"/>
                <w:szCs w:val="24"/>
                <w:lang w:val="en-US" w:eastAsia="zh-CN"/>
              </w:rPr>
              <w:t>展厅参观人员废水、展厅清洁废水</w:t>
            </w:r>
            <w:r>
              <w:rPr>
                <w:rFonts w:hint="default" w:ascii="Times New Roman" w:hAnsi="Times New Roman" w:eastAsia="宋体" w:cs="Times New Roman"/>
                <w:color w:val="auto"/>
                <w:spacing w:val="-1"/>
                <w:sz w:val="24"/>
                <w:szCs w:val="24"/>
              </w:rPr>
              <w:t>。</w:t>
            </w:r>
            <w:r>
              <w:rPr>
                <w:rFonts w:hint="default" w:ascii="Times New Roman" w:hAnsi="Times New Roman" w:eastAsia="宋体" w:cs="Times New Roman"/>
                <w:color w:val="auto"/>
                <w:spacing w:val="-1"/>
                <w:sz w:val="24"/>
                <w:szCs w:val="24"/>
                <w:lang w:val="en-US" w:eastAsia="zh-CN"/>
              </w:rPr>
              <w:t>废水总产生量为</w:t>
            </w:r>
            <w:r>
              <w:rPr>
                <w:rFonts w:hint="eastAsia" w:ascii="Times New Roman" w:hAnsi="Times New Roman" w:cs="Times New Roman"/>
                <w:color w:val="auto"/>
                <w:spacing w:val="-1"/>
                <w:sz w:val="24"/>
                <w:szCs w:val="24"/>
                <w:lang w:val="en-US" w:eastAsia="zh-CN"/>
              </w:rPr>
              <w:t>362</w:t>
            </w:r>
            <w:r>
              <w:rPr>
                <w:rFonts w:hint="default" w:ascii="Times New Roman" w:hAnsi="Times New Roman" w:eastAsia="宋体" w:cs="Times New Roman"/>
                <w:color w:val="auto"/>
                <w:spacing w:val="-4"/>
                <w:sz w:val="24"/>
                <w:szCs w:val="24"/>
              </w:rPr>
              <w:t>m³/a。</w:t>
            </w:r>
            <w:r>
              <w:rPr>
                <w:rFonts w:hint="default" w:ascii="Times New Roman" w:hAnsi="Times New Roman" w:eastAsia="宋体" w:cs="Times New Roman"/>
                <w:color w:val="auto"/>
                <w:spacing w:val="-4"/>
                <w:sz w:val="24"/>
                <w:szCs w:val="24"/>
                <w:lang w:val="en-US" w:eastAsia="zh-CN"/>
              </w:rPr>
              <w:t>其中</w:t>
            </w:r>
            <w:r>
              <w:rPr>
                <w:rFonts w:hint="default" w:ascii="Times New Roman" w:hAnsi="Times New Roman" w:eastAsia="宋体" w:cs="Times New Roman"/>
                <w:color w:val="auto"/>
                <w:spacing w:val="-1"/>
                <w:sz w:val="24"/>
                <w:szCs w:val="24"/>
              </w:rPr>
              <w:t>员工</w:t>
            </w:r>
            <w:r>
              <w:rPr>
                <w:rFonts w:hint="default" w:ascii="Times New Roman" w:hAnsi="Times New Roman" w:eastAsia="宋体" w:cs="Times New Roman"/>
                <w:color w:val="auto"/>
                <w:spacing w:val="-1"/>
                <w:sz w:val="24"/>
                <w:szCs w:val="24"/>
                <w:lang w:val="en-US" w:eastAsia="zh-CN"/>
              </w:rPr>
              <w:t>办公</w:t>
            </w:r>
            <w:r>
              <w:rPr>
                <w:rFonts w:hint="default" w:ascii="Times New Roman" w:hAnsi="Times New Roman" w:eastAsia="宋体" w:cs="Times New Roman"/>
                <w:color w:val="auto"/>
                <w:spacing w:val="-1"/>
                <w:sz w:val="24"/>
                <w:szCs w:val="24"/>
              </w:rPr>
              <w:t>生活废水</w:t>
            </w:r>
            <w:r>
              <w:rPr>
                <w:rFonts w:hint="default" w:ascii="Times New Roman" w:hAnsi="Times New Roman" w:eastAsia="宋体" w:cs="Times New Roman"/>
                <w:color w:val="auto"/>
                <w:spacing w:val="-1"/>
                <w:sz w:val="24"/>
                <w:szCs w:val="24"/>
                <w:lang w:val="en-US" w:eastAsia="zh-CN"/>
              </w:rPr>
              <w:t>产生量110m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/a，展厅参观人员废水废水量为</w:t>
            </w:r>
            <w:r>
              <w:rPr>
                <w:rFonts w:hint="eastAsia" w:ascii="Times New Roman" w:hAnsi="Times New Roman" w:cs="Times New Roman"/>
                <w:color w:val="auto"/>
                <w:spacing w:val="-1"/>
                <w:sz w:val="24"/>
                <w:szCs w:val="24"/>
                <w:lang w:val="en-US" w:eastAsia="zh-CN"/>
              </w:rPr>
              <w:t>32</w:t>
            </w:r>
            <w:r>
              <w:rPr>
                <w:rFonts w:hint="default" w:ascii="Times New Roman" w:hAnsi="Times New Roman" w:eastAsia="宋体" w:cs="Times New Roman"/>
                <w:color w:val="auto"/>
                <w:spacing w:val="-1"/>
                <w:sz w:val="24"/>
                <w:szCs w:val="24"/>
                <w:lang w:val="en-US" w:eastAsia="zh-CN"/>
              </w:rPr>
              <w:t>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/a，展厅清洁废水量为220m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/a，员工办公生活废水依托现有生活区化粪池处理后</w:t>
            </w:r>
            <w:r>
              <w:rPr>
                <w:rFonts w:hint="default" w:ascii="Times New Roman" w:hAnsi="Times New Roman" w:eastAsia="宋体" w:cs="Times New Roman"/>
                <w:color w:val="auto"/>
                <w:sz w:val="24"/>
                <w:szCs w:val="24"/>
              </w:rPr>
              <w:t>委托寻甸县环卫部门</w:t>
            </w:r>
            <w:r>
              <w:rPr>
                <w:rFonts w:hint="default" w:ascii="Times New Roman" w:hAnsi="Times New Roman" w:eastAsia="宋体" w:cs="Times New Roman"/>
                <w:color w:val="auto"/>
                <w:sz w:val="24"/>
                <w:szCs w:val="24"/>
                <w:lang w:val="en-US" w:eastAsia="zh-CN"/>
              </w:rPr>
              <w:t>15天</w:t>
            </w:r>
            <w:r>
              <w:rPr>
                <w:rFonts w:hint="default" w:ascii="Times New Roman" w:hAnsi="Times New Roman" w:eastAsia="宋体" w:cs="Times New Roman"/>
                <w:color w:val="auto"/>
                <w:sz w:val="24"/>
                <w:szCs w:val="24"/>
              </w:rPr>
              <w:t>抽运一次，</w:t>
            </w:r>
            <w:r>
              <w:rPr>
                <w:rFonts w:hint="default" w:ascii="Times New Roman" w:hAnsi="Times New Roman" w:eastAsia="宋体" w:cs="Times New Roman"/>
                <w:color w:val="auto"/>
                <w:spacing w:val="-1"/>
                <w:sz w:val="24"/>
                <w:szCs w:val="24"/>
                <w:lang w:val="en-US" w:eastAsia="zh-CN"/>
              </w:rPr>
              <w:t>展厅参观人员废水和展厅清洁废水经地块二新建的化粪池处理后</w:t>
            </w:r>
            <w:r>
              <w:rPr>
                <w:rFonts w:hint="default" w:ascii="Times New Roman" w:hAnsi="Times New Roman" w:eastAsia="宋体" w:cs="Times New Roman"/>
                <w:color w:val="auto"/>
                <w:sz w:val="24"/>
                <w:szCs w:val="24"/>
              </w:rPr>
              <w:t>委托寻甸县环卫部门</w:t>
            </w:r>
            <w:r>
              <w:rPr>
                <w:rFonts w:hint="default" w:ascii="Times New Roman" w:hAnsi="Times New Roman" w:eastAsia="宋体" w:cs="Times New Roman"/>
                <w:color w:val="auto"/>
                <w:sz w:val="24"/>
                <w:szCs w:val="24"/>
                <w:lang w:val="en-US" w:eastAsia="zh-CN"/>
              </w:rPr>
              <w:t>15天</w:t>
            </w:r>
            <w:r>
              <w:rPr>
                <w:rFonts w:hint="default" w:ascii="Times New Roman" w:hAnsi="Times New Roman" w:eastAsia="宋体" w:cs="Times New Roman"/>
                <w:color w:val="auto"/>
                <w:sz w:val="24"/>
                <w:szCs w:val="24"/>
              </w:rPr>
              <w:t>抽运一次，运至寻甸县污水处理厂处理，不外排。</w:t>
            </w:r>
          </w:p>
          <w:p w14:paraId="32BF8ADC">
            <w:pPr>
              <w:pStyle w:val="59"/>
              <w:spacing w:before="2" w:line="360" w:lineRule="auto"/>
              <w:ind w:left="108" w:right="38" w:firstLine="597"/>
              <w:rPr>
                <w:rFonts w:hint="default" w:ascii="Times New Roman" w:hAnsi="Times New Roman" w:cs="Times New Roman"/>
                <w:color w:val="auto"/>
                <w:spacing w:val="0"/>
                <w:position w:val="0"/>
                <w:sz w:val="24"/>
                <w:szCs w:val="24"/>
                <w:highlight w:val="none"/>
                <w:u w:val="none" w:color="auto"/>
              </w:rPr>
            </w:pPr>
            <w:r>
              <w:rPr>
                <w:rFonts w:hint="default" w:ascii="Times New Roman" w:hAnsi="Times New Roman" w:cs="Times New Roman"/>
                <w:color w:val="auto"/>
                <w:spacing w:val="0"/>
                <w:position w:val="0"/>
                <w:sz w:val="24"/>
                <w:szCs w:val="24"/>
                <w:highlight w:val="none"/>
                <w:u w:val="none" w:color="auto"/>
                <w:lang w:val="en-US" w:eastAsia="zh-CN"/>
              </w:rPr>
              <w:t>项目消防废水产生量为216</w:t>
            </w:r>
            <w:r>
              <w:rPr>
                <w:rFonts w:hint="default" w:ascii="Times New Roman" w:hAnsi="Times New Roman" w:eastAsia="Times New Roman" w:cs="Times New Roman"/>
                <w:color w:val="auto"/>
                <w:spacing w:val="0"/>
                <w:position w:val="0"/>
                <w:sz w:val="24"/>
                <w:szCs w:val="24"/>
                <w:highlight w:val="none"/>
                <w:u w:val="none" w:color="auto"/>
              </w:rPr>
              <w:t>m</w:t>
            </w:r>
            <w:r>
              <w:rPr>
                <w:rFonts w:hint="default" w:ascii="Times New Roman" w:hAnsi="Times New Roman" w:eastAsia="Times New Roman" w:cs="Times New Roman"/>
                <w:color w:val="auto"/>
                <w:spacing w:val="0"/>
                <w:position w:val="0"/>
                <w:sz w:val="24"/>
                <w:szCs w:val="24"/>
                <w:highlight w:val="none"/>
                <w:u w:val="none" w:color="auto"/>
                <w:vertAlign w:val="superscript"/>
              </w:rPr>
              <w:t>3</w:t>
            </w:r>
            <w:r>
              <w:rPr>
                <w:rFonts w:hint="default" w:ascii="Times New Roman" w:hAnsi="Times New Roman" w:eastAsia="宋体" w:cs="Times New Roman"/>
                <w:color w:val="auto"/>
                <w:spacing w:val="0"/>
                <w:position w:val="0"/>
                <w:sz w:val="24"/>
                <w:szCs w:val="24"/>
                <w:highlight w:val="none"/>
                <w:u w:val="none" w:color="auto"/>
                <w:vertAlign w:val="baseline"/>
                <w:lang w:eastAsia="zh-CN"/>
              </w:rPr>
              <w:t>，</w:t>
            </w:r>
            <w:r>
              <w:rPr>
                <w:rFonts w:hint="default" w:ascii="Times New Roman" w:hAnsi="Times New Roman" w:cs="Times New Roman"/>
                <w:color w:val="auto"/>
                <w:spacing w:val="0"/>
                <w:position w:val="0"/>
                <w:sz w:val="24"/>
                <w:szCs w:val="24"/>
                <w:highlight w:val="none"/>
                <w:u w:val="none" w:color="auto"/>
                <w:lang w:val="en-US" w:eastAsia="zh-CN"/>
              </w:rPr>
              <w:t>地块一</w:t>
            </w:r>
            <w:r>
              <w:rPr>
                <w:rFonts w:hint="default" w:ascii="Times New Roman" w:hAnsi="Times New Roman" w:cs="Times New Roman"/>
                <w:color w:val="auto"/>
                <w:spacing w:val="0"/>
                <w:position w:val="0"/>
                <w:sz w:val="24"/>
                <w:szCs w:val="24"/>
                <w:highlight w:val="none"/>
                <w:u w:val="none" w:color="auto"/>
              </w:rPr>
              <w:t>消防</w:t>
            </w:r>
            <w:r>
              <w:rPr>
                <w:rFonts w:hint="default" w:ascii="Times New Roman" w:hAnsi="Times New Roman" w:cs="Times New Roman"/>
                <w:color w:val="auto"/>
                <w:spacing w:val="0"/>
                <w:position w:val="0"/>
                <w:sz w:val="24"/>
                <w:szCs w:val="24"/>
                <w:highlight w:val="none"/>
                <w:u w:val="none" w:color="auto"/>
                <w:lang w:val="en-US" w:eastAsia="zh-CN"/>
              </w:rPr>
              <w:t>废水</w:t>
            </w:r>
            <w:r>
              <w:rPr>
                <w:rFonts w:hint="default" w:ascii="Times New Roman" w:hAnsi="Times New Roman" w:eastAsia="Times New Roman" w:cs="Times New Roman"/>
                <w:color w:val="auto"/>
                <w:spacing w:val="0"/>
                <w:position w:val="0"/>
                <w:sz w:val="24"/>
                <w:szCs w:val="24"/>
                <w:highlight w:val="none"/>
                <w:u w:val="none" w:color="auto"/>
              </w:rPr>
              <w:t>108m</w:t>
            </w:r>
            <w:r>
              <w:rPr>
                <w:rFonts w:hint="default" w:ascii="Times New Roman" w:hAnsi="Times New Roman" w:eastAsia="Times New Roman" w:cs="Times New Roman"/>
                <w:color w:val="auto"/>
                <w:spacing w:val="0"/>
                <w:position w:val="0"/>
                <w:sz w:val="24"/>
                <w:szCs w:val="24"/>
                <w:highlight w:val="none"/>
                <w:u w:val="none" w:color="auto"/>
                <w:vertAlign w:val="superscript"/>
              </w:rPr>
              <w:t>3</w:t>
            </w:r>
            <w:r>
              <w:rPr>
                <w:rFonts w:hint="default" w:ascii="Times New Roman" w:hAnsi="Times New Roman" w:eastAsia="宋体" w:cs="Times New Roman"/>
                <w:color w:val="auto"/>
                <w:spacing w:val="0"/>
                <w:position w:val="0"/>
                <w:sz w:val="24"/>
                <w:szCs w:val="24"/>
                <w:highlight w:val="none"/>
                <w:u w:val="none" w:color="auto"/>
                <w:vertAlign w:val="baseline"/>
                <w:lang w:eastAsia="zh-CN"/>
              </w:rPr>
              <w:t>，</w:t>
            </w:r>
            <w:r>
              <w:rPr>
                <w:rFonts w:hint="default" w:ascii="Times New Roman" w:hAnsi="Times New Roman" w:cs="Times New Roman"/>
                <w:color w:val="auto"/>
                <w:spacing w:val="0"/>
                <w:position w:val="0"/>
                <w:sz w:val="24"/>
                <w:szCs w:val="24"/>
                <w:highlight w:val="none"/>
                <w:u w:val="none" w:color="auto"/>
                <w:lang w:val="en-US" w:eastAsia="zh-CN"/>
              </w:rPr>
              <w:t>地块二</w:t>
            </w:r>
            <w:r>
              <w:rPr>
                <w:rFonts w:hint="default" w:ascii="Times New Roman" w:hAnsi="Times New Roman" w:cs="Times New Roman"/>
                <w:color w:val="auto"/>
                <w:spacing w:val="0"/>
                <w:position w:val="0"/>
                <w:sz w:val="24"/>
                <w:szCs w:val="24"/>
                <w:highlight w:val="none"/>
                <w:u w:val="none" w:color="auto"/>
              </w:rPr>
              <w:t>消防</w:t>
            </w:r>
            <w:r>
              <w:rPr>
                <w:rFonts w:hint="default" w:ascii="Times New Roman" w:hAnsi="Times New Roman" w:cs="Times New Roman"/>
                <w:color w:val="auto"/>
                <w:spacing w:val="0"/>
                <w:position w:val="0"/>
                <w:sz w:val="24"/>
                <w:szCs w:val="24"/>
                <w:highlight w:val="none"/>
                <w:u w:val="none" w:color="auto"/>
                <w:lang w:val="en-US" w:eastAsia="zh-CN"/>
              </w:rPr>
              <w:t>废水</w:t>
            </w:r>
            <w:r>
              <w:rPr>
                <w:rFonts w:hint="default" w:ascii="Times New Roman" w:hAnsi="Times New Roman" w:eastAsia="Times New Roman" w:cs="Times New Roman"/>
                <w:color w:val="auto"/>
                <w:spacing w:val="0"/>
                <w:position w:val="0"/>
                <w:sz w:val="24"/>
                <w:szCs w:val="24"/>
                <w:highlight w:val="none"/>
                <w:u w:val="none" w:color="auto"/>
              </w:rPr>
              <w:t>108m</w:t>
            </w:r>
            <w:r>
              <w:rPr>
                <w:rFonts w:hint="default" w:ascii="Times New Roman" w:hAnsi="Times New Roman" w:eastAsia="Times New Roman" w:cs="Times New Roman"/>
                <w:color w:val="auto"/>
                <w:spacing w:val="0"/>
                <w:position w:val="0"/>
                <w:sz w:val="24"/>
                <w:szCs w:val="24"/>
                <w:highlight w:val="none"/>
                <w:u w:val="none" w:color="auto"/>
                <w:vertAlign w:val="superscript"/>
              </w:rPr>
              <w:t>3</w:t>
            </w:r>
            <w:r>
              <w:rPr>
                <w:rFonts w:hint="default" w:ascii="Times New Roman" w:hAnsi="Times New Roman" w:eastAsia="宋体" w:cs="Times New Roman"/>
                <w:color w:val="auto"/>
                <w:spacing w:val="0"/>
                <w:position w:val="0"/>
                <w:sz w:val="24"/>
                <w:szCs w:val="24"/>
                <w:highlight w:val="none"/>
                <w:u w:val="none" w:color="auto"/>
                <w:vertAlign w:val="baseline"/>
                <w:lang w:eastAsia="zh-CN"/>
              </w:rPr>
              <w:t>。</w:t>
            </w:r>
            <w:r>
              <w:rPr>
                <w:rFonts w:hint="default" w:ascii="Times New Roman" w:hAnsi="Times New Roman" w:cs="Times New Roman"/>
                <w:color w:val="auto"/>
                <w:spacing w:val="0"/>
                <w:position w:val="0"/>
                <w:sz w:val="24"/>
                <w:szCs w:val="24"/>
                <w:highlight w:val="none"/>
                <w:u w:val="none" w:color="auto"/>
              </w:rPr>
              <w:t>消防废水中有大量的硝态氮，</w:t>
            </w:r>
            <w:r>
              <w:rPr>
                <w:rFonts w:hint="default" w:ascii="Times New Roman" w:hAnsi="Times New Roman" w:cs="Times New Roman"/>
                <w:color w:val="auto"/>
                <w:spacing w:val="0"/>
                <w:position w:val="0"/>
                <w:sz w:val="24"/>
                <w:szCs w:val="24"/>
                <w:highlight w:val="none"/>
                <w:u w:val="none" w:color="auto"/>
                <w:lang w:val="en-US" w:eastAsia="zh-CN"/>
              </w:rPr>
              <w:t>地块一设置</w:t>
            </w:r>
            <w:r>
              <w:rPr>
                <w:rFonts w:hint="default" w:ascii="Times New Roman" w:hAnsi="Times New Roman" w:cs="Times New Roman"/>
                <w:color w:val="auto"/>
                <w:spacing w:val="0"/>
                <w:position w:val="0"/>
                <w:sz w:val="24"/>
                <w:szCs w:val="24"/>
                <w:highlight w:val="none"/>
                <w:u w:val="none" w:color="auto"/>
              </w:rPr>
              <w:t>一个消防废水事故收集池（</w:t>
            </w:r>
            <w:r>
              <w:rPr>
                <w:rFonts w:hint="default" w:ascii="Times New Roman" w:hAnsi="Times New Roman" w:eastAsia="Times New Roman" w:cs="Times New Roman"/>
                <w:color w:val="auto"/>
                <w:spacing w:val="0"/>
                <w:position w:val="0"/>
                <w:sz w:val="24"/>
                <w:szCs w:val="24"/>
                <w:highlight w:val="none"/>
                <w:u w:val="none" w:color="auto"/>
              </w:rPr>
              <w:t>1</w:t>
            </w:r>
            <w:r>
              <w:rPr>
                <w:rFonts w:hint="default" w:ascii="Times New Roman" w:hAnsi="Times New Roman" w:eastAsia="宋体" w:cs="Times New Roman"/>
                <w:color w:val="auto"/>
                <w:spacing w:val="0"/>
                <w:position w:val="0"/>
                <w:sz w:val="24"/>
                <w:szCs w:val="24"/>
                <w:highlight w:val="none"/>
                <w:u w:val="none" w:color="auto"/>
                <w:lang w:val="en-US" w:eastAsia="zh-CN"/>
              </w:rPr>
              <w:t>9</w:t>
            </w:r>
            <w:r>
              <w:rPr>
                <w:rFonts w:hint="default" w:ascii="Times New Roman" w:hAnsi="Times New Roman" w:eastAsia="Times New Roman" w:cs="Times New Roman"/>
                <w:color w:val="auto"/>
                <w:spacing w:val="0"/>
                <w:position w:val="0"/>
                <w:sz w:val="24"/>
                <w:szCs w:val="24"/>
                <w:highlight w:val="none"/>
                <w:u w:val="none" w:color="auto"/>
              </w:rPr>
              <w:t>0m³</w:t>
            </w:r>
            <w:r>
              <w:rPr>
                <w:rFonts w:hint="default" w:ascii="Times New Roman" w:hAnsi="Times New Roman" w:cs="Times New Roman"/>
                <w:color w:val="auto"/>
                <w:spacing w:val="0"/>
                <w:position w:val="0"/>
                <w:sz w:val="24"/>
                <w:szCs w:val="24"/>
                <w:highlight w:val="none"/>
                <w:u w:val="none" w:color="auto"/>
              </w:rPr>
              <w:t>)</w:t>
            </w:r>
            <w:r>
              <w:rPr>
                <w:rFonts w:hint="default" w:ascii="Times New Roman" w:hAnsi="Times New Roman" w:cs="Times New Roman"/>
                <w:color w:val="auto"/>
                <w:spacing w:val="0"/>
                <w:position w:val="0"/>
                <w:sz w:val="24"/>
                <w:szCs w:val="24"/>
                <w:highlight w:val="none"/>
                <w:u w:val="none" w:color="auto"/>
                <w:lang w:val="en-US" w:eastAsia="zh-CN"/>
              </w:rPr>
              <w:t>地块二</w:t>
            </w:r>
            <w:r>
              <w:rPr>
                <w:rFonts w:hint="default" w:ascii="Times New Roman" w:hAnsi="Times New Roman" w:cs="Times New Roman"/>
                <w:color w:val="auto"/>
                <w:spacing w:val="0"/>
                <w:position w:val="0"/>
                <w:sz w:val="24"/>
                <w:szCs w:val="24"/>
                <w:highlight w:val="none"/>
                <w:u w:val="none" w:color="auto"/>
              </w:rPr>
              <w:t>设置一个消防废水池（</w:t>
            </w:r>
            <w:r>
              <w:rPr>
                <w:rFonts w:hint="default" w:ascii="Times New Roman" w:hAnsi="Times New Roman" w:eastAsia="Times New Roman" w:cs="Times New Roman"/>
                <w:color w:val="auto"/>
                <w:spacing w:val="0"/>
                <w:position w:val="0"/>
                <w:sz w:val="24"/>
                <w:szCs w:val="24"/>
                <w:highlight w:val="none"/>
                <w:u w:val="none" w:color="auto"/>
              </w:rPr>
              <w:t>120m³</w:t>
            </w:r>
            <w:r>
              <w:rPr>
                <w:rFonts w:hint="default" w:ascii="Times New Roman" w:hAnsi="Times New Roman" w:cs="Times New Roman"/>
                <w:color w:val="auto"/>
                <w:spacing w:val="0"/>
                <w:position w:val="0"/>
                <w:sz w:val="24"/>
                <w:szCs w:val="24"/>
                <w:highlight w:val="none"/>
                <w:u w:val="none" w:color="auto"/>
              </w:rPr>
              <w:t>)，收集后的消防废水暂时储存后</w:t>
            </w:r>
            <w:r>
              <w:rPr>
                <w:rFonts w:hint="default" w:ascii="Times New Roman" w:hAnsi="Times New Roman" w:cs="Times New Roman"/>
                <w:color w:val="auto"/>
                <w:spacing w:val="0"/>
                <w:position w:val="0"/>
                <w:sz w:val="24"/>
                <w:szCs w:val="24"/>
                <w:highlight w:val="none"/>
                <w:u w:val="none" w:color="auto"/>
                <w:lang w:val="en-US" w:eastAsia="zh-CN"/>
              </w:rPr>
              <w:t>委托有资质单位处置</w:t>
            </w:r>
            <w:r>
              <w:rPr>
                <w:rFonts w:hint="default" w:ascii="Times New Roman" w:hAnsi="Times New Roman" w:cs="Times New Roman"/>
                <w:color w:val="auto"/>
                <w:spacing w:val="0"/>
                <w:position w:val="0"/>
                <w:sz w:val="24"/>
                <w:szCs w:val="24"/>
                <w:highlight w:val="none"/>
                <w:u w:val="none" w:color="auto"/>
              </w:rPr>
              <w:t>。</w:t>
            </w:r>
          </w:p>
          <w:p w14:paraId="310558BD">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default" w:ascii="Times New Roman" w:hAnsi="Times New Roman" w:cs="Times New Roman"/>
                <w:color w:val="auto"/>
              </w:rPr>
            </w:pPr>
            <w:r>
              <w:rPr>
                <w:rFonts w:hint="default" w:ascii="Times New Roman" w:hAnsi="Times New Roman" w:cs="Times New Roman"/>
                <w:b/>
                <w:bCs/>
                <w:color w:val="auto"/>
                <w:lang w:val="en-US" w:eastAsia="zh-CN"/>
              </w:rPr>
              <w:t>2、</w:t>
            </w:r>
            <w:r>
              <w:rPr>
                <w:rFonts w:hint="default" w:ascii="Times New Roman" w:hAnsi="Times New Roman" w:cs="Times New Roman"/>
                <w:b/>
                <w:bCs/>
                <w:color w:val="auto"/>
                <w:spacing w:val="-4"/>
              </w:rPr>
              <w:t>处理措施可行性分析</w:t>
            </w:r>
          </w:p>
          <w:p w14:paraId="6A5A96BD">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92" w:firstLineChars="200"/>
              <w:jc w:val="both"/>
              <w:textAlignment w:val="auto"/>
              <w:rPr>
                <w:rFonts w:hint="default" w:ascii="Times New Roman" w:hAnsi="Times New Roman" w:eastAsia="宋体" w:cs="Times New Roman"/>
                <w:color w:val="auto"/>
                <w:spacing w:val="3"/>
                <w:lang w:val="en-US" w:eastAsia="zh-CN"/>
              </w:rPr>
            </w:pPr>
            <w:r>
              <w:rPr>
                <w:rFonts w:hint="default" w:ascii="Times New Roman" w:hAnsi="Times New Roman" w:cs="Times New Roman"/>
                <w:color w:val="auto"/>
                <w:spacing w:val="3"/>
                <w:lang w:val="en-US" w:eastAsia="zh-CN"/>
              </w:rPr>
              <w:t>①</w:t>
            </w:r>
            <w:r>
              <w:rPr>
                <w:rFonts w:hint="default" w:ascii="Times New Roman" w:hAnsi="Times New Roman" w:eastAsia="宋体" w:cs="Times New Roman"/>
                <w:color w:val="auto"/>
                <w:spacing w:val="-1"/>
                <w:sz w:val="24"/>
                <w:szCs w:val="24"/>
                <w:lang w:val="en-US" w:eastAsia="zh-CN"/>
              </w:rPr>
              <w:t>扩建</w:t>
            </w:r>
            <w:r>
              <w:rPr>
                <w:rFonts w:hint="default" w:ascii="Times New Roman" w:hAnsi="Times New Roman" w:eastAsia="宋体" w:cs="Times New Roman"/>
                <w:color w:val="auto"/>
                <w:spacing w:val="-1"/>
                <w:sz w:val="24"/>
                <w:szCs w:val="24"/>
              </w:rPr>
              <w:t>项目员工</w:t>
            </w:r>
            <w:r>
              <w:rPr>
                <w:rFonts w:hint="default" w:ascii="Times New Roman" w:hAnsi="Times New Roman" w:eastAsia="宋体" w:cs="Times New Roman"/>
                <w:color w:val="auto"/>
                <w:spacing w:val="-1"/>
                <w:sz w:val="24"/>
                <w:szCs w:val="24"/>
                <w:lang w:val="en-US" w:eastAsia="zh-CN"/>
              </w:rPr>
              <w:t>办公</w:t>
            </w:r>
            <w:r>
              <w:rPr>
                <w:rFonts w:hint="default" w:ascii="Times New Roman" w:hAnsi="Times New Roman" w:eastAsia="宋体" w:cs="Times New Roman"/>
                <w:color w:val="auto"/>
                <w:spacing w:val="-1"/>
                <w:sz w:val="24"/>
                <w:szCs w:val="24"/>
              </w:rPr>
              <w:t>生活废水</w:t>
            </w:r>
            <w:r>
              <w:rPr>
                <w:rFonts w:hint="default" w:ascii="Times New Roman" w:hAnsi="Times New Roman" w:eastAsia="宋体" w:cs="Times New Roman"/>
                <w:color w:val="auto"/>
                <w:spacing w:val="-1"/>
                <w:sz w:val="24"/>
                <w:szCs w:val="24"/>
                <w:lang w:val="en-US" w:eastAsia="zh-CN"/>
              </w:rPr>
              <w:t>依托地块一生活区化粪池处理的可行性分析。</w:t>
            </w:r>
          </w:p>
          <w:p w14:paraId="25A746A8">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
                <w:sz w:val="24"/>
                <w:szCs w:val="24"/>
                <w:lang w:val="en-US" w:eastAsia="zh-CN"/>
              </w:rPr>
              <w:t>根据《</w:t>
            </w:r>
            <w:r>
              <w:rPr>
                <w:rFonts w:hint="default" w:ascii="Times New Roman" w:hAnsi="Times New Roman" w:cs="Times New Roman"/>
                <w:color w:val="auto"/>
                <w:szCs w:val="21"/>
              </w:rPr>
              <w:t>昆明优竹商贸有限公司烟花爆竹存储仓库新建项目</w:t>
            </w:r>
            <w:r>
              <w:rPr>
                <w:rFonts w:hint="default" w:ascii="Times New Roman" w:hAnsi="Times New Roman" w:cs="Times New Roman"/>
                <w:color w:val="auto"/>
                <w:szCs w:val="21"/>
                <w:lang w:val="en-US" w:eastAsia="zh-CN"/>
              </w:rPr>
              <w:t>环境影响报告表</w:t>
            </w:r>
            <w:r>
              <w:rPr>
                <w:rFonts w:hint="default" w:ascii="Times New Roman" w:hAnsi="Times New Roman" w:eastAsia="宋体" w:cs="Times New Roman"/>
                <w:color w:val="auto"/>
                <w:spacing w:val="-1"/>
                <w:sz w:val="24"/>
                <w:szCs w:val="24"/>
                <w:lang w:val="en-US" w:eastAsia="zh-CN"/>
              </w:rPr>
              <w:t>》（2021年10月）原项目生活区共10名员工，办公生活废水量为0.44m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/d，110m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/a。扩建项目</w:t>
            </w:r>
            <w:r>
              <w:rPr>
                <w:rFonts w:hint="default" w:ascii="Times New Roman" w:hAnsi="Times New Roman" w:eastAsia="宋体" w:cs="Times New Roman"/>
                <w:color w:val="auto"/>
                <w:spacing w:val="-1"/>
                <w:sz w:val="24"/>
                <w:szCs w:val="24"/>
              </w:rPr>
              <w:t>员工</w:t>
            </w:r>
            <w:r>
              <w:rPr>
                <w:rFonts w:hint="default" w:ascii="Times New Roman" w:hAnsi="Times New Roman" w:eastAsia="宋体" w:cs="Times New Roman"/>
                <w:color w:val="auto"/>
                <w:spacing w:val="-1"/>
                <w:sz w:val="24"/>
                <w:szCs w:val="24"/>
                <w:lang w:val="en-US" w:eastAsia="zh-CN"/>
              </w:rPr>
              <w:t>办公</w:t>
            </w:r>
            <w:r>
              <w:rPr>
                <w:rFonts w:hint="default" w:ascii="Times New Roman" w:hAnsi="Times New Roman" w:eastAsia="宋体" w:cs="Times New Roman"/>
                <w:color w:val="auto"/>
                <w:spacing w:val="-1"/>
                <w:sz w:val="24"/>
                <w:szCs w:val="24"/>
              </w:rPr>
              <w:t>生活废水</w:t>
            </w:r>
            <w:r>
              <w:rPr>
                <w:rFonts w:hint="default" w:ascii="Times New Roman" w:hAnsi="Times New Roman" w:eastAsia="宋体" w:cs="Times New Roman"/>
                <w:color w:val="auto"/>
                <w:spacing w:val="-1"/>
                <w:sz w:val="24"/>
                <w:szCs w:val="24"/>
                <w:lang w:val="en-US" w:eastAsia="zh-CN"/>
              </w:rPr>
              <w:t>产生量0.44m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/d，110m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/a，扩建完成后生活区废水产生量为0.88m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/d，220m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/a。原生活区化粪池为15m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vertAlign w:val="baseline"/>
                <w:lang w:val="en-US" w:eastAsia="zh-CN"/>
              </w:rPr>
              <w:t>，能满足生活区污水储存17天的需求。生活区</w:t>
            </w:r>
            <w:r>
              <w:rPr>
                <w:rFonts w:hint="default" w:ascii="Times New Roman" w:hAnsi="Times New Roman" w:eastAsia="宋体" w:cs="Times New Roman"/>
                <w:color w:val="auto"/>
                <w:spacing w:val="-1"/>
                <w:sz w:val="24"/>
                <w:szCs w:val="24"/>
                <w:lang w:val="en-US" w:eastAsia="zh-CN"/>
              </w:rPr>
              <w:t>员工办公生活废水依托现有生活区化粪池（15m</w:t>
            </w:r>
            <w:r>
              <w:rPr>
                <w:rFonts w:hint="default" w:ascii="Times New Roman" w:hAnsi="Times New Roman" w:eastAsia="宋体" w:cs="Times New Roman"/>
                <w:color w:val="auto"/>
                <w:spacing w:val="-1"/>
                <w:sz w:val="24"/>
                <w:szCs w:val="24"/>
                <w:vertAlign w:val="superscript"/>
                <w:lang w:val="en-US" w:eastAsia="zh-CN"/>
              </w:rPr>
              <w:t>3</w:t>
            </w:r>
            <w:r>
              <w:rPr>
                <w:rFonts w:hint="default" w:ascii="Times New Roman" w:hAnsi="Times New Roman" w:eastAsia="宋体" w:cs="Times New Roman"/>
                <w:color w:val="auto"/>
                <w:spacing w:val="-1"/>
                <w:sz w:val="24"/>
                <w:szCs w:val="24"/>
                <w:lang w:val="en-US" w:eastAsia="zh-CN"/>
              </w:rPr>
              <w:t>）处理后</w:t>
            </w:r>
            <w:r>
              <w:rPr>
                <w:rFonts w:hint="default" w:ascii="Times New Roman" w:hAnsi="Times New Roman" w:eastAsia="宋体" w:cs="Times New Roman"/>
                <w:color w:val="auto"/>
                <w:sz w:val="24"/>
                <w:szCs w:val="24"/>
              </w:rPr>
              <w:t>委托寻甸县环卫部门</w:t>
            </w:r>
            <w:r>
              <w:rPr>
                <w:rFonts w:hint="default" w:ascii="Times New Roman" w:hAnsi="Times New Roman" w:eastAsia="宋体" w:cs="Times New Roman"/>
                <w:color w:val="auto"/>
                <w:sz w:val="24"/>
                <w:szCs w:val="24"/>
                <w:lang w:val="en-US" w:eastAsia="zh-CN"/>
              </w:rPr>
              <w:t>15天</w:t>
            </w:r>
            <w:r>
              <w:rPr>
                <w:rFonts w:hint="default" w:ascii="Times New Roman" w:hAnsi="Times New Roman" w:eastAsia="宋体" w:cs="Times New Roman"/>
                <w:color w:val="auto"/>
                <w:sz w:val="24"/>
                <w:szCs w:val="24"/>
              </w:rPr>
              <w:t>抽运一次</w:t>
            </w:r>
            <w:r>
              <w:rPr>
                <w:rFonts w:hint="default" w:ascii="Times New Roman" w:hAnsi="Times New Roman" w:eastAsia="宋体" w:cs="Times New Roman"/>
                <w:color w:val="auto"/>
                <w:sz w:val="24"/>
                <w:szCs w:val="24"/>
                <w:lang w:val="en-US" w:eastAsia="zh-CN"/>
              </w:rPr>
              <w:t>是可行的</w:t>
            </w:r>
            <w:r>
              <w:rPr>
                <w:rFonts w:hint="default" w:ascii="Times New Roman" w:hAnsi="Times New Roman" w:eastAsia="宋体" w:cs="Times New Roman"/>
                <w:color w:val="auto"/>
                <w:sz w:val="24"/>
                <w:szCs w:val="24"/>
              </w:rPr>
              <w:t>。</w:t>
            </w:r>
          </w:p>
          <w:p w14:paraId="7868B82C">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color w:val="auto"/>
                <w:spacing w:val="-1"/>
                <w:sz w:val="24"/>
                <w:szCs w:val="24"/>
                <w:lang w:val="en-US" w:eastAsia="zh-CN"/>
              </w:rPr>
            </w:pPr>
            <w:r>
              <w:rPr>
                <w:rFonts w:hint="eastAsia" w:ascii="Times New Roman" w:hAnsi="Times New Roman" w:eastAsia="宋体" w:cs="Times New Roman"/>
                <w:color w:val="auto"/>
                <w:sz w:val="24"/>
                <w:szCs w:val="24"/>
                <w:lang w:val="en-US" w:eastAsia="zh-CN"/>
              </w:rPr>
              <w:t>②地块</w:t>
            </w:r>
            <w:r>
              <w:rPr>
                <w:rFonts w:hint="eastAsia" w:ascii="Times New Roman" w:hAnsi="Times New Roman" w:cs="Times New Roman"/>
                <w:color w:val="auto"/>
                <w:sz w:val="24"/>
                <w:szCs w:val="24"/>
                <w:lang w:val="en-US" w:eastAsia="zh-CN"/>
              </w:rPr>
              <w:t>三</w:t>
            </w:r>
            <w:r>
              <w:rPr>
                <w:rFonts w:hint="default" w:ascii="Times New Roman" w:hAnsi="Times New Roman" w:eastAsia="宋体" w:cs="Times New Roman"/>
                <w:color w:val="auto"/>
                <w:spacing w:val="-1"/>
                <w:sz w:val="24"/>
                <w:szCs w:val="24"/>
                <w:lang w:val="en-US" w:eastAsia="zh-CN"/>
              </w:rPr>
              <w:t>展厅参观人员废水和展厅清洁废水经地块二新建的化粪池</w:t>
            </w:r>
            <w:r>
              <w:rPr>
                <w:rFonts w:hint="eastAsia" w:ascii="Times New Roman" w:hAnsi="Times New Roman" w:eastAsia="宋体" w:cs="Times New Roman"/>
                <w:color w:val="auto"/>
                <w:spacing w:val="-1"/>
                <w:sz w:val="24"/>
                <w:szCs w:val="24"/>
                <w:lang w:val="en-US" w:eastAsia="zh-CN"/>
              </w:rPr>
              <w:t>处理的可行性分析</w:t>
            </w:r>
          </w:p>
          <w:p w14:paraId="1D2B8F09">
            <w:pPr>
              <w:pStyle w:val="4"/>
              <w:spacing w:before="0" w:after="0" w:line="360" w:lineRule="auto"/>
              <w:ind w:left="0" w:firstLine="480" w:firstLineChars="200"/>
              <w:rPr>
                <w:rFonts w:hint="default" w:ascii="Times New Roman" w:hAnsi="Times New Roman" w:eastAsia="宋体" w:cs="Times New Roman"/>
                <w:b w:val="0"/>
                <w:bCs w:val="0"/>
                <w:color w:val="auto"/>
                <w:kern w:val="2"/>
                <w:sz w:val="24"/>
                <w:szCs w:val="24"/>
              </w:rPr>
            </w:pPr>
            <w:r>
              <w:rPr>
                <w:rFonts w:hint="default" w:ascii="Times New Roman" w:hAnsi="Times New Roman" w:eastAsia="宋体" w:cs="Times New Roman"/>
                <w:b w:val="0"/>
                <w:bCs w:val="0"/>
                <w:color w:val="auto"/>
                <w:kern w:val="2"/>
                <w:sz w:val="24"/>
                <w:szCs w:val="24"/>
                <w:lang w:val="en-US" w:eastAsia="zh-CN"/>
              </w:rPr>
              <w:t>扩建</w:t>
            </w:r>
            <w:r>
              <w:rPr>
                <w:rFonts w:hint="default" w:ascii="Times New Roman" w:hAnsi="Times New Roman" w:eastAsia="宋体" w:cs="Times New Roman"/>
                <w:b w:val="0"/>
                <w:bCs w:val="0"/>
                <w:color w:val="auto"/>
                <w:kern w:val="2"/>
                <w:sz w:val="24"/>
                <w:szCs w:val="24"/>
              </w:rPr>
              <w:t>项目</w:t>
            </w:r>
            <w:r>
              <w:rPr>
                <w:rFonts w:hint="default" w:ascii="Times New Roman" w:hAnsi="Times New Roman" w:eastAsia="宋体" w:cs="Times New Roman"/>
                <w:b w:val="0"/>
                <w:bCs w:val="0"/>
                <w:color w:val="auto"/>
                <w:kern w:val="2"/>
                <w:sz w:val="24"/>
                <w:szCs w:val="24"/>
                <w:lang w:val="en-US" w:eastAsia="zh-CN"/>
              </w:rPr>
              <w:t>地块</w:t>
            </w:r>
            <w:r>
              <w:rPr>
                <w:rFonts w:hint="eastAsia" w:eastAsia="宋体" w:cs="Times New Roman"/>
                <w:b w:val="0"/>
                <w:bCs w:val="0"/>
                <w:color w:val="auto"/>
                <w:kern w:val="2"/>
                <w:sz w:val="24"/>
                <w:szCs w:val="24"/>
                <w:lang w:val="en-US" w:eastAsia="zh-CN"/>
              </w:rPr>
              <w:t>三</w:t>
            </w:r>
            <w:r>
              <w:rPr>
                <w:rFonts w:hint="default" w:ascii="Times New Roman" w:hAnsi="Times New Roman" w:eastAsia="宋体" w:cs="Times New Roman"/>
                <w:b w:val="0"/>
                <w:bCs w:val="0"/>
                <w:color w:val="auto"/>
                <w:spacing w:val="-1"/>
                <w:sz w:val="24"/>
                <w:szCs w:val="24"/>
                <w:lang w:val="en-US" w:eastAsia="zh-CN"/>
              </w:rPr>
              <w:t>参观人员废水和展厅清洁废水</w:t>
            </w:r>
            <w:r>
              <w:rPr>
                <w:rFonts w:hint="default" w:ascii="Times New Roman" w:hAnsi="Times New Roman" w:eastAsia="宋体" w:cs="Times New Roman"/>
                <w:b w:val="0"/>
                <w:bCs w:val="0"/>
                <w:color w:val="auto"/>
                <w:kern w:val="2"/>
                <w:sz w:val="24"/>
                <w:szCs w:val="24"/>
              </w:rPr>
              <w:t>，水质较为简单，排入容积为</w:t>
            </w:r>
            <w:r>
              <w:rPr>
                <w:rFonts w:hint="eastAsia" w:ascii="Times New Roman" w:hAnsi="Times New Roman" w:eastAsia="宋体" w:cs="Times New Roman"/>
                <w:b w:val="0"/>
                <w:bCs w:val="0"/>
                <w:color w:val="auto"/>
                <w:kern w:val="2"/>
                <w:sz w:val="24"/>
                <w:szCs w:val="24"/>
                <w:lang w:val="en-US" w:eastAsia="zh-CN"/>
              </w:rPr>
              <w:t>2</w:t>
            </w:r>
            <w:r>
              <w:rPr>
                <w:rFonts w:hint="default" w:ascii="Times New Roman" w:hAnsi="Times New Roman" w:eastAsia="宋体" w:cs="Times New Roman"/>
                <w:b w:val="0"/>
                <w:bCs w:val="0"/>
                <w:color w:val="auto"/>
                <w:kern w:val="2"/>
                <w:sz w:val="24"/>
                <w:szCs w:val="24"/>
                <w:lang w:val="en-US" w:eastAsia="zh-CN"/>
              </w:rPr>
              <w:t>5</w:t>
            </w:r>
            <w:r>
              <w:rPr>
                <w:rFonts w:hint="default" w:ascii="Times New Roman" w:hAnsi="Times New Roman" w:eastAsia="宋体" w:cs="Times New Roman"/>
                <w:b w:val="0"/>
                <w:bCs w:val="0"/>
                <w:color w:val="auto"/>
                <w:kern w:val="2"/>
                <w:sz w:val="24"/>
                <w:szCs w:val="24"/>
              </w:rPr>
              <w:t>m</w:t>
            </w:r>
            <w:r>
              <w:rPr>
                <w:rFonts w:hint="default" w:ascii="Times New Roman" w:hAnsi="Times New Roman" w:eastAsia="宋体" w:cs="Times New Roman"/>
                <w:b w:val="0"/>
                <w:bCs w:val="0"/>
                <w:color w:val="auto"/>
                <w:kern w:val="2"/>
                <w:sz w:val="24"/>
                <w:szCs w:val="24"/>
                <w:vertAlign w:val="superscript"/>
              </w:rPr>
              <w:t>3</w:t>
            </w:r>
            <w:r>
              <w:rPr>
                <w:rFonts w:hint="default" w:ascii="Times New Roman" w:hAnsi="Times New Roman" w:eastAsia="宋体" w:cs="Times New Roman"/>
                <w:b w:val="0"/>
                <w:bCs w:val="0"/>
                <w:color w:val="auto"/>
                <w:kern w:val="2"/>
                <w:sz w:val="24"/>
                <w:szCs w:val="24"/>
              </w:rPr>
              <w:t>的</w:t>
            </w:r>
            <w:r>
              <w:rPr>
                <w:rFonts w:hint="eastAsia" w:ascii="Times New Roman" w:hAnsi="Times New Roman" w:eastAsia="宋体" w:cs="Times New Roman"/>
                <w:b w:val="0"/>
                <w:bCs w:val="0"/>
                <w:color w:val="auto"/>
                <w:kern w:val="2"/>
                <w:sz w:val="24"/>
                <w:szCs w:val="24"/>
                <w:lang w:val="en-US" w:eastAsia="zh-CN"/>
              </w:rPr>
              <w:t>自建</w:t>
            </w:r>
            <w:r>
              <w:rPr>
                <w:rFonts w:hint="default" w:ascii="Times New Roman" w:hAnsi="Times New Roman" w:eastAsia="宋体" w:cs="Times New Roman"/>
                <w:b w:val="0"/>
                <w:bCs w:val="0"/>
                <w:color w:val="auto"/>
                <w:kern w:val="2"/>
                <w:sz w:val="24"/>
                <w:szCs w:val="24"/>
              </w:rPr>
              <w:t>化粪池后，委托寻甸县环卫部门</w:t>
            </w:r>
            <w:r>
              <w:rPr>
                <w:rFonts w:hint="default" w:ascii="Times New Roman" w:hAnsi="Times New Roman" w:eastAsia="宋体" w:cs="Times New Roman"/>
                <w:b w:val="0"/>
                <w:bCs w:val="0"/>
                <w:color w:val="auto"/>
                <w:kern w:val="2"/>
                <w:sz w:val="24"/>
                <w:szCs w:val="24"/>
                <w:lang w:val="en-US" w:eastAsia="zh-CN"/>
              </w:rPr>
              <w:t>15天</w:t>
            </w:r>
            <w:r>
              <w:rPr>
                <w:rFonts w:hint="default" w:ascii="Times New Roman" w:hAnsi="Times New Roman" w:eastAsia="宋体" w:cs="Times New Roman"/>
                <w:b w:val="0"/>
                <w:bCs w:val="0"/>
                <w:color w:val="auto"/>
                <w:kern w:val="2"/>
                <w:sz w:val="24"/>
                <w:szCs w:val="24"/>
              </w:rPr>
              <w:t>抽运一次，运至寻甸县污水处理厂处理，不外排，</w:t>
            </w:r>
            <w:r>
              <w:rPr>
                <w:rFonts w:hint="default" w:ascii="Times New Roman" w:hAnsi="Times New Roman" w:eastAsia="宋体" w:cs="Times New Roman"/>
                <w:b w:val="0"/>
                <w:bCs w:val="0"/>
                <w:color w:val="auto"/>
                <w:spacing w:val="-1"/>
                <w:sz w:val="24"/>
                <w:szCs w:val="24"/>
                <w:lang w:val="en-US" w:eastAsia="zh-CN"/>
              </w:rPr>
              <w:t>参观人员废水（0.4m</w:t>
            </w:r>
            <w:r>
              <w:rPr>
                <w:rFonts w:hint="default" w:ascii="Times New Roman" w:hAnsi="Times New Roman" w:eastAsia="宋体" w:cs="Times New Roman"/>
                <w:b w:val="0"/>
                <w:bCs w:val="0"/>
                <w:color w:val="auto"/>
                <w:spacing w:val="-1"/>
                <w:sz w:val="24"/>
                <w:szCs w:val="24"/>
                <w:vertAlign w:val="superscript"/>
                <w:lang w:val="en-US" w:eastAsia="zh-CN"/>
              </w:rPr>
              <w:t>3</w:t>
            </w:r>
            <w:r>
              <w:rPr>
                <w:rFonts w:hint="default" w:ascii="Times New Roman" w:hAnsi="Times New Roman" w:eastAsia="宋体" w:cs="Times New Roman"/>
                <w:b w:val="0"/>
                <w:bCs w:val="0"/>
                <w:color w:val="auto"/>
                <w:spacing w:val="-1"/>
                <w:sz w:val="24"/>
                <w:szCs w:val="24"/>
                <w:lang w:val="en-US" w:eastAsia="zh-CN"/>
              </w:rPr>
              <w:t>/d）和展厅清洁废水（0.88m</w:t>
            </w:r>
            <w:r>
              <w:rPr>
                <w:rFonts w:hint="default" w:ascii="Times New Roman" w:hAnsi="Times New Roman" w:eastAsia="宋体" w:cs="Times New Roman"/>
                <w:b w:val="0"/>
                <w:bCs w:val="0"/>
                <w:color w:val="auto"/>
                <w:spacing w:val="-1"/>
                <w:sz w:val="24"/>
                <w:szCs w:val="24"/>
                <w:vertAlign w:val="superscript"/>
                <w:lang w:val="en-US" w:eastAsia="zh-CN"/>
              </w:rPr>
              <w:t>3</w:t>
            </w:r>
            <w:r>
              <w:rPr>
                <w:rFonts w:hint="default" w:ascii="Times New Roman" w:hAnsi="Times New Roman" w:eastAsia="宋体" w:cs="Times New Roman"/>
                <w:b w:val="0"/>
                <w:bCs w:val="0"/>
                <w:color w:val="auto"/>
                <w:spacing w:val="-1"/>
                <w:sz w:val="24"/>
                <w:szCs w:val="24"/>
                <w:lang w:val="en-US" w:eastAsia="zh-CN"/>
              </w:rPr>
              <w:t>/d）</w:t>
            </w:r>
            <w:r>
              <w:rPr>
                <w:rFonts w:hint="default" w:ascii="Times New Roman" w:hAnsi="Times New Roman" w:eastAsia="宋体" w:cs="Times New Roman"/>
                <w:b w:val="0"/>
                <w:bCs w:val="0"/>
                <w:color w:val="auto"/>
                <w:kern w:val="2"/>
                <w:sz w:val="24"/>
                <w:szCs w:val="24"/>
                <w:lang w:val="en-US" w:eastAsia="zh-CN"/>
              </w:rPr>
              <w:t>15天</w:t>
            </w:r>
            <w:r>
              <w:rPr>
                <w:rFonts w:hint="default" w:ascii="Times New Roman" w:hAnsi="Times New Roman" w:eastAsia="宋体" w:cs="Times New Roman"/>
                <w:b w:val="0"/>
                <w:bCs w:val="0"/>
                <w:color w:val="auto"/>
                <w:kern w:val="2"/>
                <w:sz w:val="24"/>
                <w:szCs w:val="24"/>
              </w:rPr>
              <w:t>废水量为</w:t>
            </w:r>
            <w:r>
              <w:rPr>
                <w:rFonts w:hint="default" w:ascii="Times New Roman" w:hAnsi="Times New Roman" w:eastAsia="宋体" w:cs="Times New Roman"/>
                <w:b w:val="0"/>
                <w:bCs w:val="0"/>
                <w:color w:val="auto"/>
                <w:kern w:val="2"/>
                <w:sz w:val="24"/>
                <w:szCs w:val="24"/>
                <w:lang w:val="en-US" w:eastAsia="zh-CN"/>
              </w:rPr>
              <w:t>19.2</w:t>
            </w:r>
            <w:r>
              <w:rPr>
                <w:rFonts w:hint="default" w:ascii="Times New Roman" w:hAnsi="Times New Roman" w:eastAsia="宋体" w:cs="Times New Roman"/>
                <w:b w:val="0"/>
                <w:bCs w:val="0"/>
                <w:color w:val="auto"/>
                <w:kern w:val="2"/>
                <w:sz w:val="24"/>
                <w:szCs w:val="24"/>
              </w:rPr>
              <w:t>m</w:t>
            </w:r>
            <w:r>
              <w:rPr>
                <w:rFonts w:hint="default" w:ascii="Times New Roman" w:hAnsi="Times New Roman" w:eastAsia="宋体" w:cs="Times New Roman"/>
                <w:b w:val="0"/>
                <w:bCs w:val="0"/>
                <w:color w:val="auto"/>
                <w:kern w:val="2"/>
                <w:sz w:val="24"/>
                <w:szCs w:val="24"/>
                <w:vertAlign w:val="superscript"/>
              </w:rPr>
              <w:t>3</w:t>
            </w:r>
            <w:r>
              <w:rPr>
                <w:rFonts w:hint="default" w:ascii="Times New Roman" w:hAnsi="Times New Roman" w:eastAsia="宋体" w:cs="Times New Roman"/>
                <w:b w:val="0"/>
                <w:bCs w:val="0"/>
                <w:color w:val="auto"/>
                <w:kern w:val="2"/>
                <w:sz w:val="24"/>
                <w:szCs w:val="24"/>
              </w:rPr>
              <w:t>，考虑安全系数1.2，建设容积为</w:t>
            </w:r>
            <w:r>
              <w:rPr>
                <w:rFonts w:hint="default" w:ascii="Times New Roman" w:hAnsi="Times New Roman" w:eastAsia="宋体" w:cs="Times New Roman"/>
                <w:b w:val="0"/>
                <w:bCs w:val="0"/>
                <w:color w:val="auto"/>
                <w:kern w:val="2"/>
                <w:sz w:val="24"/>
                <w:szCs w:val="24"/>
                <w:lang w:val="en-US" w:eastAsia="zh-CN"/>
              </w:rPr>
              <w:t>25</w:t>
            </w:r>
            <w:r>
              <w:rPr>
                <w:rFonts w:hint="default" w:ascii="Times New Roman" w:hAnsi="Times New Roman" w:eastAsia="宋体" w:cs="Times New Roman"/>
                <w:b w:val="0"/>
                <w:bCs w:val="0"/>
                <w:color w:val="auto"/>
                <w:kern w:val="2"/>
                <w:sz w:val="24"/>
                <w:szCs w:val="24"/>
              </w:rPr>
              <w:t>m</w:t>
            </w:r>
            <w:r>
              <w:rPr>
                <w:rFonts w:hint="default" w:ascii="Times New Roman" w:hAnsi="Times New Roman" w:eastAsia="宋体" w:cs="Times New Roman"/>
                <w:b w:val="0"/>
                <w:bCs w:val="0"/>
                <w:color w:val="auto"/>
                <w:kern w:val="2"/>
                <w:sz w:val="24"/>
                <w:szCs w:val="24"/>
                <w:vertAlign w:val="superscript"/>
              </w:rPr>
              <w:t>3</w:t>
            </w:r>
            <w:r>
              <w:rPr>
                <w:rFonts w:hint="default" w:ascii="Times New Roman" w:hAnsi="Times New Roman" w:eastAsia="宋体" w:cs="Times New Roman"/>
                <w:b w:val="0"/>
                <w:bCs w:val="0"/>
                <w:color w:val="auto"/>
                <w:kern w:val="2"/>
                <w:sz w:val="24"/>
                <w:szCs w:val="24"/>
              </w:rPr>
              <w:t>的化粪池可以项目区处理废水的需求。</w:t>
            </w:r>
            <w:r>
              <w:rPr>
                <w:rFonts w:hint="default" w:ascii="Times New Roman" w:hAnsi="Times New Roman" w:eastAsia="宋体" w:cs="Times New Roman"/>
                <w:b w:val="0"/>
                <w:bCs w:val="0"/>
                <w:color w:val="auto"/>
                <w:kern w:val="2"/>
                <w:sz w:val="24"/>
                <w:szCs w:val="24"/>
                <w:lang w:val="en-US" w:eastAsia="zh-CN"/>
              </w:rPr>
              <w:t>地块</w:t>
            </w:r>
            <w:r>
              <w:rPr>
                <w:rFonts w:hint="eastAsia" w:eastAsia="宋体" w:cs="Times New Roman"/>
                <w:b w:val="0"/>
                <w:bCs w:val="0"/>
                <w:color w:val="auto"/>
                <w:kern w:val="2"/>
                <w:sz w:val="24"/>
                <w:szCs w:val="24"/>
                <w:lang w:val="en-US" w:eastAsia="zh-CN"/>
              </w:rPr>
              <w:t>三</w:t>
            </w:r>
            <w:r>
              <w:rPr>
                <w:rFonts w:hint="default" w:ascii="Times New Roman" w:hAnsi="Times New Roman" w:eastAsia="宋体" w:cs="Times New Roman"/>
                <w:b w:val="0"/>
                <w:bCs w:val="0"/>
                <w:color w:val="auto"/>
                <w:kern w:val="2"/>
                <w:sz w:val="24"/>
                <w:szCs w:val="24"/>
              </w:rPr>
              <w:t>项目废水量较少</w:t>
            </w:r>
            <w:r>
              <w:rPr>
                <w:rFonts w:hint="default" w:ascii="Times New Roman" w:hAnsi="Times New Roman" w:eastAsia="宋体" w:cs="Times New Roman"/>
                <w:b w:val="0"/>
                <w:bCs w:val="0"/>
                <w:color w:val="auto"/>
                <w:kern w:val="2"/>
                <w:sz w:val="24"/>
                <w:szCs w:val="24"/>
                <w:lang w:val="en-US" w:eastAsia="zh-CN"/>
              </w:rPr>
              <w:t>15天</w:t>
            </w:r>
            <w:r>
              <w:rPr>
                <w:rFonts w:hint="default" w:ascii="Times New Roman" w:hAnsi="Times New Roman" w:eastAsia="宋体" w:cs="Times New Roman"/>
                <w:b w:val="0"/>
                <w:bCs w:val="0"/>
                <w:color w:val="auto"/>
                <w:kern w:val="2"/>
                <w:sz w:val="24"/>
                <w:szCs w:val="24"/>
              </w:rPr>
              <w:t>委托抽运一次是可行的。</w:t>
            </w:r>
          </w:p>
          <w:p w14:paraId="27A262D5">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92" w:firstLineChars="200"/>
              <w:jc w:val="both"/>
              <w:textAlignment w:val="auto"/>
              <w:rPr>
                <w:rFonts w:hint="default" w:ascii="Times New Roman" w:hAnsi="Times New Roman" w:eastAsia="宋体" w:cs="Times New Roman"/>
                <w:color w:val="auto"/>
                <w:spacing w:val="3"/>
                <w:lang w:val="en-US" w:eastAsia="zh-CN"/>
              </w:rPr>
            </w:pPr>
            <w:r>
              <w:rPr>
                <w:rFonts w:hint="eastAsia" w:ascii="Times New Roman" w:hAnsi="Times New Roman" w:cs="Times New Roman"/>
                <w:color w:val="auto"/>
                <w:spacing w:val="3"/>
                <w:lang w:val="en-US" w:eastAsia="zh-CN"/>
              </w:rPr>
              <w:t>③</w:t>
            </w:r>
            <w:r>
              <w:rPr>
                <w:rFonts w:hint="default" w:ascii="Times New Roman" w:hAnsi="Times New Roman" w:cs="Times New Roman"/>
                <w:color w:val="auto"/>
                <w:spacing w:val="3"/>
                <w:lang w:val="en-US" w:eastAsia="zh-CN"/>
              </w:rPr>
              <w:t>化粪池处理生活污水达标可行性分析</w:t>
            </w:r>
          </w:p>
          <w:p w14:paraId="5759B340">
            <w:pPr>
              <w:pageBreakBefore w:val="0"/>
              <w:kinsoku/>
              <w:overflowPunct/>
              <w:topLinePunct w:val="0"/>
              <w:bidi w:val="0"/>
              <w:spacing w:line="360" w:lineRule="auto"/>
              <w:ind w:firstLine="492" w:firstLineChars="200"/>
              <w:rPr>
                <w:rFonts w:hint="default" w:ascii="Times New Roman" w:hAnsi="Times New Roman" w:eastAsia="宋体" w:cs="Times New Roman"/>
                <w:color w:val="auto"/>
                <w:sz w:val="24"/>
                <w:szCs w:val="24"/>
              </w:rPr>
            </w:pPr>
            <w:r>
              <w:rPr>
                <w:rFonts w:hint="default" w:ascii="Times New Roman" w:hAnsi="Times New Roman" w:cs="Times New Roman"/>
                <w:color w:val="auto"/>
                <w:spacing w:val="3"/>
                <w:sz w:val="24"/>
                <w:szCs w:val="24"/>
                <w:lang w:val="en-US" w:eastAsia="zh-CN"/>
              </w:rPr>
              <w:t>扩建</w:t>
            </w:r>
            <w:r>
              <w:rPr>
                <w:rFonts w:hint="default" w:ascii="Times New Roman" w:hAnsi="Times New Roman" w:cs="Times New Roman"/>
                <w:color w:val="auto"/>
                <w:spacing w:val="3"/>
                <w:sz w:val="24"/>
                <w:szCs w:val="24"/>
              </w:rPr>
              <w:t>项目</w:t>
            </w:r>
            <w:r>
              <w:rPr>
                <w:rFonts w:hint="default" w:ascii="Times New Roman" w:hAnsi="Times New Roman" w:cs="Times New Roman"/>
                <w:color w:val="auto"/>
                <w:spacing w:val="3"/>
                <w:sz w:val="24"/>
                <w:szCs w:val="24"/>
                <w:lang w:val="en-US" w:eastAsia="zh-CN"/>
              </w:rPr>
              <w:t>使用</w:t>
            </w:r>
            <w:r>
              <w:rPr>
                <w:rFonts w:hint="default" w:ascii="Times New Roman" w:hAnsi="Times New Roman" w:cs="Times New Roman"/>
                <w:color w:val="auto"/>
                <w:spacing w:val="3"/>
                <w:sz w:val="24"/>
                <w:szCs w:val="24"/>
              </w:rPr>
              <w:t>化粪池对生活</w:t>
            </w:r>
            <w:r>
              <w:rPr>
                <w:rFonts w:hint="default" w:ascii="Times New Roman" w:hAnsi="Times New Roman" w:cs="Times New Roman"/>
                <w:color w:val="auto"/>
                <w:spacing w:val="3"/>
                <w:sz w:val="24"/>
                <w:szCs w:val="24"/>
                <w:lang w:val="en-US" w:eastAsia="zh-CN"/>
              </w:rPr>
              <w:t>办公</w:t>
            </w:r>
            <w:r>
              <w:rPr>
                <w:rFonts w:hint="default" w:ascii="Times New Roman" w:hAnsi="Times New Roman" w:cs="Times New Roman"/>
                <w:color w:val="auto"/>
                <w:spacing w:val="3"/>
                <w:sz w:val="24"/>
                <w:szCs w:val="24"/>
              </w:rPr>
              <w:t>污水进行处理，</w:t>
            </w:r>
            <w:r>
              <w:rPr>
                <w:rFonts w:hint="default" w:ascii="Times New Roman" w:hAnsi="Times New Roman" w:cs="Times New Roman"/>
                <w:color w:val="auto"/>
                <w:spacing w:val="3"/>
                <w:sz w:val="24"/>
                <w:szCs w:val="24"/>
                <w:lang w:val="en-US" w:eastAsia="zh-CN"/>
              </w:rPr>
              <w:t>处理达到</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污水综合排放标准</w:t>
            </w:r>
            <w:r>
              <w:rPr>
                <w:rFonts w:hint="default" w:ascii="Times New Roman" w:hAnsi="Times New Roman" w:eastAsia="宋体" w:cs="Times New Roman"/>
                <w:color w:val="auto"/>
                <w:sz w:val="24"/>
                <w:szCs w:val="24"/>
              </w:rPr>
              <w:t>》(GB</w:t>
            </w:r>
            <w:r>
              <w:rPr>
                <w:rFonts w:hint="eastAsia" w:ascii="Times New Roman" w:hAnsi="Times New Roman" w:eastAsia="宋体" w:cs="Times New Roman"/>
                <w:color w:val="auto"/>
                <w:sz w:val="24"/>
                <w:szCs w:val="24"/>
                <w:lang w:val="en-US" w:eastAsia="zh-CN"/>
              </w:rPr>
              <w:t>8978</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1996</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三级标准</w:t>
            </w:r>
            <w:r>
              <w:rPr>
                <w:rFonts w:hint="default" w:ascii="Times New Roman" w:hAnsi="Times New Roman" w:cs="Times New Roman"/>
                <w:color w:val="auto"/>
                <w:sz w:val="24"/>
                <w:szCs w:val="24"/>
                <w:lang w:val="en-US" w:eastAsia="zh-CN"/>
              </w:rPr>
              <w:t>后</w:t>
            </w:r>
            <w:r>
              <w:rPr>
                <w:rFonts w:hint="default" w:ascii="Times New Roman" w:hAnsi="Times New Roman" w:eastAsia="宋体" w:cs="Times New Roman"/>
                <w:color w:val="auto"/>
                <w:sz w:val="24"/>
                <w:szCs w:val="24"/>
              </w:rPr>
              <w:t>运至寻甸县污水处理厂处理，不外排</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pacing w:val="3"/>
                <w:sz w:val="24"/>
                <w:szCs w:val="24"/>
              </w:rPr>
              <w:t>化粪池用于去除生活污</w:t>
            </w:r>
            <w:r>
              <w:rPr>
                <w:rFonts w:hint="default" w:ascii="Times New Roman" w:hAnsi="Times New Roman" w:cs="Times New Roman"/>
                <w:color w:val="auto"/>
                <w:spacing w:val="2"/>
                <w:sz w:val="24"/>
                <w:szCs w:val="24"/>
              </w:rPr>
              <w:t>水中的悬浮</w:t>
            </w:r>
            <w:r>
              <w:rPr>
                <w:rFonts w:hint="default" w:ascii="Times New Roman" w:hAnsi="Times New Roman" w:cs="Times New Roman"/>
                <w:color w:val="auto"/>
                <w:spacing w:val="3"/>
                <w:sz w:val="24"/>
                <w:szCs w:val="24"/>
              </w:rPr>
              <w:t>物质，贮存并厌氧硝化在池底的污泥，使有机物转化为无机物。</w:t>
            </w:r>
            <w:r>
              <w:rPr>
                <w:rFonts w:hint="default" w:ascii="Times New Roman" w:hAnsi="Times New Roman" w:cs="Times New Roman"/>
                <w:color w:val="auto"/>
                <w:spacing w:val="2"/>
                <w:sz w:val="24"/>
                <w:szCs w:val="24"/>
              </w:rPr>
              <w:t>由于生活污水中</w:t>
            </w:r>
            <w:r>
              <w:rPr>
                <w:rFonts w:hint="default" w:ascii="Times New Roman" w:hAnsi="Times New Roman" w:cs="Times New Roman"/>
                <w:color w:val="auto"/>
                <w:spacing w:val="3"/>
                <w:sz w:val="24"/>
                <w:szCs w:val="24"/>
              </w:rPr>
              <w:t>含有粪便、纸屑、病原虫等，在池中经过一定时间内的沉淀</w:t>
            </w:r>
            <w:r>
              <w:rPr>
                <w:rFonts w:hint="default" w:ascii="Times New Roman" w:hAnsi="Times New Roman" w:cs="Times New Roman"/>
                <w:color w:val="auto"/>
                <w:spacing w:val="2"/>
                <w:sz w:val="24"/>
                <w:szCs w:val="24"/>
              </w:rPr>
              <w:t>后能去除，所以化粪</w:t>
            </w:r>
            <w:r>
              <w:rPr>
                <w:rFonts w:hint="default" w:ascii="Times New Roman" w:hAnsi="Times New Roman" w:cs="Times New Roman"/>
                <w:color w:val="auto"/>
                <w:spacing w:val="3"/>
                <w:sz w:val="24"/>
                <w:szCs w:val="24"/>
              </w:rPr>
              <w:t>池处理在生活污水处理中能起有效处理作用，</w:t>
            </w:r>
            <w:r>
              <w:rPr>
                <w:rFonts w:hint="default" w:ascii="Times New Roman" w:hAnsi="Times New Roman" w:eastAsia="宋体" w:cs="Times New Roman"/>
                <w:color w:val="auto"/>
                <w:kern w:val="0"/>
                <w:sz w:val="24"/>
                <w:szCs w:val="24"/>
                <w:highlight w:val="none"/>
                <w:lang w:bidi="ar"/>
              </w:rPr>
              <w:t>根据云南鼎祺检测有限公司202</w:t>
            </w:r>
            <w:r>
              <w:rPr>
                <w:rFonts w:hint="eastAsia" w:cs="Times New Roman"/>
                <w:color w:val="auto"/>
                <w:kern w:val="0"/>
                <w:sz w:val="24"/>
                <w:szCs w:val="24"/>
                <w:highlight w:val="none"/>
                <w:lang w:val="en-US" w:eastAsia="zh-CN" w:bidi="ar"/>
              </w:rPr>
              <w:t>6年4月5日-6日</w:t>
            </w:r>
            <w:r>
              <w:rPr>
                <w:rFonts w:hint="default" w:ascii="Times New Roman" w:hAnsi="Times New Roman" w:eastAsia="宋体" w:cs="Times New Roman"/>
                <w:color w:val="auto"/>
                <w:kern w:val="0"/>
                <w:sz w:val="24"/>
                <w:szCs w:val="24"/>
                <w:highlight w:val="none"/>
                <w:lang w:bidi="ar"/>
              </w:rPr>
              <w:t>《昆明优竹商贸有限公司烟花爆竹存储仓库新建项目</w:t>
            </w:r>
            <w:r>
              <w:rPr>
                <w:rFonts w:hint="eastAsia" w:cs="Times New Roman"/>
                <w:color w:val="auto"/>
                <w:kern w:val="0"/>
                <w:sz w:val="24"/>
                <w:szCs w:val="24"/>
                <w:highlight w:val="none"/>
                <w:lang w:val="en-US" w:eastAsia="zh-CN" w:bidi="ar"/>
              </w:rPr>
              <w:t>竣工验收</w:t>
            </w:r>
            <w:r>
              <w:rPr>
                <w:rFonts w:hint="default" w:ascii="Times New Roman" w:hAnsi="Times New Roman" w:eastAsia="宋体" w:cs="Times New Roman"/>
                <w:color w:val="auto"/>
                <w:kern w:val="0"/>
                <w:sz w:val="24"/>
                <w:szCs w:val="24"/>
                <w:highlight w:val="none"/>
                <w:lang w:bidi="ar"/>
              </w:rPr>
              <w:t>检测报告》</w:t>
            </w:r>
            <w:r>
              <w:rPr>
                <w:rFonts w:hint="eastAsia" w:ascii="Times New Roman" w:hAnsi="Times New Roman" w:cs="Times New Roman"/>
                <w:color w:val="auto"/>
                <w:kern w:val="0"/>
                <w:sz w:val="24"/>
                <w:szCs w:val="24"/>
                <w:highlight w:val="none"/>
                <w:lang w:eastAsia="zh-CN" w:bidi="ar"/>
              </w:rPr>
              <w:t>，</w:t>
            </w:r>
            <w:r>
              <w:rPr>
                <w:rFonts w:hint="default" w:ascii="Times New Roman" w:hAnsi="Times New Roman" w:eastAsia="宋体" w:cs="Times New Roman"/>
                <w:color w:val="auto"/>
                <w:spacing w:val="1"/>
                <w:sz w:val="24"/>
                <w:szCs w:val="24"/>
              </w:rPr>
              <w:t>则项目污水经化粪池处理后的污染物排放量情况见表4-</w:t>
            </w:r>
            <w:r>
              <w:rPr>
                <w:rFonts w:hint="eastAsia" w:cs="Times New Roman"/>
                <w:color w:val="auto"/>
                <w:spacing w:val="1"/>
                <w:sz w:val="24"/>
                <w:szCs w:val="24"/>
                <w:lang w:val="en-US" w:eastAsia="zh-CN"/>
              </w:rPr>
              <w:t>3</w:t>
            </w:r>
            <w:r>
              <w:rPr>
                <w:rFonts w:hint="default" w:ascii="Times New Roman" w:hAnsi="Times New Roman" w:eastAsia="宋体" w:cs="Times New Roman"/>
                <w:color w:val="auto"/>
                <w:spacing w:val="1"/>
                <w:sz w:val="24"/>
                <w:szCs w:val="24"/>
              </w:rPr>
              <w:t>。</w:t>
            </w:r>
          </w:p>
          <w:p w14:paraId="3424963F">
            <w:pPr>
              <w:pStyle w:val="59"/>
              <w:spacing w:before="1" w:line="220" w:lineRule="auto"/>
              <w:ind w:left="2694"/>
              <w:rPr>
                <w:color w:val="auto"/>
                <w:sz w:val="22"/>
                <w:szCs w:val="22"/>
              </w:rPr>
            </w:pPr>
            <w:r>
              <w:rPr>
                <w:b/>
                <w:bCs/>
                <w:color w:val="auto"/>
                <w:spacing w:val="-2"/>
                <w:sz w:val="22"/>
                <w:szCs w:val="22"/>
              </w:rPr>
              <w:t>表</w:t>
            </w:r>
            <w:r>
              <w:rPr>
                <w:color w:val="auto"/>
                <w:spacing w:val="-48"/>
                <w:sz w:val="22"/>
                <w:szCs w:val="22"/>
              </w:rPr>
              <w:t xml:space="preserve"> </w:t>
            </w:r>
            <w:r>
              <w:rPr>
                <w:rFonts w:ascii="Times New Roman" w:hAnsi="Times New Roman" w:eastAsia="Times New Roman" w:cs="Times New Roman"/>
                <w:b/>
                <w:bCs/>
                <w:color w:val="auto"/>
                <w:spacing w:val="-2"/>
                <w:sz w:val="22"/>
                <w:szCs w:val="22"/>
              </w:rPr>
              <w:t>4-</w:t>
            </w:r>
            <w:r>
              <w:rPr>
                <w:rFonts w:hint="eastAsia" w:ascii="Times New Roman" w:hAnsi="Times New Roman" w:cs="Times New Roman"/>
                <w:b/>
                <w:bCs/>
                <w:color w:val="auto"/>
                <w:spacing w:val="-2"/>
                <w:sz w:val="22"/>
                <w:szCs w:val="22"/>
                <w:lang w:val="en-US" w:eastAsia="zh-CN"/>
              </w:rPr>
              <w:t>3</w:t>
            </w:r>
            <w:r>
              <w:rPr>
                <w:rFonts w:ascii="Times New Roman" w:hAnsi="Times New Roman" w:eastAsia="Times New Roman" w:cs="Times New Roman"/>
                <w:b/>
                <w:bCs/>
                <w:color w:val="auto"/>
                <w:spacing w:val="-2"/>
                <w:sz w:val="22"/>
                <w:szCs w:val="22"/>
              </w:rPr>
              <w:t xml:space="preserve">  </w:t>
            </w:r>
            <w:r>
              <w:rPr>
                <w:b/>
                <w:bCs/>
                <w:color w:val="auto"/>
                <w:spacing w:val="-2"/>
                <w:sz w:val="22"/>
                <w:szCs w:val="22"/>
              </w:rPr>
              <w:t>本项目污水排放情况一览表</w:t>
            </w:r>
          </w:p>
          <w:tbl>
            <w:tblPr>
              <w:tblStyle w:val="60"/>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5"/>
              <w:gridCol w:w="920"/>
              <w:gridCol w:w="1380"/>
              <w:gridCol w:w="999"/>
              <w:gridCol w:w="788"/>
              <w:gridCol w:w="1219"/>
              <w:gridCol w:w="1219"/>
              <w:gridCol w:w="1220"/>
            </w:tblGrid>
            <w:tr w14:paraId="1CB8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 w:hRule="atLeast"/>
                <w:jc w:val="center"/>
              </w:trPr>
              <w:tc>
                <w:tcPr>
                  <w:tcW w:w="300" w:type="pct"/>
                  <w:vMerge w:val="restart"/>
                  <w:tcBorders>
                    <w:bottom w:val="nil"/>
                  </w:tcBorders>
                  <w:vAlign w:val="center"/>
                </w:tcPr>
                <w:p w14:paraId="56AAF4D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3"/>
                      <w:sz w:val="21"/>
                      <w:szCs w:val="21"/>
                    </w:rPr>
                    <w:t>产污</w:t>
                  </w:r>
                  <w:r>
                    <w:rPr>
                      <w:rFonts w:hint="default" w:ascii="Times New Roman" w:hAnsi="Times New Roman" w:cs="Times New Roman"/>
                      <w:b/>
                      <w:bCs/>
                      <w:color w:val="auto"/>
                      <w:spacing w:val="3"/>
                      <w:sz w:val="21"/>
                      <w:szCs w:val="21"/>
                    </w:rPr>
                    <w:t>环节</w:t>
                  </w:r>
                </w:p>
              </w:tc>
              <w:tc>
                <w:tcPr>
                  <w:tcW w:w="558" w:type="pct"/>
                  <w:vMerge w:val="restart"/>
                  <w:tcBorders>
                    <w:bottom w:val="nil"/>
                  </w:tcBorders>
                  <w:vAlign w:val="center"/>
                </w:tcPr>
                <w:p w14:paraId="4827E0B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cs="Times New Roman"/>
                      <w:b/>
                      <w:bCs/>
                      <w:color w:val="auto"/>
                      <w:spacing w:val="5"/>
                      <w:sz w:val="21"/>
                      <w:szCs w:val="21"/>
                    </w:rPr>
                    <w:t>废水量</w:t>
                  </w:r>
                  <w:r>
                    <w:rPr>
                      <w:rFonts w:hint="default" w:ascii="Times New Roman" w:hAnsi="Times New Roman" w:eastAsia="Times New Roman" w:cs="Times New Roman"/>
                      <w:b/>
                      <w:bCs/>
                      <w:color w:val="auto"/>
                      <w:spacing w:val="-4"/>
                      <w:w w:val="96"/>
                      <w:sz w:val="21"/>
                      <w:szCs w:val="21"/>
                    </w:rPr>
                    <w:t>m</w:t>
                  </w:r>
                  <w:r>
                    <w:rPr>
                      <w:rFonts w:hint="default" w:ascii="Times New Roman" w:hAnsi="Times New Roman" w:eastAsia="Times New Roman" w:cs="Times New Roman"/>
                      <w:b/>
                      <w:bCs/>
                      <w:color w:val="auto"/>
                      <w:spacing w:val="-4"/>
                      <w:w w:val="96"/>
                      <w:sz w:val="21"/>
                      <w:szCs w:val="21"/>
                      <w:vertAlign w:val="superscript"/>
                    </w:rPr>
                    <w:t>3</w:t>
                  </w:r>
                  <w:r>
                    <w:rPr>
                      <w:rFonts w:hint="default" w:ascii="Times New Roman" w:hAnsi="Times New Roman" w:eastAsia="Times New Roman" w:cs="Times New Roman"/>
                      <w:b/>
                      <w:bCs/>
                      <w:color w:val="auto"/>
                      <w:spacing w:val="-4"/>
                      <w:w w:val="96"/>
                      <w:sz w:val="21"/>
                      <w:szCs w:val="21"/>
                    </w:rPr>
                    <w:t>/a</w:t>
                  </w:r>
                </w:p>
              </w:tc>
              <w:tc>
                <w:tcPr>
                  <w:tcW w:w="837" w:type="pct"/>
                  <w:vMerge w:val="restart"/>
                  <w:tcBorders>
                    <w:bottom w:val="nil"/>
                  </w:tcBorders>
                  <w:vAlign w:val="center"/>
                </w:tcPr>
                <w:p w14:paraId="1F1F5E4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6"/>
                      <w:sz w:val="21"/>
                      <w:szCs w:val="21"/>
                    </w:rPr>
                    <w:t>污染物名称</w:t>
                  </w:r>
                </w:p>
              </w:tc>
              <w:tc>
                <w:tcPr>
                  <w:tcW w:w="1084" w:type="pct"/>
                  <w:gridSpan w:val="2"/>
                  <w:tcBorders>
                    <w:bottom w:val="single" w:color="auto" w:sz="4" w:space="0"/>
                  </w:tcBorders>
                  <w:vAlign w:val="center"/>
                </w:tcPr>
                <w:p w14:paraId="4390773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cs="Times New Roman"/>
                      <w:b/>
                      <w:bCs/>
                      <w:color w:val="auto"/>
                      <w:spacing w:val="6"/>
                      <w:sz w:val="21"/>
                      <w:szCs w:val="21"/>
                    </w:rPr>
                    <w:t>处理后</w:t>
                  </w:r>
                </w:p>
              </w:tc>
              <w:tc>
                <w:tcPr>
                  <w:tcW w:w="739" w:type="pct"/>
                  <w:vMerge w:val="restart"/>
                  <w:tcBorders>
                    <w:bottom w:val="nil"/>
                  </w:tcBorders>
                  <w:vAlign w:val="center"/>
                </w:tcPr>
                <w:p w14:paraId="4C4508D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bCs/>
                      <w:color w:val="auto"/>
                      <w:spacing w:val="2"/>
                      <w:sz w:val="21"/>
                      <w:szCs w:val="21"/>
                    </w:rPr>
                    <w:t>去处</w:t>
                  </w:r>
                </w:p>
              </w:tc>
              <w:tc>
                <w:tcPr>
                  <w:tcW w:w="739" w:type="pct"/>
                  <w:vMerge w:val="restart"/>
                  <w:vAlign w:val="center"/>
                </w:tcPr>
                <w:p w14:paraId="390BE48F">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r>
                    <w:rPr>
                      <w:rFonts w:hint="default" w:ascii="Times New Roman" w:hAnsi="Times New Roman" w:cs="Times New Roman"/>
                      <w:b/>
                      <w:bCs/>
                      <w:color w:val="auto"/>
                      <w:kern w:val="0"/>
                      <w:sz w:val="21"/>
                      <w:szCs w:val="21"/>
                      <w:lang w:bidi="ar"/>
                    </w:rPr>
                    <w:t>排放标准mg/l</w:t>
                  </w:r>
                </w:p>
              </w:tc>
              <w:tc>
                <w:tcPr>
                  <w:tcW w:w="740" w:type="pct"/>
                  <w:vMerge w:val="restart"/>
                  <w:vAlign w:val="center"/>
                </w:tcPr>
                <w:p w14:paraId="5A6B4414">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r>
                    <w:rPr>
                      <w:rFonts w:hint="default" w:ascii="Times New Roman" w:hAnsi="Times New Roman" w:cs="Times New Roman"/>
                      <w:b/>
                      <w:bCs/>
                      <w:color w:val="auto"/>
                      <w:kern w:val="0"/>
                      <w:sz w:val="21"/>
                      <w:szCs w:val="21"/>
                      <w:lang w:bidi="ar"/>
                    </w:rPr>
                    <w:t>达标情况</w:t>
                  </w:r>
                </w:p>
              </w:tc>
            </w:tr>
            <w:tr w14:paraId="690FD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jc w:val="center"/>
              </w:trPr>
              <w:tc>
                <w:tcPr>
                  <w:tcW w:w="300" w:type="pct"/>
                  <w:vMerge w:val="continue"/>
                  <w:tcBorders>
                    <w:top w:val="nil"/>
                  </w:tcBorders>
                  <w:vAlign w:val="center"/>
                </w:tcPr>
                <w:p w14:paraId="4DE4BA0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p>
              </w:tc>
              <w:tc>
                <w:tcPr>
                  <w:tcW w:w="558" w:type="pct"/>
                  <w:vMerge w:val="continue"/>
                  <w:tcBorders>
                    <w:top w:val="nil"/>
                  </w:tcBorders>
                  <w:vAlign w:val="center"/>
                </w:tcPr>
                <w:p w14:paraId="65B34FA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p>
              </w:tc>
              <w:tc>
                <w:tcPr>
                  <w:tcW w:w="837" w:type="pct"/>
                  <w:vMerge w:val="continue"/>
                  <w:tcBorders>
                    <w:top w:val="nil"/>
                  </w:tcBorders>
                  <w:vAlign w:val="center"/>
                </w:tcPr>
                <w:p w14:paraId="324639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p>
              </w:tc>
              <w:tc>
                <w:tcPr>
                  <w:tcW w:w="606" w:type="pct"/>
                  <w:tcBorders>
                    <w:top w:val="single" w:color="auto" w:sz="4" w:space="0"/>
                    <w:right w:val="single" w:color="auto" w:sz="4" w:space="0"/>
                  </w:tcBorders>
                  <w:vAlign w:val="center"/>
                </w:tcPr>
                <w:p w14:paraId="50688786">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2"/>
                      <w:sz w:val="21"/>
                      <w:szCs w:val="21"/>
                    </w:rPr>
                    <w:t>浓度</w:t>
                  </w:r>
                  <w:r>
                    <w:rPr>
                      <w:rFonts w:hint="default" w:ascii="Times New Roman" w:hAnsi="Times New Roman" w:eastAsia="Times New Roman" w:cs="Times New Roman"/>
                      <w:b/>
                      <w:bCs/>
                      <w:color w:val="auto"/>
                      <w:sz w:val="21"/>
                      <w:szCs w:val="21"/>
                    </w:rPr>
                    <w:t>mg</w:t>
                  </w:r>
                  <w:r>
                    <w:rPr>
                      <w:rFonts w:hint="default" w:ascii="Times New Roman" w:hAnsi="Times New Roman" w:eastAsia="Times New Roman" w:cs="Times New Roman"/>
                      <w:b/>
                      <w:bCs/>
                      <w:color w:val="auto"/>
                      <w:spacing w:val="5"/>
                      <w:sz w:val="21"/>
                      <w:szCs w:val="21"/>
                    </w:rPr>
                    <w:t>/L</w:t>
                  </w:r>
                </w:p>
              </w:tc>
              <w:tc>
                <w:tcPr>
                  <w:tcW w:w="477" w:type="pct"/>
                  <w:tcBorders>
                    <w:top w:val="single" w:color="auto" w:sz="4" w:space="0"/>
                    <w:left w:val="single" w:color="auto" w:sz="4" w:space="0"/>
                  </w:tcBorders>
                  <w:vAlign w:val="center"/>
                </w:tcPr>
                <w:p w14:paraId="4A7043C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4"/>
                      <w:sz w:val="21"/>
                      <w:szCs w:val="21"/>
                    </w:rPr>
                    <w:t>产生量</w:t>
                  </w:r>
                </w:p>
                <w:p w14:paraId="20F4E922">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cs="Times New Roman"/>
                      <w:b/>
                      <w:bCs/>
                      <w:color w:val="auto"/>
                      <w:sz w:val="21"/>
                      <w:szCs w:val="21"/>
                    </w:rPr>
                  </w:pPr>
                  <w:r>
                    <w:rPr>
                      <w:rFonts w:hint="default" w:ascii="Times New Roman" w:hAnsi="Times New Roman" w:eastAsia="Times New Roman" w:cs="Times New Roman"/>
                      <w:b/>
                      <w:bCs/>
                      <w:color w:val="auto"/>
                      <w:spacing w:val="1"/>
                      <w:sz w:val="21"/>
                      <w:szCs w:val="21"/>
                    </w:rPr>
                    <w:t>t/a</w:t>
                  </w:r>
                </w:p>
              </w:tc>
              <w:tc>
                <w:tcPr>
                  <w:tcW w:w="739" w:type="pct"/>
                  <w:vMerge w:val="continue"/>
                  <w:tcBorders>
                    <w:top w:val="nil"/>
                  </w:tcBorders>
                  <w:vAlign w:val="top"/>
                </w:tcPr>
                <w:p w14:paraId="372F18D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p>
              </w:tc>
              <w:tc>
                <w:tcPr>
                  <w:tcW w:w="739" w:type="pct"/>
                  <w:vMerge w:val="continue"/>
                  <w:vAlign w:val="center"/>
                </w:tcPr>
                <w:p w14:paraId="10355D66">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p>
              </w:tc>
              <w:tc>
                <w:tcPr>
                  <w:tcW w:w="740" w:type="pct"/>
                  <w:vMerge w:val="continue"/>
                  <w:vAlign w:val="center"/>
                </w:tcPr>
                <w:p w14:paraId="25AA392B">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p>
              </w:tc>
            </w:tr>
            <w:tr w14:paraId="77FB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300" w:type="pct"/>
                  <w:vMerge w:val="restart"/>
                  <w:tcBorders>
                    <w:bottom w:val="nil"/>
                  </w:tcBorders>
                  <w:vAlign w:val="center"/>
                </w:tcPr>
                <w:p w14:paraId="1F09288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pacing w:val="3"/>
                      <w:sz w:val="21"/>
                      <w:szCs w:val="21"/>
                      <w:highlight w:val="none"/>
                    </w:rPr>
                    <w:t>生活污水</w:t>
                  </w:r>
                </w:p>
              </w:tc>
              <w:tc>
                <w:tcPr>
                  <w:tcW w:w="558" w:type="pct"/>
                  <w:vMerge w:val="restart"/>
                  <w:tcBorders>
                    <w:bottom w:val="nil"/>
                  </w:tcBorders>
                  <w:vAlign w:val="center"/>
                </w:tcPr>
                <w:p w14:paraId="274010D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pacing w:val="2"/>
                      <w:position w:val="2"/>
                      <w:sz w:val="21"/>
                      <w:szCs w:val="21"/>
                      <w:highlight w:val="none"/>
                      <w:lang w:val="en-US" w:eastAsia="zh-CN"/>
                    </w:rPr>
                    <w:t>362</w:t>
                  </w:r>
                </w:p>
              </w:tc>
              <w:tc>
                <w:tcPr>
                  <w:tcW w:w="837" w:type="pct"/>
                  <w:vAlign w:val="center"/>
                </w:tcPr>
                <w:p w14:paraId="575953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b w:val="0"/>
                      <w:bCs w:val="0"/>
                      <w:color w:val="auto"/>
                      <w:sz w:val="21"/>
                      <w:szCs w:val="21"/>
                      <w:highlight w:val="none"/>
                    </w:rPr>
                  </w:pPr>
                  <w:r>
                    <w:rPr>
                      <w:rFonts w:hint="default" w:ascii="Times New Roman" w:hAnsi="Times New Roman" w:eastAsia="Times New Roman" w:cs="Times New Roman"/>
                      <w:b w:val="0"/>
                      <w:bCs w:val="0"/>
                      <w:color w:val="auto"/>
                      <w:spacing w:val="3"/>
                      <w:sz w:val="21"/>
                      <w:szCs w:val="21"/>
                      <w:highlight w:val="none"/>
                    </w:rPr>
                    <w:t>COD</w:t>
                  </w:r>
                </w:p>
              </w:tc>
              <w:tc>
                <w:tcPr>
                  <w:tcW w:w="606" w:type="pct"/>
                  <w:tcBorders>
                    <w:right w:val="single" w:color="auto" w:sz="4" w:space="0"/>
                  </w:tcBorders>
                  <w:vAlign w:val="center"/>
                </w:tcPr>
                <w:p w14:paraId="52D1BA7F">
                  <w:pPr>
                    <w:keepNext w:val="0"/>
                    <w:keepLines w:val="0"/>
                    <w:widowControl/>
                    <w:suppressLineNumbers w:val="0"/>
                    <w:jc w:val="center"/>
                    <w:textAlignment w:val="center"/>
                    <w:rPr>
                      <w:rFonts w:hint="default" w:ascii="Times New Roman" w:hAnsi="Times New Roman" w:eastAsia="Times New Roman" w:cs="Times New Roman"/>
                      <w:b w:val="0"/>
                      <w:bCs w:val="0"/>
                      <w:color w:val="auto"/>
                      <w:sz w:val="21"/>
                      <w:szCs w:val="21"/>
                      <w:highlight w:val="none"/>
                    </w:rPr>
                  </w:pPr>
                  <w:r>
                    <w:rPr>
                      <w:rFonts w:hint="eastAsia" w:cs="Times New Roman"/>
                      <w:i w:val="0"/>
                      <w:iCs w:val="0"/>
                      <w:color w:val="auto"/>
                      <w:kern w:val="0"/>
                      <w:sz w:val="21"/>
                      <w:szCs w:val="21"/>
                      <w:u w:val="none"/>
                      <w:lang w:val="en-US" w:eastAsia="zh-CN" w:bidi="ar"/>
                    </w:rPr>
                    <w:t>446</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88" w:type="dxa"/>
                  <w:tcBorders>
                    <w:left w:val="single" w:color="auto" w:sz="4" w:space="0"/>
                  </w:tcBorders>
                  <w:vAlign w:val="center"/>
                </w:tcPr>
                <w:p w14:paraId="69F67341">
                  <w:pPr>
                    <w:keepNext w:val="0"/>
                    <w:keepLines w:val="0"/>
                    <w:widowControl/>
                    <w:suppressLineNumbers w:val="0"/>
                    <w:jc w:val="center"/>
                    <w:textAlignment w:val="center"/>
                    <w:rPr>
                      <w:rFonts w:hint="default" w:ascii="Times New Roman" w:hAnsi="Times New Roman" w:eastAsia="宋体" w:cs="Times New Roman"/>
                      <w:b w:val="0"/>
                      <w:bCs w:val="0"/>
                      <w:color w:val="auto"/>
                      <w:spacing w:val="-3"/>
                      <w:position w:val="2"/>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0.1615</w:t>
                  </w:r>
                </w:p>
              </w:tc>
              <w:tc>
                <w:tcPr>
                  <w:tcW w:w="739" w:type="pct"/>
                  <w:vMerge w:val="restart"/>
                  <w:tcBorders>
                    <w:bottom w:val="nil"/>
                  </w:tcBorders>
                  <w:vAlign w:val="top"/>
                </w:tcPr>
                <w:p w14:paraId="408DB3C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委托寻甸县环卫部门</w:t>
                  </w:r>
                  <w:r>
                    <w:rPr>
                      <w:rFonts w:hint="default" w:ascii="Times New Roman" w:hAnsi="Times New Roman" w:cs="Times New Roman"/>
                      <w:b w:val="0"/>
                      <w:bCs w:val="0"/>
                      <w:color w:val="auto"/>
                      <w:sz w:val="21"/>
                      <w:szCs w:val="21"/>
                      <w:lang w:val="en-US" w:eastAsia="zh-CN"/>
                    </w:rPr>
                    <w:t>15天</w:t>
                  </w:r>
                  <w:r>
                    <w:rPr>
                      <w:rFonts w:hint="default" w:ascii="Times New Roman" w:hAnsi="Times New Roman" w:cs="Times New Roman"/>
                      <w:b w:val="0"/>
                      <w:bCs w:val="0"/>
                      <w:color w:val="auto"/>
                      <w:sz w:val="21"/>
                      <w:szCs w:val="21"/>
                    </w:rPr>
                    <w:t>抽运一次，运至寻甸县污水处理厂处理，不外排。</w:t>
                  </w:r>
                </w:p>
              </w:tc>
              <w:tc>
                <w:tcPr>
                  <w:tcW w:w="739" w:type="pct"/>
                  <w:tcBorders>
                    <w:bottom w:val="nil"/>
                  </w:tcBorders>
                  <w:vAlign w:val="center"/>
                </w:tcPr>
                <w:p w14:paraId="34537BDA">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kern w:val="0"/>
                      <w:sz w:val="21"/>
                      <w:szCs w:val="21"/>
                      <w:lang w:bidi="ar"/>
                    </w:rPr>
                    <w:t>500</w:t>
                  </w:r>
                </w:p>
              </w:tc>
              <w:tc>
                <w:tcPr>
                  <w:tcW w:w="740" w:type="pct"/>
                  <w:tcBorders>
                    <w:bottom w:val="nil"/>
                  </w:tcBorders>
                  <w:vAlign w:val="top"/>
                </w:tcPr>
                <w:p w14:paraId="7B0950F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达标</w:t>
                  </w:r>
                </w:p>
              </w:tc>
            </w:tr>
            <w:tr w14:paraId="0432E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300" w:type="pct"/>
                  <w:vMerge w:val="continue"/>
                  <w:vAlign w:val="center"/>
                </w:tcPr>
                <w:p w14:paraId="425101C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pacing w:val="3"/>
                      <w:sz w:val="21"/>
                      <w:szCs w:val="21"/>
                      <w:highlight w:val="none"/>
                    </w:rPr>
                  </w:pPr>
                </w:p>
              </w:tc>
              <w:tc>
                <w:tcPr>
                  <w:tcW w:w="558" w:type="pct"/>
                  <w:vMerge w:val="continue"/>
                  <w:vAlign w:val="center"/>
                </w:tcPr>
                <w:p w14:paraId="4C6EA08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pacing w:val="2"/>
                      <w:position w:val="2"/>
                      <w:sz w:val="21"/>
                      <w:szCs w:val="21"/>
                      <w:highlight w:val="none"/>
                      <w:lang w:val="en-US" w:eastAsia="zh-CN"/>
                    </w:rPr>
                  </w:pPr>
                </w:p>
              </w:tc>
              <w:tc>
                <w:tcPr>
                  <w:tcW w:w="837" w:type="pct"/>
                  <w:vAlign w:val="center"/>
                </w:tcPr>
                <w:p w14:paraId="0BA02F9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pacing w:val="3"/>
                      <w:sz w:val="21"/>
                      <w:szCs w:val="21"/>
                      <w:highlight w:val="none"/>
                      <w:lang w:val="en-US" w:eastAsia="zh-CN"/>
                    </w:rPr>
                  </w:pPr>
                  <w:r>
                    <w:rPr>
                      <w:rFonts w:hint="eastAsia" w:eastAsia="宋体" w:cs="Times New Roman"/>
                      <w:b w:val="0"/>
                      <w:bCs w:val="0"/>
                      <w:color w:val="auto"/>
                      <w:spacing w:val="3"/>
                      <w:sz w:val="21"/>
                      <w:szCs w:val="21"/>
                      <w:highlight w:val="none"/>
                      <w:lang w:val="en-US" w:eastAsia="zh-CN"/>
                    </w:rPr>
                    <w:t>SS</w:t>
                  </w:r>
                </w:p>
              </w:tc>
              <w:tc>
                <w:tcPr>
                  <w:tcW w:w="606" w:type="pct"/>
                  <w:tcBorders>
                    <w:right w:val="single" w:color="auto" w:sz="4" w:space="0"/>
                  </w:tcBorders>
                  <w:vAlign w:val="center"/>
                </w:tcPr>
                <w:p w14:paraId="21F096B5">
                  <w:pPr>
                    <w:keepNext w:val="0"/>
                    <w:keepLines w:val="0"/>
                    <w:widowControl/>
                    <w:suppressLineNumbers w:val="0"/>
                    <w:jc w:val="center"/>
                    <w:textAlignment w:val="center"/>
                    <w:rPr>
                      <w:rFonts w:hint="default" w:ascii="Times New Roman" w:hAnsi="Times New Roman" w:eastAsia="Times New Roman" w:cs="Times New Roman"/>
                      <w:b w:val="0"/>
                      <w:bCs w:val="0"/>
                      <w:color w:val="auto"/>
                      <w:spacing w:val="-3"/>
                      <w:position w:val="2"/>
                      <w:sz w:val="21"/>
                      <w:szCs w:val="21"/>
                      <w:highlight w:val="none"/>
                    </w:rPr>
                  </w:pPr>
                  <w:r>
                    <w:rPr>
                      <w:rFonts w:hint="eastAsia" w:cs="Times New Roman"/>
                      <w:i w:val="0"/>
                      <w:iCs w:val="0"/>
                      <w:color w:val="auto"/>
                      <w:kern w:val="0"/>
                      <w:sz w:val="21"/>
                      <w:szCs w:val="21"/>
                      <w:u w:val="none"/>
                      <w:lang w:val="en-US" w:eastAsia="zh-CN" w:bidi="ar"/>
                    </w:rPr>
                    <w:t>215</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88" w:type="dxa"/>
                  <w:tcBorders>
                    <w:left w:val="single" w:color="auto" w:sz="4" w:space="0"/>
                  </w:tcBorders>
                  <w:vAlign w:val="center"/>
                </w:tcPr>
                <w:p w14:paraId="10A0E0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0.0778</w:t>
                  </w:r>
                </w:p>
              </w:tc>
              <w:tc>
                <w:tcPr>
                  <w:tcW w:w="739" w:type="pct"/>
                  <w:vMerge w:val="continue"/>
                  <w:vAlign w:val="top"/>
                </w:tcPr>
                <w:p w14:paraId="788D052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p>
              </w:tc>
              <w:tc>
                <w:tcPr>
                  <w:tcW w:w="739" w:type="pct"/>
                  <w:tcBorders>
                    <w:bottom w:val="single" w:color="000000" w:sz="2" w:space="0"/>
                  </w:tcBorders>
                  <w:vAlign w:val="center"/>
                </w:tcPr>
                <w:p w14:paraId="362FF29C">
                  <w:pPr>
                    <w:pageBreakBefore w:val="0"/>
                    <w:widowControl/>
                    <w:kinsoku/>
                    <w:overflowPunct/>
                    <w:topLinePunct w:val="0"/>
                    <w:bidi w:val="0"/>
                    <w:jc w:val="center"/>
                    <w:textAlignment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kern w:val="0"/>
                      <w:sz w:val="21"/>
                      <w:szCs w:val="21"/>
                      <w:lang w:bidi="ar"/>
                    </w:rPr>
                    <w:t>400</w:t>
                  </w:r>
                </w:p>
              </w:tc>
              <w:tc>
                <w:tcPr>
                  <w:tcW w:w="740" w:type="pct"/>
                  <w:tcBorders>
                    <w:bottom w:val="single" w:color="000000" w:sz="2" w:space="0"/>
                  </w:tcBorders>
                  <w:vAlign w:val="top"/>
                </w:tcPr>
                <w:p w14:paraId="7160D27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达标</w:t>
                  </w:r>
                </w:p>
              </w:tc>
            </w:tr>
            <w:tr w14:paraId="61CA7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300" w:type="pct"/>
                  <w:vMerge w:val="continue"/>
                  <w:tcBorders>
                    <w:top w:val="nil"/>
                    <w:bottom w:val="nil"/>
                  </w:tcBorders>
                  <w:vAlign w:val="center"/>
                </w:tcPr>
                <w:p w14:paraId="31C9E0F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558" w:type="pct"/>
                  <w:vMerge w:val="continue"/>
                  <w:tcBorders>
                    <w:top w:val="nil"/>
                    <w:bottom w:val="nil"/>
                  </w:tcBorders>
                  <w:vAlign w:val="center"/>
                </w:tcPr>
                <w:p w14:paraId="18D454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837" w:type="pct"/>
                  <w:vAlign w:val="center"/>
                </w:tcPr>
                <w:p w14:paraId="39377E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pacing w:val="5"/>
                      <w:sz w:val="21"/>
                      <w:szCs w:val="21"/>
                      <w:highlight w:val="none"/>
                      <w:lang w:val="en-US" w:eastAsia="zh-CN"/>
                    </w:rPr>
                    <w:t>TN</w:t>
                  </w:r>
                </w:p>
              </w:tc>
              <w:tc>
                <w:tcPr>
                  <w:tcW w:w="606" w:type="pct"/>
                  <w:tcBorders>
                    <w:right w:val="single" w:color="auto" w:sz="4" w:space="0"/>
                  </w:tcBorders>
                  <w:vAlign w:val="center"/>
                </w:tcPr>
                <w:p w14:paraId="1D052342">
                  <w:pPr>
                    <w:keepNext w:val="0"/>
                    <w:keepLines w:val="0"/>
                    <w:widowControl/>
                    <w:suppressLineNumbers w:val="0"/>
                    <w:jc w:val="center"/>
                    <w:textAlignment w:val="center"/>
                    <w:rPr>
                      <w:rFonts w:hint="default" w:ascii="Times New Roman" w:hAnsi="Times New Roman" w:eastAsia="Times New Roman" w:cs="Times New Roman"/>
                      <w:b w:val="0"/>
                      <w:bCs w:val="0"/>
                      <w:color w:val="auto"/>
                      <w:sz w:val="21"/>
                      <w:szCs w:val="21"/>
                      <w:highlight w:val="none"/>
                      <w:lang w:val="en-US"/>
                    </w:rPr>
                  </w:pPr>
                  <w:r>
                    <w:rPr>
                      <w:rFonts w:hint="eastAsia" w:cs="Times New Roman"/>
                      <w:i w:val="0"/>
                      <w:iCs w:val="0"/>
                      <w:color w:val="auto"/>
                      <w:kern w:val="0"/>
                      <w:sz w:val="21"/>
                      <w:szCs w:val="21"/>
                      <w:u w:val="none"/>
                      <w:lang w:val="en-US" w:eastAsia="zh-CN" w:bidi="ar"/>
                    </w:rPr>
                    <w:t>63.8</w:t>
                  </w:r>
                </w:p>
              </w:tc>
              <w:tc>
                <w:tcPr>
                  <w:tcW w:w="788" w:type="dxa"/>
                  <w:tcBorders>
                    <w:left w:val="single" w:color="auto" w:sz="4" w:space="0"/>
                  </w:tcBorders>
                  <w:vAlign w:val="center"/>
                </w:tcPr>
                <w:p w14:paraId="084ABD61">
                  <w:pPr>
                    <w:keepNext w:val="0"/>
                    <w:keepLines w:val="0"/>
                    <w:widowControl/>
                    <w:suppressLineNumbers w:val="0"/>
                    <w:jc w:val="center"/>
                    <w:textAlignment w:val="center"/>
                    <w:rPr>
                      <w:rFonts w:hint="default" w:ascii="Times New Roman" w:hAnsi="Times New Roman" w:eastAsia="宋体" w:cs="Times New Roman"/>
                      <w:b w:val="0"/>
                      <w:bCs w:val="0"/>
                      <w:color w:val="auto"/>
                      <w:spacing w:val="1"/>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0.0231</w:t>
                  </w:r>
                </w:p>
              </w:tc>
              <w:tc>
                <w:tcPr>
                  <w:tcW w:w="739" w:type="pct"/>
                  <w:vMerge w:val="continue"/>
                  <w:tcBorders>
                    <w:top w:val="nil"/>
                    <w:bottom w:val="nil"/>
                  </w:tcBorders>
                  <w:vAlign w:val="top"/>
                </w:tcPr>
                <w:p w14:paraId="43D4439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p>
              </w:tc>
              <w:tc>
                <w:tcPr>
                  <w:tcW w:w="739" w:type="pct"/>
                  <w:tcBorders>
                    <w:top w:val="single" w:color="000000" w:sz="2" w:space="0"/>
                    <w:bottom w:val="single" w:color="000000" w:sz="2" w:space="0"/>
                  </w:tcBorders>
                  <w:vAlign w:val="top"/>
                </w:tcPr>
                <w:p w14:paraId="340618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740" w:type="pct"/>
                  <w:tcBorders>
                    <w:top w:val="single" w:color="000000" w:sz="2" w:space="0"/>
                    <w:bottom w:val="single" w:color="000000" w:sz="2" w:space="0"/>
                  </w:tcBorders>
                  <w:vAlign w:val="top"/>
                </w:tcPr>
                <w:p w14:paraId="0046642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达标</w:t>
                  </w:r>
                </w:p>
              </w:tc>
            </w:tr>
            <w:tr w14:paraId="716BA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300" w:type="pct"/>
                  <w:vMerge w:val="continue"/>
                  <w:tcBorders>
                    <w:top w:val="nil"/>
                    <w:bottom w:val="nil"/>
                  </w:tcBorders>
                  <w:vAlign w:val="center"/>
                </w:tcPr>
                <w:p w14:paraId="30EEDBE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558" w:type="pct"/>
                  <w:vMerge w:val="continue"/>
                  <w:tcBorders>
                    <w:top w:val="nil"/>
                    <w:bottom w:val="nil"/>
                  </w:tcBorders>
                  <w:vAlign w:val="center"/>
                </w:tcPr>
                <w:p w14:paraId="795C9F1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837" w:type="pct"/>
                  <w:vAlign w:val="center"/>
                </w:tcPr>
                <w:p w14:paraId="173574D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pacing w:val="-3"/>
                      <w:sz w:val="21"/>
                      <w:szCs w:val="21"/>
                      <w:highlight w:val="none"/>
                      <w:lang w:val="en-US" w:eastAsia="zh-CN"/>
                    </w:rPr>
                    <w:t>TP</w:t>
                  </w:r>
                </w:p>
              </w:tc>
              <w:tc>
                <w:tcPr>
                  <w:tcW w:w="606" w:type="pct"/>
                  <w:tcBorders>
                    <w:right w:val="single" w:color="auto" w:sz="4" w:space="0"/>
                  </w:tcBorders>
                  <w:vAlign w:val="center"/>
                </w:tcPr>
                <w:p w14:paraId="5D414D65">
                  <w:pPr>
                    <w:keepNext w:val="0"/>
                    <w:keepLines w:val="0"/>
                    <w:widowControl/>
                    <w:suppressLineNumbers w:val="0"/>
                    <w:jc w:val="center"/>
                    <w:textAlignment w:val="center"/>
                    <w:rPr>
                      <w:rFonts w:hint="default" w:ascii="Times New Roman" w:hAnsi="Times New Roman" w:eastAsia="Times New Roman" w:cs="Times New Roman"/>
                      <w:b w:val="0"/>
                      <w:bCs w:val="0"/>
                      <w:color w:val="auto"/>
                      <w:sz w:val="21"/>
                      <w:szCs w:val="21"/>
                      <w:highlight w:val="none"/>
                      <w:lang w:val="en-US"/>
                    </w:rPr>
                  </w:pPr>
                  <w:r>
                    <w:rPr>
                      <w:rFonts w:hint="eastAsia" w:cs="Times New Roman"/>
                      <w:i w:val="0"/>
                      <w:iCs w:val="0"/>
                      <w:color w:val="auto"/>
                      <w:kern w:val="0"/>
                      <w:sz w:val="21"/>
                      <w:szCs w:val="21"/>
                      <w:u w:val="none"/>
                      <w:lang w:val="en-US" w:eastAsia="zh-CN" w:bidi="ar"/>
                    </w:rPr>
                    <w:t>7.81</w:t>
                  </w:r>
                </w:p>
              </w:tc>
              <w:tc>
                <w:tcPr>
                  <w:tcW w:w="788" w:type="dxa"/>
                  <w:tcBorders>
                    <w:left w:val="single" w:color="auto" w:sz="4" w:space="0"/>
                  </w:tcBorders>
                  <w:vAlign w:val="center"/>
                </w:tcPr>
                <w:p w14:paraId="5A77AEBD">
                  <w:pPr>
                    <w:keepNext w:val="0"/>
                    <w:keepLines w:val="0"/>
                    <w:widowControl/>
                    <w:suppressLineNumbers w:val="0"/>
                    <w:jc w:val="center"/>
                    <w:textAlignment w:val="center"/>
                    <w:rPr>
                      <w:rFonts w:hint="default" w:ascii="Times New Roman" w:hAnsi="Times New Roman" w:eastAsia="宋体" w:cs="Times New Roman"/>
                      <w:b w:val="0"/>
                      <w:bCs w:val="0"/>
                      <w:color w:val="auto"/>
                      <w:spacing w:val="1"/>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0.0028</w:t>
                  </w:r>
                </w:p>
              </w:tc>
              <w:tc>
                <w:tcPr>
                  <w:tcW w:w="739" w:type="pct"/>
                  <w:vMerge w:val="continue"/>
                  <w:tcBorders>
                    <w:top w:val="nil"/>
                    <w:bottom w:val="nil"/>
                  </w:tcBorders>
                  <w:vAlign w:val="top"/>
                </w:tcPr>
                <w:p w14:paraId="72ADA71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p>
              </w:tc>
              <w:tc>
                <w:tcPr>
                  <w:tcW w:w="739" w:type="pct"/>
                  <w:tcBorders>
                    <w:top w:val="single" w:color="000000" w:sz="2" w:space="0"/>
                    <w:bottom w:val="single" w:color="000000" w:sz="2" w:space="0"/>
                  </w:tcBorders>
                  <w:vAlign w:val="top"/>
                </w:tcPr>
                <w:p w14:paraId="160336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740" w:type="pct"/>
                  <w:tcBorders>
                    <w:top w:val="single" w:color="000000" w:sz="2" w:space="0"/>
                    <w:bottom w:val="single" w:color="000000" w:sz="2" w:space="0"/>
                  </w:tcBorders>
                  <w:vAlign w:val="top"/>
                </w:tcPr>
                <w:p w14:paraId="3F3D25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达标</w:t>
                  </w:r>
                </w:p>
              </w:tc>
            </w:tr>
            <w:tr w14:paraId="71A9B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jc w:val="center"/>
              </w:trPr>
              <w:tc>
                <w:tcPr>
                  <w:tcW w:w="300" w:type="pct"/>
                  <w:vMerge w:val="continue"/>
                  <w:tcBorders>
                    <w:top w:val="nil"/>
                  </w:tcBorders>
                  <w:vAlign w:val="center"/>
                </w:tcPr>
                <w:p w14:paraId="0FE780E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558" w:type="pct"/>
                  <w:vMerge w:val="continue"/>
                  <w:tcBorders>
                    <w:top w:val="nil"/>
                  </w:tcBorders>
                  <w:vAlign w:val="center"/>
                </w:tcPr>
                <w:p w14:paraId="26F5AF7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highlight w:val="none"/>
                    </w:rPr>
                  </w:pPr>
                </w:p>
              </w:tc>
              <w:tc>
                <w:tcPr>
                  <w:tcW w:w="837" w:type="pct"/>
                  <w:vAlign w:val="center"/>
                </w:tcPr>
                <w:p w14:paraId="052597A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b w:val="0"/>
                      <w:bCs w:val="0"/>
                      <w:color w:val="auto"/>
                      <w:sz w:val="21"/>
                      <w:szCs w:val="21"/>
                      <w:highlight w:val="none"/>
                    </w:rPr>
                  </w:pPr>
                  <w:r>
                    <w:rPr>
                      <w:rFonts w:hint="default" w:ascii="Times New Roman" w:hAnsi="Times New Roman" w:eastAsia="Times New Roman" w:cs="Times New Roman"/>
                      <w:b w:val="0"/>
                      <w:bCs w:val="0"/>
                      <w:color w:val="auto"/>
                      <w:sz w:val="21"/>
                      <w:szCs w:val="21"/>
                      <w:highlight w:val="none"/>
                    </w:rPr>
                    <w:t>NH</w:t>
                  </w:r>
                  <w:r>
                    <w:rPr>
                      <w:rFonts w:hint="default" w:ascii="Times New Roman" w:hAnsi="Times New Roman" w:eastAsia="Times New Roman" w:cs="Times New Roman"/>
                      <w:b w:val="0"/>
                      <w:bCs w:val="0"/>
                      <w:color w:val="auto"/>
                      <w:spacing w:val="9"/>
                      <w:position w:val="-1"/>
                      <w:sz w:val="21"/>
                      <w:szCs w:val="21"/>
                      <w:highlight w:val="none"/>
                    </w:rPr>
                    <w:t>3-</w:t>
                  </w:r>
                  <w:r>
                    <w:rPr>
                      <w:rFonts w:hint="default" w:ascii="Times New Roman" w:hAnsi="Times New Roman" w:eastAsia="Times New Roman" w:cs="Times New Roman"/>
                      <w:b w:val="0"/>
                      <w:bCs w:val="0"/>
                      <w:color w:val="auto"/>
                      <w:spacing w:val="9"/>
                      <w:sz w:val="21"/>
                      <w:szCs w:val="21"/>
                      <w:highlight w:val="none"/>
                    </w:rPr>
                    <w:t>N</w:t>
                  </w:r>
                </w:p>
              </w:tc>
              <w:tc>
                <w:tcPr>
                  <w:tcW w:w="606" w:type="pct"/>
                  <w:tcBorders>
                    <w:right w:val="single" w:color="auto" w:sz="4" w:space="0"/>
                  </w:tcBorders>
                  <w:vAlign w:val="center"/>
                </w:tcPr>
                <w:p w14:paraId="371F13ED">
                  <w:pPr>
                    <w:keepNext w:val="0"/>
                    <w:keepLines w:val="0"/>
                    <w:widowControl/>
                    <w:suppressLineNumbers w:val="0"/>
                    <w:jc w:val="center"/>
                    <w:textAlignment w:val="center"/>
                    <w:rPr>
                      <w:rFonts w:hint="default" w:ascii="Times New Roman" w:hAnsi="Times New Roman" w:eastAsia="Times New Roman" w:cs="Times New Roman"/>
                      <w:b w:val="0"/>
                      <w:bCs w:val="0"/>
                      <w:color w:val="auto"/>
                      <w:sz w:val="21"/>
                      <w:szCs w:val="21"/>
                      <w:highlight w:val="none"/>
                    </w:rPr>
                  </w:pPr>
                  <w:r>
                    <w:rPr>
                      <w:rFonts w:hint="eastAsia" w:cs="Times New Roman"/>
                      <w:i w:val="0"/>
                      <w:iCs w:val="0"/>
                      <w:color w:val="auto"/>
                      <w:kern w:val="0"/>
                      <w:sz w:val="21"/>
                      <w:szCs w:val="21"/>
                      <w:u w:val="none"/>
                      <w:lang w:val="en-US" w:eastAsia="zh-CN" w:bidi="ar"/>
                    </w:rPr>
                    <w:t>38.2</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88" w:type="dxa"/>
                  <w:tcBorders>
                    <w:left w:val="single" w:color="auto" w:sz="4" w:space="0"/>
                  </w:tcBorders>
                  <w:vAlign w:val="center"/>
                </w:tcPr>
                <w:p w14:paraId="0C89A7EE">
                  <w:pPr>
                    <w:keepNext w:val="0"/>
                    <w:keepLines w:val="0"/>
                    <w:widowControl/>
                    <w:suppressLineNumbers w:val="0"/>
                    <w:jc w:val="center"/>
                    <w:textAlignment w:val="center"/>
                    <w:rPr>
                      <w:rFonts w:hint="default" w:ascii="Times New Roman" w:hAnsi="Times New Roman" w:eastAsia="宋体" w:cs="Times New Roman"/>
                      <w:b w:val="0"/>
                      <w:bCs w:val="0"/>
                      <w:color w:val="auto"/>
                      <w:spacing w:val="2"/>
                      <w:position w:val="1"/>
                      <w:sz w:val="21"/>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0.0138</w:t>
                  </w:r>
                </w:p>
              </w:tc>
              <w:tc>
                <w:tcPr>
                  <w:tcW w:w="739" w:type="pct"/>
                  <w:vMerge w:val="continue"/>
                  <w:tcBorders>
                    <w:top w:val="nil"/>
                  </w:tcBorders>
                  <w:vAlign w:val="top"/>
                </w:tcPr>
                <w:p w14:paraId="7124A4F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b w:val="0"/>
                      <w:bCs w:val="0"/>
                      <w:color w:val="auto"/>
                      <w:sz w:val="21"/>
                      <w:szCs w:val="21"/>
                    </w:rPr>
                  </w:pPr>
                </w:p>
              </w:tc>
              <w:tc>
                <w:tcPr>
                  <w:tcW w:w="739" w:type="pct"/>
                  <w:tcBorders>
                    <w:top w:val="single" w:color="000000" w:sz="2" w:space="0"/>
                  </w:tcBorders>
                  <w:vAlign w:val="top"/>
                </w:tcPr>
                <w:p w14:paraId="451E98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740" w:type="pct"/>
                  <w:tcBorders>
                    <w:top w:val="single" w:color="000000" w:sz="2" w:space="0"/>
                  </w:tcBorders>
                  <w:vAlign w:val="top"/>
                </w:tcPr>
                <w:p w14:paraId="23AC54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达标</w:t>
                  </w:r>
                </w:p>
              </w:tc>
            </w:tr>
          </w:tbl>
          <w:p w14:paraId="18B9C23C">
            <w:pPr>
              <w:spacing w:line="21" w:lineRule="exact"/>
              <w:rPr>
                <w:color w:val="auto"/>
              </w:rPr>
            </w:pPr>
          </w:p>
          <w:p w14:paraId="6064E240">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92" w:firstLineChars="200"/>
              <w:jc w:val="both"/>
              <w:textAlignment w:val="auto"/>
              <w:rPr>
                <w:rFonts w:hint="eastAsia" w:ascii="Times New Roman" w:hAnsi="Times New Roman" w:cs="Times New Roman"/>
                <w:color w:val="auto"/>
                <w:spacing w:val="3"/>
                <w:lang w:val="en-US" w:eastAsia="zh-CN"/>
              </w:rPr>
            </w:pPr>
            <w:r>
              <w:rPr>
                <w:rFonts w:hint="eastAsia" w:ascii="Times New Roman" w:hAnsi="Times New Roman" w:cs="Times New Roman"/>
                <w:color w:val="auto"/>
                <w:spacing w:val="3"/>
                <w:lang w:val="en-US" w:eastAsia="zh-CN"/>
              </w:rPr>
              <w:t>④消防废水防治措施可行分析</w:t>
            </w:r>
          </w:p>
          <w:p w14:paraId="0DF21962">
            <w:pPr>
              <w:pStyle w:val="59"/>
              <w:spacing w:before="2" w:line="360" w:lineRule="auto"/>
              <w:ind w:left="108" w:right="38" w:firstLine="597"/>
              <w:rPr>
                <w:color w:val="auto"/>
                <w:spacing w:val="0"/>
                <w:position w:val="0"/>
                <w:sz w:val="24"/>
                <w:szCs w:val="24"/>
                <w:highlight w:val="none"/>
                <w:u w:val="none" w:color="auto"/>
              </w:rPr>
            </w:pPr>
            <w:r>
              <w:rPr>
                <w:rFonts w:hint="eastAsia"/>
                <w:color w:val="auto"/>
                <w:sz w:val="24"/>
                <w:szCs w:val="24"/>
                <w:lang w:val="en-US" w:eastAsia="zh-CN"/>
              </w:rPr>
              <w:t>根据工程分析，项目地块一则消防废水量为108m</w:t>
            </w:r>
            <w:r>
              <w:rPr>
                <w:rFonts w:hint="eastAsia"/>
                <w:color w:val="auto"/>
                <w:sz w:val="24"/>
                <w:szCs w:val="24"/>
                <w:vertAlign w:val="superscript"/>
                <w:lang w:val="en-US" w:eastAsia="zh-CN"/>
              </w:rPr>
              <w:t>3</w:t>
            </w:r>
            <w:r>
              <w:rPr>
                <w:rFonts w:hint="eastAsia"/>
                <w:color w:val="auto"/>
                <w:sz w:val="24"/>
                <w:szCs w:val="24"/>
                <w:lang w:val="en-US" w:eastAsia="zh-CN"/>
              </w:rPr>
              <w:t>，地块二消防废水量为108m</w:t>
            </w:r>
            <w:r>
              <w:rPr>
                <w:rFonts w:hint="eastAsia"/>
                <w:color w:val="auto"/>
                <w:sz w:val="24"/>
                <w:szCs w:val="24"/>
                <w:vertAlign w:val="superscript"/>
                <w:lang w:val="en-US" w:eastAsia="zh-CN"/>
              </w:rPr>
              <w:t>3</w:t>
            </w:r>
            <w:r>
              <w:rPr>
                <w:rFonts w:hint="eastAsia"/>
                <w:color w:val="auto"/>
                <w:sz w:val="24"/>
                <w:szCs w:val="24"/>
                <w:lang w:val="en-US" w:eastAsia="zh-CN"/>
              </w:rPr>
              <w:t>，地块一新建1个190m</w:t>
            </w:r>
            <w:r>
              <w:rPr>
                <w:rFonts w:hint="eastAsia"/>
                <w:color w:val="auto"/>
                <w:sz w:val="24"/>
                <w:szCs w:val="24"/>
                <w:vertAlign w:val="superscript"/>
                <w:lang w:val="en-US" w:eastAsia="zh-CN"/>
              </w:rPr>
              <w:t>3</w:t>
            </w:r>
            <w:r>
              <w:rPr>
                <w:rFonts w:hint="eastAsia"/>
                <w:color w:val="auto"/>
                <w:sz w:val="24"/>
                <w:szCs w:val="24"/>
                <w:lang w:val="en-US" w:eastAsia="zh-CN"/>
              </w:rPr>
              <w:t>的事故池，位于扩建项目①、②仓库中间，底部和四周采用的C30抗渗混凝土进行浇筑，并在内部铺设HDPE防渗膜厚度不小于2.0mm，渗透系数小于1.0×10</w:t>
            </w:r>
            <w:r>
              <w:rPr>
                <w:rFonts w:hint="eastAsia"/>
                <w:color w:val="auto"/>
                <w:sz w:val="24"/>
                <w:szCs w:val="24"/>
                <w:vertAlign w:val="superscript"/>
                <w:lang w:val="en-US" w:eastAsia="zh-CN"/>
              </w:rPr>
              <w:t>-7</w:t>
            </w:r>
            <w:r>
              <w:rPr>
                <w:rFonts w:hint="eastAsia"/>
                <w:color w:val="auto"/>
                <w:sz w:val="24"/>
                <w:szCs w:val="24"/>
                <w:lang w:val="en-US" w:eastAsia="zh-CN"/>
              </w:rPr>
              <w:t>cm/s。地块二新增1个140m</w:t>
            </w:r>
            <w:r>
              <w:rPr>
                <w:rFonts w:hint="eastAsia"/>
                <w:color w:val="auto"/>
                <w:sz w:val="24"/>
                <w:szCs w:val="24"/>
                <w:vertAlign w:val="superscript"/>
                <w:lang w:val="en-US" w:eastAsia="zh-CN"/>
              </w:rPr>
              <w:t>3</w:t>
            </w:r>
            <w:r>
              <w:rPr>
                <w:rFonts w:hint="eastAsia"/>
                <w:color w:val="auto"/>
                <w:sz w:val="24"/>
                <w:szCs w:val="24"/>
                <w:lang w:val="en-US" w:eastAsia="zh-CN"/>
              </w:rPr>
              <w:t>的事故池，位于仓库南侧。底部和四周采用的C30抗渗混凝土进行浇筑，并在内部铺设HDPE防渗膜厚度不小于2.0mm，渗透系数小于1.0×10</w:t>
            </w:r>
            <w:r>
              <w:rPr>
                <w:rFonts w:hint="eastAsia"/>
                <w:color w:val="auto"/>
                <w:sz w:val="24"/>
                <w:szCs w:val="24"/>
                <w:vertAlign w:val="superscript"/>
                <w:lang w:val="en-US" w:eastAsia="zh-CN"/>
              </w:rPr>
              <w:t>-7</w:t>
            </w:r>
            <w:r>
              <w:rPr>
                <w:rFonts w:hint="eastAsia"/>
                <w:color w:val="auto"/>
                <w:sz w:val="24"/>
                <w:szCs w:val="24"/>
                <w:lang w:val="en-US" w:eastAsia="zh-CN"/>
              </w:rPr>
              <w:t>cm/s。</w:t>
            </w:r>
            <w:r>
              <w:rPr>
                <w:rFonts w:hint="eastAsia"/>
                <w:color w:val="auto"/>
                <w:spacing w:val="0"/>
                <w:position w:val="0"/>
                <w:sz w:val="24"/>
                <w:szCs w:val="24"/>
                <w:highlight w:val="none"/>
                <w:u w:val="none" w:color="auto"/>
                <w:lang w:val="en-US" w:eastAsia="zh-CN"/>
              </w:rPr>
              <w:t>事故池</w:t>
            </w:r>
            <w:r>
              <w:rPr>
                <w:color w:val="auto"/>
                <w:spacing w:val="0"/>
                <w:position w:val="0"/>
                <w:sz w:val="24"/>
                <w:szCs w:val="24"/>
                <w:highlight w:val="none"/>
                <w:u w:val="none" w:color="auto"/>
              </w:rPr>
              <w:t>与烟花爆竹仓库四周收集沟连接，接口处设置切换阀。</w:t>
            </w:r>
            <w:r>
              <w:rPr>
                <w:rFonts w:hint="eastAsia"/>
                <w:color w:val="auto"/>
                <w:sz w:val="24"/>
                <w:szCs w:val="24"/>
                <w:lang w:val="en-US" w:eastAsia="zh-CN"/>
              </w:rPr>
              <w:t>消防废水暂存在事故池中，能做到消防废水不外排，</w:t>
            </w:r>
            <w:r>
              <w:rPr>
                <w:color w:val="auto"/>
                <w:spacing w:val="0"/>
                <w:position w:val="0"/>
                <w:sz w:val="24"/>
                <w:szCs w:val="24"/>
                <w:highlight w:val="none"/>
                <w:u w:val="none" w:color="auto"/>
              </w:rPr>
              <w:t>收集后的消防废水暂时储存后</w:t>
            </w:r>
            <w:r>
              <w:rPr>
                <w:rFonts w:hint="eastAsia"/>
                <w:color w:val="auto"/>
                <w:spacing w:val="0"/>
                <w:position w:val="0"/>
                <w:sz w:val="24"/>
                <w:szCs w:val="24"/>
                <w:highlight w:val="none"/>
                <w:u w:val="none" w:color="auto"/>
                <w:lang w:val="en-US" w:eastAsia="zh-CN"/>
              </w:rPr>
              <w:t>委托有资质单位处置</w:t>
            </w:r>
            <w:r>
              <w:rPr>
                <w:color w:val="auto"/>
                <w:spacing w:val="0"/>
                <w:position w:val="0"/>
                <w:sz w:val="24"/>
                <w:szCs w:val="24"/>
                <w:highlight w:val="none"/>
                <w:u w:val="none" w:color="auto"/>
              </w:rPr>
              <w:t>。</w:t>
            </w:r>
          </w:p>
          <w:p w14:paraId="05E9B3F1">
            <w:pPr>
              <w:spacing w:line="360" w:lineRule="auto"/>
              <w:ind w:firstLine="480" w:firstLineChars="200"/>
              <w:rPr>
                <w:color w:val="auto"/>
                <w:sz w:val="24"/>
                <w:szCs w:val="24"/>
              </w:rPr>
            </w:pPr>
            <w:r>
              <w:rPr>
                <w:color w:val="auto"/>
                <w:sz w:val="24"/>
                <w:szCs w:val="24"/>
              </w:rPr>
              <w:t>综上，</w:t>
            </w:r>
            <w:r>
              <w:rPr>
                <w:rFonts w:hint="eastAsia"/>
                <w:color w:val="auto"/>
                <w:sz w:val="24"/>
                <w:szCs w:val="24"/>
                <w:lang w:val="en-US" w:eastAsia="zh-CN"/>
              </w:rPr>
              <w:t>扩建</w:t>
            </w:r>
            <w:r>
              <w:rPr>
                <w:color w:val="auto"/>
                <w:sz w:val="24"/>
                <w:szCs w:val="24"/>
              </w:rPr>
              <w:t>项目废水排入化粪池后，委托</w:t>
            </w:r>
            <w:r>
              <w:rPr>
                <w:rFonts w:hint="eastAsia"/>
                <w:color w:val="auto"/>
                <w:sz w:val="24"/>
                <w:szCs w:val="24"/>
              </w:rPr>
              <w:t>寻甸县</w:t>
            </w:r>
            <w:r>
              <w:rPr>
                <w:color w:val="auto"/>
                <w:sz w:val="24"/>
                <w:szCs w:val="24"/>
              </w:rPr>
              <w:t>环卫部门</w:t>
            </w:r>
            <w:r>
              <w:rPr>
                <w:rFonts w:hint="eastAsia"/>
                <w:color w:val="auto"/>
                <w:sz w:val="24"/>
                <w:szCs w:val="24"/>
                <w:lang w:val="en-US" w:eastAsia="zh-CN"/>
              </w:rPr>
              <w:t>15天</w:t>
            </w:r>
            <w:r>
              <w:rPr>
                <w:color w:val="auto"/>
                <w:sz w:val="24"/>
                <w:szCs w:val="24"/>
              </w:rPr>
              <w:t>抽运一次，</w:t>
            </w:r>
            <w:r>
              <w:rPr>
                <w:rFonts w:hint="eastAsia"/>
                <w:color w:val="auto"/>
                <w:sz w:val="24"/>
                <w:szCs w:val="24"/>
              </w:rPr>
              <w:t>运至寻甸县污水处理厂处理，</w:t>
            </w:r>
            <w:r>
              <w:rPr>
                <w:color w:val="auto"/>
                <w:sz w:val="24"/>
                <w:szCs w:val="24"/>
              </w:rPr>
              <w:t>不外排。</w:t>
            </w:r>
            <w:r>
              <w:rPr>
                <w:rFonts w:hint="eastAsia"/>
                <w:color w:val="auto"/>
                <w:sz w:val="24"/>
                <w:szCs w:val="24"/>
                <w:lang w:val="en-US" w:eastAsia="zh-CN"/>
              </w:rPr>
              <w:t>消防废水暂存在事故池收集，</w:t>
            </w:r>
            <w:r>
              <w:rPr>
                <w:color w:val="auto"/>
                <w:spacing w:val="0"/>
                <w:position w:val="0"/>
                <w:sz w:val="24"/>
                <w:szCs w:val="24"/>
                <w:highlight w:val="none"/>
                <w:u w:val="none" w:color="auto"/>
              </w:rPr>
              <w:t>收集后的消防废水暂时储存后</w:t>
            </w:r>
            <w:r>
              <w:rPr>
                <w:rFonts w:hint="eastAsia"/>
                <w:color w:val="auto"/>
                <w:spacing w:val="0"/>
                <w:position w:val="0"/>
                <w:sz w:val="24"/>
                <w:szCs w:val="24"/>
                <w:highlight w:val="none"/>
                <w:u w:val="none" w:color="auto"/>
                <w:lang w:val="en-US" w:eastAsia="zh-CN"/>
              </w:rPr>
              <w:t>委托有资质单位处置</w:t>
            </w:r>
            <w:r>
              <w:rPr>
                <w:color w:val="auto"/>
                <w:spacing w:val="0"/>
                <w:position w:val="0"/>
                <w:sz w:val="24"/>
                <w:szCs w:val="24"/>
                <w:highlight w:val="none"/>
                <w:u w:val="none" w:color="auto"/>
              </w:rPr>
              <w:t>。</w:t>
            </w:r>
            <w:r>
              <w:rPr>
                <w:color w:val="auto"/>
                <w:sz w:val="24"/>
                <w:szCs w:val="24"/>
              </w:rPr>
              <w:t>项目废水在经过处理后，对周围环境影响不大。</w:t>
            </w:r>
          </w:p>
          <w:p w14:paraId="13B7635A">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w:t>
            </w:r>
            <w:r>
              <w:rPr>
                <w:rFonts w:hint="default" w:ascii="Times New Roman" w:hAnsi="Times New Roman" w:eastAsia="宋体" w:cs="Times New Roman"/>
                <w:b/>
                <w:bCs/>
                <w:color w:val="auto"/>
                <w:lang w:val="en-US" w:eastAsia="zh-CN"/>
              </w:rPr>
              <w:t>监测要求</w:t>
            </w:r>
          </w:p>
          <w:p w14:paraId="57FA7794">
            <w:pPr>
              <w:pageBreakBefore w:val="0"/>
              <w:widowControl/>
              <w:kinsoku/>
              <w:overflowPunct/>
              <w:topLinePunct w:val="0"/>
              <w:bidi w:val="0"/>
              <w:spacing w:line="360" w:lineRule="auto"/>
              <w:ind w:firstLine="480" w:firstLineChars="200"/>
              <w:rPr>
                <w:rFonts w:hint="default" w:ascii="Times New Roman" w:hAnsi="Times New Roman" w:eastAsia="宋体" w:cs="Times New Roman"/>
                <w:color w:val="auto"/>
                <w:sz w:val="24"/>
              </w:rPr>
            </w:pPr>
            <w:r>
              <w:rPr>
                <w:rFonts w:ascii="Times New Roman" w:hAnsi="Times New Roman" w:eastAsia="宋体" w:cs="Times New Roman"/>
                <w:color w:val="auto"/>
                <w:sz w:val="24"/>
                <w:szCs w:val="24"/>
              </w:rPr>
              <w:t>依据《排污单位自行监测技术指南 总则》(HJ819-2017)</w:t>
            </w:r>
            <w:r>
              <w:rPr>
                <w:rFonts w:hint="default" w:ascii="Times New Roman" w:hAnsi="Times New Roman" w:eastAsia="宋体" w:cs="Times New Roman"/>
                <w:color w:val="auto"/>
                <w:sz w:val="24"/>
              </w:rPr>
              <w:t>项目</w:t>
            </w:r>
            <w:r>
              <w:rPr>
                <w:rFonts w:hint="default" w:ascii="Times New Roman" w:hAnsi="Times New Roman" w:eastAsia="宋体" w:cs="Times New Roman"/>
                <w:color w:val="auto"/>
                <w:sz w:val="24"/>
                <w:lang w:val="en-US" w:eastAsia="zh-CN"/>
              </w:rPr>
              <w:t>废水</w:t>
            </w:r>
            <w:r>
              <w:rPr>
                <w:rFonts w:hint="default" w:ascii="Times New Roman" w:hAnsi="Times New Roman" w:eastAsia="宋体" w:cs="Times New Roman"/>
                <w:color w:val="auto"/>
                <w:sz w:val="24"/>
              </w:rPr>
              <w:t>监测要求如下：</w:t>
            </w:r>
          </w:p>
          <w:p w14:paraId="6A0D7BC6">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cs="Times New Roman"/>
                <w:b/>
                <w:bCs/>
                <w:color w:val="auto"/>
                <w:sz w:val="21"/>
                <w:szCs w:val="21"/>
                <w:lang w:val="en-US" w:eastAsia="zh-CN"/>
              </w:rPr>
              <w:t>4</w:t>
            </w:r>
            <w:r>
              <w:rPr>
                <w:rFonts w:hint="default" w:ascii="Times New Roman" w:hAnsi="Times New Roman" w:eastAsia="宋体" w:cs="Times New Roman"/>
                <w:b/>
                <w:bCs/>
                <w:color w:val="auto"/>
                <w:sz w:val="21"/>
                <w:szCs w:val="21"/>
                <w:lang w:val="en-US" w:eastAsia="zh-CN"/>
              </w:rPr>
              <w:t xml:space="preserve">  项目</w:t>
            </w:r>
            <w:r>
              <w:rPr>
                <w:rFonts w:hint="eastAsia" w:cs="Times New Roman"/>
                <w:b/>
                <w:bCs/>
                <w:color w:val="auto"/>
                <w:sz w:val="21"/>
                <w:szCs w:val="21"/>
                <w:lang w:val="en-US" w:eastAsia="zh-CN"/>
              </w:rPr>
              <w:t>生活</w:t>
            </w:r>
            <w:r>
              <w:rPr>
                <w:rFonts w:hint="default" w:ascii="Times New Roman" w:hAnsi="Times New Roman" w:eastAsia="宋体" w:cs="Times New Roman"/>
                <w:b/>
                <w:bCs/>
                <w:color w:val="auto"/>
                <w:sz w:val="21"/>
                <w:szCs w:val="21"/>
                <w:lang w:val="en-US" w:eastAsia="zh-CN"/>
              </w:rPr>
              <w:t>废</w:t>
            </w:r>
            <w:r>
              <w:rPr>
                <w:rFonts w:hint="eastAsia" w:ascii="Times New Roman" w:hAnsi="Times New Roman" w:eastAsia="宋体" w:cs="Times New Roman"/>
                <w:b/>
                <w:bCs/>
                <w:color w:val="auto"/>
                <w:sz w:val="21"/>
                <w:szCs w:val="21"/>
                <w:lang w:val="en-US" w:eastAsia="zh-CN"/>
              </w:rPr>
              <w:t>水</w:t>
            </w:r>
            <w:r>
              <w:rPr>
                <w:rFonts w:hint="default" w:ascii="Times New Roman" w:hAnsi="Times New Roman" w:eastAsia="宋体" w:cs="Times New Roman"/>
                <w:b/>
                <w:bCs/>
                <w:color w:val="auto"/>
                <w:sz w:val="21"/>
                <w:szCs w:val="21"/>
                <w:lang w:val="en-US" w:eastAsia="zh-CN"/>
              </w:rPr>
              <w:t>污染源监测计划表</w:t>
            </w:r>
          </w:p>
          <w:tbl>
            <w:tblPr>
              <w:tblStyle w:val="23"/>
              <w:tblW w:w="499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688"/>
              <w:gridCol w:w="3865"/>
              <w:gridCol w:w="1684"/>
            </w:tblGrid>
            <w:tr w14:paraId="7CE10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631" w:type="pct"/>
                  <w:noWrap w:val="0"/>
                  <w:vAlign w:val="center"/>
                </w:tcPr>
                <w:p w14:paraId="2D85DF4D">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监测点位</w:t>
                  </w:r>
                </w:p>
              </w:tc>
              <w:tc>
                <w:tcPr>
                  <w:tcW w:w="2345" w:type="pct"/>
                  <w:noWrap w:val="0"/>
                  <w:vAlign w:val="center"/>
                </w:tcPr>
                <w:p w14:paraId="3E094491">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监测项目</w:t>
                  </w:r>
                </w:p>
              </w:tc>
              <w:tc>
                <w:tcPr>
                  <w:tcW w:w="1022" w:type="pct"/>
                  <w:noWrap w:val="0"/>
                  <w:vAlign w:val="center"/>
                </w:tcPr>
                <w:p w14:paraId="620168AF">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监测频次</w:t>
                  </w:r>
                </w:p>
              </w:tc>
            </w:tr>
            <w:tr w14:paraId="06E7FC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0" w:hRule="atLeast"/>
                <w:jc w:val="center"/>
              </w:trPr>
              <w:tc>
                <w:tcPr>
                  <w:tcW w:w="1631" w:type="pct"/>
                  <w:noWrap w:val="0"/>
                  <w:vAlign w:val="center"/>
                </w:tcPr>
                <w:p w14:paraId="39F757E3">
                  <w:pPr>
                    <w:pageBreakBefore w:val="0"/>
                    <w:kinsoku/>
                    <w:overflowPunct/>
                    <w:topLinePunct w:val="0"/>
                    <w:bidi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化粪池</w:t>
                  </w:r>
                </w:p>
              </w:tc>
              <w:tc>
                <w:tcPr>
                  <w:tcW w:w="2345" w:type="pct"/>
                  <w:noWrap w:val="0"/>
                  <w:vAlign w:val="center"/>
                </w:tcPr>
                <w:p w14:paraId="06838263">
                  <w:pPr>
                    <w:pageBreakBefore w:val="0"/>
                    <w:widowControl/>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pH值、化学需氧量、氨氮</w:t>
                  </w:r>
                  <w:r>
                    <w:rPr>
                      <w:rFonts w:hint="eastAsia" w:cs="Times New Roman"/>
                      <w:color w:val="auto"/>
                      <w:sz w:val="21"/>
                      <w:szCs w:val="21"/>
                      <w:lang w:eastAsia="zh-CN"/>
                    </w:rPr>
                    <w:t>、</w:t>
                  </w:r>
                  <w:r>
                    <w:rPr>
                      <w:rFonts w:hint="eastAsia" w:cs="Times New Roman"/>
                      <w:color w:val="auto"/>
                      <w:sz w:val="21"/>
                      <w:szCs w:val="21"/>
                      <w:lang w:val="en-US" w:eastAsia="zh-CN"/>
                    </w:rPr>
                    <w:t>动植物油、</w:t>
                  </w:r>
                  <w:r>
                    <w:rPr>
                      <w:rFonts w:hint="default" w:ascii="Times New Roman" w:hAnsi="Times New Roman" w:eastAsia="宋体" w:cs="Times New Roman"/>
                      <w:color w:val="auto"/>
                      <w:sz w:val="21"/>
                      <w:szCs w:val="21"/>
                    </w:rPr>
                    <w:t>总磷、总氮、悬浮物、五日生化需氧量</w:t>
                  </w:r>
                </w:p>
              </w:tc>
              <w:tc>
                <w:tcPr>
                  <w:tcW w:w="1022" w:type="pct"/>
                  <w:noWrap w:val="0"/>
                  <w:vAlign w:val="center"/>
                </w:tcPr>
                <w:p w14:paraId="4824AE85">
                  <w:pPr>
                    <w:pageBreakBefore w:val="0"/>
                    <w:kinsoku/>
                    <w:overflowPunct/>
                    <w:topLinePunct w:val="0"/>
                    <w:bidi w:val="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1次/</w:t>
                  </w:r>
                  <w:r>
                    <w:rPr>
                      <w:rFonts w:hint="eastAsia" w:cs="Times New Roman"/>
                      <w:color w:val="auto"/>
                      <w:sz w:val="21"/>
                      <w:szCs w:val="21"/>
                      <w:lang w:val="en-US" w:eastAsia="zh-CN"/>
                    </w:rPr>
                    <w:t>年</w:t>
                  </w:r>
                </w:p>
              </w:tc>
            </w:tr>
          </w:tbl>
          <w:p w14:paraId="21F64476">
            <w:pPr>
              <w:spacing w:line="360" w:lineRule="auto"/>
              <w:ind w:firstLine="482" w:firstLineChars="200"/>
              <w:rPr>
                <w:b/>
                <w:bCs/>
                <w:color w:val="auto"/>
                <w:sz w:val="24"/>
                <w:szCs w:val="24"/>
              </w:rPr>
            </w:pPr>
            <w:r>
              <w:rPr>
                <w:b/>
                <w:bCs/>
                <w:color w:val="auto"/>
                <w:sz w:val="24"/>
                <w:szCs w:val="24"/>
              </w:rPr>
              <w:t>三、运营期噪声环境影响及防治措施</w:t>
            </w:r>
          </w:p>
          <w:p w14:paraId="3B66D137">
            <w:pPr>
              <w:spacing w:line="360" w:lineRule="auto"/>
              <w:ind w:firstLine="482" w:firstLineChars="200"/>
              <w:rPr>
                <w:b/>
                <w:bCs/>
                <w:color w:val="auto"/>
                <w:sz w:val="24"/>
                <w:szCs w:val="24"/>
              </w:rPr>
            </w:pPr>
            <w:r>
              <w:rPr>
                <w:b/>
                <w:bCs/>
                <w:color w:val="auto"/>
                <w:sz w:val="24"/>
                <w:szCs w:val="24"/>
              </w:rPr>
              <w:t>1、噪声源强</w:t>
            </w:r>
          </w:p>
          <w:p w14:paraId="78E7DCF8">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92" w:firstLineChars="200"/>
              <w:jc w:val="both"/>
              <w:textAlignment w:val="auto"/>
              <w:rPr>
                <w:color w:val="auto"/>
              </w:rPr>
            </w:pPr>
            <w:r>
              <w:rPr>
                <w:color w:val="auto"/>
                <w:spacing w:val="3"/>
              </w:rPr>
              <w:t>本项目属于仓储项目，无生产机械。烟花爆竹装卸过程全部为人力搬</w:t>
            </w:r>
            <w:r>
              <w:rPr>
                <w:color w:val="auto"/>
                <w:spacing w:val="2"/>
              </w:rPr>
              <w:t>卸，不</w:t>
            </w:r>
            <w:r>
              <w:rPr>
                <w:color w:val="auto"/>
                <w:spacing w:val="3"/>
              </w:rPr>
              <w:t>使用动力设备。因此，建设项目运营过程中产生的噪声主要</w:t>
            </w:r>
            <w:r>
              <w:rPr>
                <w:color w:val="auto"/>
                <w:spacing w:val="2"/>
              </w:rPr>
              <w:t>为烟花爆竹装卸噪声</w:t>
            </w:r>
            <w:r>
              <w:rPr>
                <w:color w:val="auto"/>
                <w:spacing w:val="-7"/>
              </w:rPr>
              <w:t>和运输车辆噪声，烟花爆竹装卸均在仓库门口作业，均为室外噪声，噪声级在</w:t>
            </w:r>
            <w:r>
              <w:rPr>
                <w:rFonts w:ascii="Times New Roman" w:hAnsi="Times New Roman" w:eastAsia="Times New Roman" w:cs="Times New Roman"/>
                <w:color w:val="auto"/>
                <w:spacing w:val="-7"/>
              </w:rPr>
              <w:t>65~75</w:t>
            </w:r>
            <w:r>
              <w:rPr>
                <w:rFonts w:ascii="Times New Roman" w:hAnsi="Times New Roman" w:eastAsia="Times New Roman" w:cs="Times New Roman"/>
                <w:color w:val="auto"/>
                <w:spacing w:val="-2"/>
              </w:rPr>
              <w:t>dB(A)</w:t>
            </w:r>
            <w:r>
              <w:rPr>
                <w:color w:val="auto"/>
                <w:spacing w:val="-2"/>
              </w:rPr>
              <w:t>，项目夜间不运营，声环境影响有限。</w:t>
            </w:r>
          </w:p>
          <w:p w14:paraId="47E73364">
            <w:pPr>
              <w:pStyle w:val="59"/>
              <w:spacing w:line="220" w:lineRule="auto"/>
              <w:ind w:left="600"/>
              <w:rPr>
                <w:color w:val="auto"/>
                <w:spacing w:val="-2"/>
              </w:rPr>
            </w:pPr>
            <w:r>
              <w:rPr>
                <w:color w:val="auto"/>
                <w:spacing w:val="-2"/>
              </w:rPr>
              <w:t>噪声源强一览表见下表。</w:t>
            </w:r>
          </w:p>
          <w:p w14:paraId="3DA2CA4B">
            <w:pPr>
              <w:pStyle w:val="59"/>
              <w:spacing w:before="288" w:line="229" w:lineRule="auto"/>
              <w:ind w:left="2770"/>
              <w:outlineLvl w:val="1"/>
              <w:rPr>
                <w:color w:val="auto"/>
                <w:spacing w:val="-2"/>
              </w:rPr>
            </w:pPr>
            <w:r>
              <w:rPr>
                <w:b/>
                <w:bCs/>
                <w:color w:val="auto"/>
                <w:spacing w:val="6"/>
                <w:sz w:val="20"/>
                <w:szCs w:val="20"/>
              </w:rPr>
              <w:t>表</w:t>
            </w:r>
            <w:r>
              <w:rPr>
                <w:color w:val="auto"/>
                <w:spacing w:val="6"/>
                <w:sz w:val="20"/>
                <w:szCs w:val="20"/>
              </w:rPr>
              <w:t xml:space="preserve"> </w:t>
            </w:r>
            <w:r>
              <w:rPr>
                <w:rFonts w:ascii="Times New Roman" w:hAnsi="Times New Roman" w:eastAsia="Times New Roman" w:cs="Times New Roman"/>
                <w:b/>
                <w:bCs/>
                <w:color w:val="auto"/>
                <w:spacing w:val="6"/>
                <w:sz w:val="20"/>
                <w:szCs w:val="20"/>
              </w:rPr>
              <w:t>4-</w:t>
            </w:r>
            <w:r>
              <w:rPr>
                <w:rFonts w:hint="eastAsia" w:ascii="Times New Roman" w:hAnsi="Times New Roman" w:eastAsia="宋体" w:cs="Times New Roman"/>
                <w:b/>
                <w:bCs/>
                <w:color w:val="auto"/>
                <w:spacing w:val="6"/>
                <w:sz w:val="20"/>
                <w:szCs w:val="20"/>
                <w:lang w:val="en-US" w:eastAsia="zh-CN"/>
              </w:rPr>
              <w:t>5</w:t>
            </w:r>
            <w:r>
              <w:rPr>
                <w:rFonts w:ascii="Times New Roman" w:hAnsi="Times New Roman" w:eastAsia="Times New Roman" w:cs="Times New Roman"/>
                <w:b/>
                <w:bCs/>
                <w:color w:val="auto"/>
                <w:spacing w:val="6"/>
                <w:sz w:val="20"/>
                <w:szCs w:val="20"/>
              </w:rPr>
              <w:t xml:space="preserve"> </w:t>
            </w:r>
            <w:r>
              <w:rPr>
                <w:rFonts w:hint="eastAsia" w:ascii="Times New Roman" w:hAnsi="Times New Roman" w:eastAsia="宋体" w:cs="Times New Roman"/>
                <w:b/>
                <w:bCs/>
                <w:color w:val="auto"/>
                <w:spacing w:val="6"/>
                <w:sz w:val="20"/>
                <w:szCs w:val="20"/>
                <w:lang w:val="en-US" w:eastAsia="zh-CN"/>
              </w:rPr>
              <w:t>建成后</w:t>
            </w:r>
            <w:r>
              <w:rPr>
                <w:b/>
                <w:bCs/>
                <w:color w:val="auto"/>
                <w:spacing w:val="6"/>
                <w:sz w:val="20"/>
                <w:szCs w:val="20"/>
              </w:rPr>
              <w:t>项目室外噪声源情况一览表</w:t>
            </w:r>
          </w:p>
          <w:tbl>
            <w:tblPr>
              <w:tblStyle w:val="23"/>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80"/>
              <w:gridCol w:w="973"/>
              <w:gridCol w:w="1800"/>
              <w:gridCol w:w="1143"/>
              <w:gridCol w:w="1101"/>
              <w:gridCol w:w="801"/>
              <w:gridCol w:w="754"/>
              <w:gridCol w:w="440"/>
            </w:tblGrid>
            <w:tr w14:paraId="668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exact"/>
                <w:jc w:val="center"/>
              </w:trPr>
              <w:tc>
                <w:tcPr>
                  <w:tcW w:w="668" w:type="pct"/>
                  <w:vMerge w:val="restart"/>
                  <w:shd w:val="clear" w:color="auto" w:fill="auto"/>
                  <w:vAlign w:val="center"/>
                </w:tcPr>
                <w:p w14:paraId="0742815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序号</w:t>
                  </w:r>
                </w:p>
              </w:tc>
              <w:tc>
                <w:tcPr>
                  <w:tcW w:w="601" w:type="pct"/>
                  <w:vMerge w:val="restart"/>
                  <w:shd w:val="clear" w:color="auto" w:fill="auto"/>
                  <w:vAlign w:val="center"/>
                </w:tcPr>
                <w:p w14:paraId="3838B56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建筑物名称</w:t>
                  </w:r>
                </w:p>
              </w:tc>
              <w:tc>
                <w:tcPr>
                  <w:tcW w:w="1112" w:type="pct"/>
                  <w:vMerge w:val="restart"/>
                  <w:shd w:val="clear" w:color="auto" w:fill="auto"/>
                  <w:vAlign w:val="center"/>
                </w:tcPr>
                <w:p w14:paraId="47231F8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声源名称</w:t>
                  </w:r>
                </w:p>
              </w:tc>
              <w:tc>
                <w:tcPr>
                  <w:tcW w:w="706" w:type="pct"/>
                  <w:shd w:val="clear" w:color="auto" w:fill="auto"/>
                  <w:vAlign w:val="center"/>
                </w:tcPr>
                <w:p w14:paraId="1D57CD5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b/>
                      <w:color w:val="auto"/>
                      <w:sz w:val="21"/>
                      <w:szCs w:val="21"/>
                      <w:lang w:eastAsia="zh-CN"/>
                    </w:rPr>
                    <w:t>声源源强</w:t>
                  </w:r>
                </w:p>
              </w:tc>
              <w:tc>
                <w:tcPr>
                  <w:tcW w:w="680" w:type="pct"/>
                  <w:vMerge w:val="restart"/>
                  <w:shd w:val="clear" w:color="auto" w:fill="auto"/>
                  <w:vAlign w:val="center"/>
                </w:tcPr>
                <w:p w14:paraId="3906AC4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b/>
                      <w:bCs/>
                      <w:color w:val="auto"/>
                      <w:spacing w:val="0"/>
                      <w:sz w:val="21"/>
                      <w:szCs w:val="21"/>
                      <w:lang w:val="en-US" w:eastAsia="zh-CN"/>
                    </w:rPr>
                    <w:t>声源</w:t>
                  </w:r>
                  <w:r>
                    <w:rPr>
                      <w:rFonts w:hint="default" w:ascii="Times New Roman" w:hAnsi="Times New Roman" w:cs="Times New Roman"/>
                      <w:b/>
                      <w:bCs/>
                      <w:color w:val="auto"/>
                      <w:spacing w:val="0"/>
                      <w:sz w:val="21"/>
                      <w:szCs w:val="21"/>
                    </w:rPr>
                    <w:t>持续时间</w:t>
                  </w:r>
                </w:p>
              </w:tc>
              <w:tc>
                <w:tcPr>
                  <w:tcW w:w="1231" w:type="pct"/>
                  <w:gridSpan w:val="3"/>
                  <w:shd w:val="clear" w:color="auto" w:fill="auto"/>
                  <w:vAlign w:val="center"/>
                </w:tcPr>
                <w:p w14:paraId="7C9EC5E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空间相对位置/m</w:t>
                  </w:r>
                </w:p>
              </w:tc>
            </w:tr>
            <w:tr w14:paraId="5A7E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vMerge w:val="continue"/>
                  <w:shd w:val="clear" w:color="auto" w:fill="auto"/>
                  <w:tcMar>
                    <w:top w:w="0" w:type="dxa"/>
                    <w:left w:w="0" w:type="dxa"/>
                    <w:bottom w:w="0" w:type="dxa"/>
                    <w:right w:w="0" w:type="dxa"/>
                  </w:tcMar>
                  <w:vAlign w:val="center"/>
                </w:tcPr>
                <w:p w14:paraId="27BA549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p>
              </w:tc>
              <w:tc>
                <w:tcPr>
                  <w:tcW w:w="601" w:type="pct"/>
                  <w:vMerge w:val="continue"/>
                  <w:shd w:val="clear" w:color="auto" w:fill="auto"/>
                  <w:tcMar>
                    <w:top w:w="0" w:type="dxa"/>
                    <w:left w:w="0" w:type="dxa"/>
                    <w:bottom w:w="0" w:type="dxa"/>
                    <w:right w:w="0" w:type="dxa"/>
                  </w:tcMar>
                  <w:vAlign w:val="center"/>
                </w:tcPr>
                <w:p w14:paraId="5442D71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1112" w:type="pct"/>
                  <w:vMerge w:val="continue"/>
                  <w:shd w:val="clear" w:color="auto" w:fill="auto"/>
                  <w:tcMar>
                    <w:top w:w="0" w:type="dxa"/>
                    <w:left w:w="0" w:type="dxa"/>
                    <w:bottom w:w="0" w:type="dxa"/>
                    <w:right w:w="0" w:type="dxa"/>
                  </w:tcMar>
                  <w:vAlign w:val="center"/>
                </w:tcPr>
                <w:p w14:paraId="1C37515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706" w:type="pct"/>
                  <w:shd w:val="clear" w:color="auto" w:fill="auto"/>
                  <w:tcMar>
                    <w:top w:w="0" w:type="dxa"/>
                    <w:left w:w="0" w:type="dxa"/>
                    <w:bottom w:w="0" w:type="dxa"/>
                    <w:right w:w="0" w:type="dxa"/>
                  </w:tcMar>
                  <w:vAlign w:val="center"/>
                </w:tcPr>
                <w:p w14:paraId="01A3959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声功率级/dB(A)</w:t>
                  </w:r>
                </w:p>
              </w:tc>
              <w:tc>
                <w:tcPr>
                  <w:tcW w:w="680" w:type="pct"/>
                  <w:vMerge w:val="continue"/>
                  <w:shd w:val="clear" w:color="auto" w:fill="auto"/>
                  <w:tcMar>
                    <w:top w:w="0" w:type="dxa"/>
                    <w:left w:w="0" w:type="dxa"/>
                    <w:bottom w:w="0" w:type="dxa"/>
                    <w:right w:w="0" w:type="dxa"/>
                  </w:tcMar>
                  <w:vAlign w:val="center"/>
                </w:tcPr>
                <w:p w14:paraId="6D8FEF3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3BB889E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X</w:t>
                  </w:r>
                </w:p>
              </w:tc>
              <w:tc>
                <w:tcPr>
                  <w:tcW w:w="466" w:type="pct"/>
                  <w:shd w:val="clear" w:color="auto" w:fill="auto"/>
                  <w:tcMar>
                    <w:top w:w="0" w:type="dxa"/>
                    <w:left w:w="0" w:type="dxa"/>
                    <w:bottom w:w="0" w:type="dxa"/>
                    <w:right w:w="0" w:type="dxa"/>
                  </w:tcMar>
                  <w:vAlign w:val="center"/>
                </w:tcPr>
                <w:p w14:paraId="6AE88F1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Y</w:t>
                  </w:r>
                </w:p>
              </w:tc>
              <w:tc>
                <w:tcPr>
                  <w:tcW w:w="269" w:type="pct"/>
                  <w:shd w:val="clear" w:color="auto" w:fill="auto"/>
                  <w:tcMar>
                    <w:top w:w="0" w:type="dxa"/>
                    <w:left w:w="0" w:type="dxa"/>
                    <w:bottom w:w="0" w:type="dxa"/>
                    <w:right w:w="0" w:type="dxa"/>
                  </w:tcMar>
                  <w:vAlign w:val="center"/>
                </w:tcPr>
                <w:p w14:paraId="41C850F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Z</w:t>
                  </w:r>
                </w:p>
              </w:tc>
            </w:tr>
            <w:tr w14:paraId="6B97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059DFCD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w:t>
                  </w:r>
                </w:p>
              </w:tc>
              <w:tc>
                <w:tcPr>
                  <w:tcW w:w="601" w:type="pct"/>
                  <w:vMerge w:val="restart"/>
                  <w:shd w:val="clear" w:color="auto" w:fill="auto"/>
                  <w:tcMar>
                    <w:top w:w="0" w:type="dxa"/>
                    <w:left w:w="0" w:type="dxa"/>
                    <w:bottom w:w="0" w:type="dxa"/>
                    <w:right w:w="0" w:type="dxa"/>
                  </w:tcMar>
                  <w:vAlign w:val="center"/>
                </w:tcPr>
                <w:p w14:paraId="233565BA">
                  <w:pPr>
                    <w:keepNext w:val="0"/>
                    <w:keepLines w:val="0"/>
                    <w:pageBreakBefore w:val="0"/>
                    <w:kinsoku/>
                    <w:wordWrap/>
                    <w:overflowPunct/>
                    <w:topLinePunct w:val="0"/>
                    <w:autoSpaceDE/>
                    <w:autoSpaceDN/>
                    <w:bidi w:val="0"/>
                    <w:adjustRightInd/>
                    <w:snapToGrid/>
                    <w:jc w:val="both"/>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现有项目</w:t>
                  </w:r>
                  <w:r>
                    <w:rPr>
                      <w:rFonts w:hint="default" w:ascii="Times New Roman" w:hAnsi="Times New Roman" w:cs="Times New Roman"/>
                      <w:color w:val="auto"/>
                      <w:sz w:val="21"/>
                      <w:szCs w:val="21"/>
                      <w:lang w:val="en-US" w:eastAsia="zh-CN"/>
                    </w:rPr>
                    <w:t>①仓库</w:t>
                  </w:r>
                </w:p>
              </w:tc>
              <w:tc>
                <w:tcPr>
                  <w:tcW w:w="1112" w:type="pct"/>
                  <w:shd w:val="clear" w:color="auto" w:fill="auto"/>
                  <w:tcMar>
                    <w:top w:w="0" w:type="dxa"/>
                    <w:left w:w="0" w:type="dxa"/>
                    <w:bottom w:w="0" w:type="dxa"/>
                    <w:right w:w="0" w:type="dxa"/>
                  </w:tcMar>
                  <w:vAlign w:val="center"/>
                </w:tcPr>
                <w:p w14:paraId="66FA211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3952AE7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restart"/>
                  <w:shd w:val="clear" w:color="auto" w:fill="auto"/>
                  <w:tcMar>
                    <w:top w:w="0" w:type="dxa"/>
                    <w:left w:w="0" w:type="dxa"/>
                    <w:bottom w:w="0" w:type="dxa"/>
                    <w:right w:w="0" w:type="dxa"/>
                  </w:tcMar>
                  <w:vAlign w:val="center"/>
                </w:tcPr>
                <w:p w14:paraId="24753B4B">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pacing w:val="0"/>
                      <w:sz w:val="21"/>
                      <w:szCs w:val="21"/>
                    </w:rPr>
                    <w:t>昼间</w:t>
                  </w:r>
                  <w:r>
                    <w:rPr>
                      <w:rFonts w:hint="default" w:ascii="Times New Roman" w:hAnsi="Times New Roman" w:cs="Times New Roman"/>
                      <w:color w:val="auto"/>
                      <w:spacing w:val="0"/>
                      <w:sz w:val="21"/>
                      <w:szCs w:val="21"/>
                      <w:lang w:eastAsia="zh-CN"/>
                    </w:rPr>
                    <w:t>、</w:t>
                  </w:r>
                  <w:r>
                    <w:rPr>
                      <w:rFonts w:hint="default" w:ascii="Times New Roman" w:hAnsi="Times New Roman" w:cs="Times New Roman"/>
                      <w:color w:val="auto"/>
                      <w:spacing w:val="0"/>
                      <w:position w:val="1"/>
                      <w:sz w:val="21"/>
                      <w:szCs w:val="21"/>
                    </w:rPr>
                    <w:t>每天</w:t>
                  </w:r>
                  <w:r>
                    <w:rPr>
                      <w:rFonts w:hint="default" w:ascii="Times New Roman" w:hAnsi="Times New Roman" w:eastAsia="Times New Roman" w:cs="Times New Roman"/>
                      <w:color w:val="auto"/>
                      <w:spacing w:val="0"/>
                      <w:position w:val="1"/>
                      <w:sz w:val="21"/>
                      <w:szCs w:val="21"/>
                    </w:rPr>
                    <w:t>3-5</w:t>
                  </w:r>
                  <w:r>
                    <w:rPr>
                      <w:rFonts w:hint="default" w:ascii="Times New Roman" w:hAnsi="Times New Roman" w:cs="Times New Roman"/>
                      <w:color w:val="auto"/>
                      <w:spacing w:val="0"/>
                      <w:position w:val="1"/>
                      <w:sz w:val="21"/>
                      <w:szCs w:val="21"/>
                    </w:rPr>
                    <w:t>车</w:t>
                  </w:r>
                  <w:r>
                    <w:rPr>
                      <w:rFonts w:hint="default" w:ascii="Times New Roman" w:hAnsi="Times New Roman" w:cs="Times New Roman"/>
                      <w:color w:val="auto"/>
                      <w:spacing w:val="0"/>
                      <w:sz w:val="21"/>
                      <w:szCs w:val="21"/>
                    </w:rPr>
                    <w:t>次，</w:t>
                  </w:r>
                  <w:r>
                    <w:rPr>
                      <w:rFonts w:hint="eastAsia" w:ascii="Times New Roman" w:hAnsi="Times New Roman" w:cs="Times New Roman"/>
                      <w:color w:val="auto"/>
                      <w:spacing w:val="0"/>
                      <w:sz w:val="21"/>
                      <w:szCs w:val="21"/>
                      <w:lang w:val="en-US" w:eastAsia="zh-CN"/>
                    </w:rPr>
                    <w:t>运输车辆</w:t>
                  </w:r>
                  <w:r>
                    <w:rPr>
                      <w:rFonts w:hint="default" w:ascii="Times New Roman" w:hAnsi="Times New Roman" w:cs="Times New Roman"/>
                      <w:color w:val="auto"/>
                      <w:spacing w:val="0"/>
                      <w:sz w:val="21"/>
                      <w:szCs w:val="21"/>
                    </w:rPr>
                    <w:t>每次持续</w:t>
                  </w:r>
                  <w:r>
                    <w:rPr>
                      <w:rFonts w:hint="default" w:ascii="Times New Roman" w:hAnsi="Times New Roman" w:eastAsia="Times New Roman" w:cs="Times New Roman"/>
                      <w:color w:val="auto"/>
                      <w:spacing w:val="0"/>
                      <w:position w:val="1"/>
                      <w:sz w:val="21"/>
                      <w:szCs w:val="21"/>
                    </w:rPr>
                    <w:t>10-15min</w:t>
                  </w:r>
                </w:p>
              </w:tc>
              <w:tc>
                <w:tcPr>
                  <w:tcW w:w="495" w:type="pct"/>
                  <w:shd w:val="clear" w:color="auto" w:fill="auto"/>
                  <w:tcMar>
                    <w:top w:w="0" w:type="dxa"/>
                    <w:left w:w="0" w:type="dxa"/>
                    <w:bottom w:w="0" w:type="dxa"/>
                    <w:right w:w="0" w:type="dxa"/>
                  </w:tcMar>
                  <w:vAlign w:val="center"/>
                </w:tcPr>
                <w:p w14:paraId="0A8D77C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88</w:t>
                  </w:r>
                </w:p>
              </w:tc>
              <w:tc>
                <w:tcPr>
                  <w:tcW w:w="466" w:type="pct"/>
                  <w:shd w:val="clear" w:color="auto" w:fill="auto"/>
                  <w:tcMar>
                    <w:top w:w="0" w:type="dxa"/>
                    <w:left w:w="0" w:type="dxa"/>
                    <w:bottom w:w="0" w:type="dxa"/>
                    <w:right w:w="0" w:type="dxa"/>
                  </w:tcMar>
                  <w:vAlign w:val="center"/>
                </w:tcPr>
                <w:p w14:paraId="0447876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41</w:t>
                  </w:r>
                </w:p>
              </w:tc>
              <w:tc>
                <w:tcPr>
                  <w:tcW w:w="269" w:type="pct"/>
                  <w:shd w:val="clear" w:color="auto" w:fill="auto"/>
                  <w:tcMar>
                    <w:top w:w="0" w:type="dxa"/>
                    <w:left w:w="0" w:type="dxa"/>
                    <w:bottom w:w="0" w:type="dxa"/>
                    <w:right w:w="0" w:type="dxa"/>
                  </w:tcMar>
                  <w:vAlign w:val="center"/>
                </w:tcPr>
                <w:p w14:paraId="278E72C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449B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15517FB2">
                  <w:pPr>
                    <w:keepNext w:val="0"/>
                    <w:keepLines w:val="0"/>
                    <w:pageBreakBefore w:val="0"/>
                    <w:kinsoku/>
                    <w:wordWrap/>
                    <w:overflowPunct/>
                    <w:topLinePunct w:val="0"/>
                    <w:autoSpaceDE/>
                    <w:autoSpaceDN/>
                    <w:bidi w:val="0"/>
                    <w:adjustRightInd/>
                    <w:snapToGrid/>
                    <w:jc w:val="center"/>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w:t>
                  </w:r>
                </w:p>
              </w:tc>
              <w:tc>
                <w:tcPr>
                  <w:tcW w:w="601" w:type="pct"/>
                  <w:vMerge w:val="continue"/>
                  <w:shd w:val="clear" w:color="auto" w:fill="auto"/>
                  <w:tcMar>
                    <w:top w:w="0" w:type="dxa"/>
                    <w:left w:w="0" w:type="dxa"/>
                    <w:bottom w:w="0" w:type="dxa"/>
                    <w:right w:w="0" w:type="dxa"/>
                  </w:tcMar>
                  <w:vAlign w:val="center"/>
                </w:tcPr>
                <w:p w14:paraId="612875E4">
                  <w:pPr>
                    <w:keepNext w:val="0"/>
                    <w:keepLines w:val="0"/>
                    <w:pageBreakBefore w:val="0"/>
                    <w:kinsoku/>
                    <w:wordWrap/>
                    <w:overflowPunct/>
                    <w:topLinePunct w:val="0"/>
                    <w:autoSpaceDE/>
                    <w:autoSpaceDN/>
                    <w:bidi w:val="0"/>
                    <w:adjustRightInd/>
                    <w:snapToGrid/>
                    <w:jc w:val="both"/>
                    <w:rPr>
                      <w:rFonts w:hint="eastAsia" w:cs="Times New Roman" w:eastAsiaTheme="minorEastAsia"/>
                      <w:color w:val="auto"/>
                      <w:sz w:val="21"/>
                      <w:szCs w:val="21"/>
                      <w:lang w:val="en-US" w:eastAsia="zh-CN"/>
                    </w:rPr>
                  </w:pPr>
                </w:p>
              </w:tc>
              <w:tc>
                <w:tcPr>
                  <w:tcW w:w="1112" w:type="pct"/>
                  <w:shd w:val="clear" w:color="auto" w:fill="auto"/>
                  <w:tcMar>
                    <w:top w:w="0" w:type="dxa"/>
                    <w:left w:w="0" w:type="dxa"/>
                    <w:bottom w:w="0" w:type="dxa"/>
                    <w:right w:w="0" w:type="dxa"/>
                  </w:tcMar>
                  <w:vAlign w:val="center"/>
                </w:tcPr>
                <w:p w14:paraId="21EF2EC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119EFB2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宋体" w:cs="Times New Roman"/>
                      <w:color w:val="auto"/>
                      <w:sz w:val="21"/>
                      <w:szCs w:val="21"/>
                      <w:lang w:val="en-US" w:eastAsia="zh-CN"/>
                    </w:rPr>
                    <w:t>75</w:t>
                  </w:r>
                </w:p>
              </w:tc>
              <w:tc>
                <w:tcPr>
                  <w:tcW w:w="680" w:type="pct"/>
                  <w:vMerge w:val="continue"/>
                  <w:shd w:val="clear" w:color="auto" w:fill="auto"/>
                  <w:tcMar>
                    <w:top w:w="0" w:type="dxa"/>
                    <w:left w:w="0" w:type="dxa"/>
                    <w:bottom w:w="0" w:type="dxa"/>
                    <w:right w:w="0" w:type="dxa"/>
                  </w:tcMar>
                  <w:vAlign w:val="center"/>
                </w:tcPr>
                <w:p w14:paraId="5E37BAE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4A721CA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87</w:t>
                  </w:r>
                </w:p>
              </w:tc>
              <w:tc>
                <w:tcPr>
                  <w:tcW w:w="466" w:type="pct"/>
                  <w:shd w:val="clear" w:color="auto" w:fill="auto"/>
                  <w:tcMar>
                    <w:top w:w="0" w:type="dxa"/>
                    <w:left w:w="0" w:type="dxa"/>
                    <w:bottom w:w="0" w:type="dxa"/>
                    <w:right w:w="0" w:type="dxa"/>
                  </w:tcMar>
                  <w:vAlign w:val="center"/>
                </w:tcPr>
                <w:p w14:paraId="28DDF4C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39</w:t>
                  </w:r>
                </w:p>
              </w:tc>
              <w:tc>
                <w:tcPr>
                  <w:tcW w:w="269" w:type="pct"/>
                  <w:shd w:val="clear" w:color="auto" w:fill="auto"/>
                  <w:tcMar>
                    <w:top w:w="0" w:type="dxa"/>
                    <w:left w:w="0" w:type="dxa"/>
                    <w:bottom w:w="0" w:type="dxa"/>
                    <w:right w:w="0" w:type="dxa"/>
                  </w:tcMar>
                  <w:vAlign w:val="center"/>
                </w:tcPr>
                <w:p w14:paraId="683F9B7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67BF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7D5B2A7C">
                  <w:pPr>
                    <w:keepNext w:val="0"/>
                    <w:keepLines w:val="0"/>
                    <w:pageBreakBefore w:val="0"/>
                    <w:kinsoku/>
                    <w:wordWrap/>
                    <w:overflowPunct/>
                    <w:topLinePunct w:val="0"/>
                    <w:autoSpaceDE/>
                    <w:autoSpaceDN/>
                    <w:bidi w:val="0"/>
                    <w:adjustRightInd/>
                    <w:snapToGrid/>
                    <w:jc w:val="center"/>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w:t>
                  </w:r>
                </w:p>
              </w:tc>
              <w:tc>
                <w:tcPr>
                  <w:tcW w:w="601" w:type="pct"/>
                  <w:vMerge w:val="restart"/>
                  <w:shd w:val="clear" w:color="auto" w:fill="auto"/>
                  <w:tcMar>
                    <w:top w:w="0" w:type="dxa"/>
                    <w:left w:w="0" w:type="dxa"/>
                    <w:bottom w:w="0" w:type="dxa"/>
                    <w:right w:w="0" w:type="dxa"/>
                  </w:tcMar>
                  <w:vAlign w:val="center"/>
                </w:tcPr>
                <w:p w14:paraId="5804691B">
                  <w:pPr>
                    <w:keepNext w:val="0"/>
                    <w:keepLines w:val="0"/>
                    <w:pageBreakBefore w:val="0"/>
                    <w:kinsoku/>
                    <w:wordWrap/>
                    <w:overflowPunct/>
                    <w:topLinePunct w:val="0"/>
                    <w:autoSpaceDE/>
                    <w:autoSpaceDN/>
                    <w:bidi w:val="0"/>
                    <w:adjustRightInd/>
                    <w:snapToGrid/>
                    <w:jc w:val="both"/>
                    <w:rPr>
                      <w:rFonts w:hint="eastAsia"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现有项目</w:t>
                  </w:r>
                  <w:r>
                    <w:rPr>
                      <w:rFonts w:hint="eastAsia" w:cs="Times New Roman"/>
                      <w:color w:val="auto"/>
                      <w:sz w:val="21"/>
                      <w:szCs w:val="21"/>
                      <w:lang w:val="en-US" w:eastAsia="zh-CN"/>
                    </w:rPr>
                    <w:t>②</w:t>
                  </w:r>
                  <w:r>
                    <w:rPr>
                      <w:rFonts w:hint="default" w:ascii="Times New Roman" w:hAnsi="Times New Roman" w:cs="Times New Roman"/>
                      <w:color w:val="auto"/>
                      <w:sz w:val="21"/>
                      <w:szCs w:val="21"/>
                      <w:lang w:val="en-US" w:eastAsia="zh-CN"/>
                    </w:rPr>
                    <w:t>仓库</w:t>
                  </w:r>
                </w:p>
              </w:tc>
              <w:tc>
                <w:tcPr>
                  <w:tcW w:w="1112" w:type="pct"/>
                  <w:shd w:val="clear" w:color="auto" w:fill="auto"/>
                  <w:tcMar>
                    <w:top w:w="0" w:type="dxa"/>
                    <w:left w:w="0" w:type="dxa"/>
                    <w:bottom w:w="0" w:type="dxa"/>
                    <w:right w:w="0" w:type="dxa"/>
                  </w:tcMar>
                  <w:vAlign w:val="center"/>
                </w:tcPr>
                <w:p w14:paraId="769B42F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6E59C42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continue"/>
                  <w:shd w:val="clear" w:color="auto" w:fill="auto"/>
                  <w:tcMar>
                    <w:top w:w="0" w:type="dxa"/>
                    <w:left w:w="0" w:type="dxa"/>
                    <w:bottom w:w="0" w:type="dxa"/>
                    <w:right w:w="0" w:type="dxa"/>
                  </w:tcMar>
                  <w:vAlign w:val="center"/>
                </w:tcPr>
                <w:p w14:paraId="5D93E42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16EEA8E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65</w:t>
                  </w:r>
                </w:p>
              </w:tc>
              <w:tc>
                <w:tcPr>
                  <w:tcW w:w="466" w:type="pct"/>
                  <w:shd w:val="clear" w:color="auto" w:fill="auto"/>
                  <w:tcMar>
                    <w:top w:w="0" w:type="dxa"/>
                    <w:left w:w="0" w:type="dxa"/>
                    <w:bottom w:w="0" w:type="dxa"/>
                    <w:right w:w="0" w:type="dxa"/>
                  </w:tcMar>
                  <w:vAlign w:val="center"/>
                </w:tcPr>
                <w:p w14:paraId="298C8B7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24</w:t>
                  </w:r>
                </w:p>
              </w:tc>
              <w:tc>
                <w:tcPr>
                  <w:tcW w:w="269" w:type="pct"/>
                  <w:shd w:val="clear" w:color="auto" w:fill="auto"/>
                  <w:tcMar>
                    <w:top w:w="0" w:type="dxa"/>
                    <w:left w:w="0" w:type="dxa"/>
                    <w:bottom w:w="0" w:type="dxa"/>
                    <w:right w:w="0" w:type="dxa"/>
                  </w:tcMar>
                  <w:vAlign w:val="center"/>
                </w:tcPr>
                <w:p w14:paraId="79941CE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6C9B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3455C23E">
                  <w:pPr>
                    <w:keepNext w:val="0"/>
                    <w:keepLines w:val="0"/>
                    <w:pageBreakBefore w:val="0"/>
                    <w:kinsoku/>
                    <w:wordWrap/>
                    <w:overflowPunct/>
                    <w:topLinePunct w:val="0"/>
                    <w:autoSpaceDE/>
                    <w:autoSpaceDN/>
                    <w:bidi w:val="0"/>
                    <w:adjustRightInd/>
                    <w:snapToGrid/>
                    <w:jc w:val="center"/>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w:t>
                  </w:r>
                </w:p>
              </w:tc>
              <w:tc>
                <w:tcPr>
                  <w:tcW w:w="601" w:type="pct"/>
                  <w:vMerge w:val="continue"/>
                  <w:shd w:val="clear" w:color="auto" w:fill="auto"/>
                  <w:tcMar>
                    <w:top w:w="0" w:type="dxa"/>
                    <w:left w:w="0" w:type="dxa"/>
                    <w:bottom w:w="0" w:type="dxa"/>
                    <w:right w:w="0" w:type="dxa"/>
                  </w:tcMar>
                  <w:vAlign w:val="center"/>
                </w:tcPr>
                <w:p w14:paraId="0F2AF143">
                  <w:pPr>
                    <w:keepNext w:val="0"/>
                    <w:keepLines w:val="0"/>
                    <w:pageBreakBefore w:val="0"/>
                    <w:kinsoku/>
                    <w:wordWrap/>
                    <w:overflowPunct/>
                    <w:topLinePunct w:val="0"/>
                    <w:autoSpaceDE/>
                    <w:autoSpaceDN/>
                    <w:bidi w:val="0"/>
                    <w:adjustRightInd/>
                    <w:snapToGrid/>
                    <w:jc w:val="both"/>
                    <w:rPr>
                      <w:rFonts w:hint="eastAsia" w:cs="Times New Roman" w:eastAsiaTheme="minorEastAsia"/>
                      <w:color w:val="auto"/>
                      <w:sz w:val="21"/>
                      <w:szCs w:val="21"/>
                      <w:lang w:val="en-US" w:eastAsia="zh-CN"/>
                    </w:rPr>
                  </w:pPr>
                </w:p>
              </w:tc>
              <w:tc>
                <w:tcPr>
                  <w:tcW w:w="1112" w:type="pct"/>
                  <w:shd w:val="clear" w:color="auto" w:fill="auto"/>
                  <w:tcMar>
                    <w:top w:w="0" w:type="dxa"/>
                    <w:left w:w="0" w:type="dxa"/>
                    <w:bottom w:w="0" w:type="dxa"/>
                    <w:right w:w="0" w:type="dxa"/>
                  </w:tcMar>
                  <w:vAlign w:val="center"/>
                </w:tcPr>
                <w:p w14:paraId="1813C27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4AFDE45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宋体" w:cs="Times New Roman"/>
                      <w:color w:val="auto"/>
                      <w:sz w:val="21"/>
                      <w:szCs w:val="21"/>
                      <w:lang w:val="en-US" w:eastAsia="zh-CN"/>
                    </w:rPr>
                    <w:t>75</w:t>
                  </w:r>
                </w:p>
              </w:tc>
              <w:tc>
                <w:tcPr>
                  <w:tcW w:w="680" w:type="pct"/>
                  <w:vMerge w:val="continue"/>
                  <w:shd w:val="clear" w:color="auto" w:fill="auto"/>
                  <w:tcMar>
                    <w:top w:w="0" w:type="dxa"/>
                    <w:left w:w="0" w:type="dxa"/>
                    <w:bottom w:w="0" w:type="dxa"/>
                    <w:right w:w="0" w:type="dxa"/>
                  </w:tcMar>
                  <w:vAlign w:val="center"/>
                </w:tcPr>
                <w:p w14:paraId="53D6A3D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4560DFA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63</w:t>
                  </w:r>
                </w:p>
              </w:tc>
              <w:tc>
                <w:tcPr>
                  <w:tcW w:w="466" w:type="pct"/>
                  <w:shd w:val="clear" w:color="auto" w:fill="auto"/>
                  <w:tcMar>
                    <w:top w:w="0" w:type="dxa"/>
                    <w:left w:w="0" w:type="dxa"/>
                    <w:bottom w:w="0" w:type="dxa"/>
                    <w:right w:w="0" w:type="dxa"/>
                  </w:tcMar>
                  <w:vAlign w:val="center"/>
                </w:tcPr>
                <w:p w14:paraId="10DCFFD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25</w:t>
                  </w:r>
                </w:p>
              </w:tc>
              <w:tc>
                <w:tcPr>
                  <w:tcW w:w="269" w:type="pct"/>
                  <w:shd w:val="clear" w:color="auto" w:fill="auto"/>
                  <w:tcMar>
                    <w:top w:w="0" w:type="dxa"/>
                    <w:left w:w="0" w:type="dxa"/>
                    <w:bottom w:w="0" w:type="dxa"/>
                    <w:right w:w="0" w:type="dxa"/>
                  </w:tcMar>
                  <w:vAlign w:val="center"/>
                </w:tcPr>
                <w:p w14:paraId="4FA74345">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64A0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34E23D5C">
                  <w:pPr>
                    <w:keepNext w:val="0"/>
                    <w:keepLines w:val="0"/>
                    <w:pageBreakBefore w:val="0"/>
                    <w:kinsoku/>
                    <w:wordWrap/>
                    <w:overflowPunct/>
                    <w:topLinePunct w:val="0"/>
                    <w:autoSpaceDE/>
                    <w:autoSpaceDN/>
                    <w:bidi w:val="0"/>
                    <w:adjustRightInd/>
                    <w:snapToGrid/>
                    <w:jc w:val="center"/>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w:t>
                  </w:r>
                </w:p>
              </w:tc>
              <w:tc>
                <w:tcPr>
                  <w:tcW w:w="601" w:type="pct"/>
                  <w:vMerge w:val="restart"/>
                  <w:shd w:val="clear" w:color="auto" w:fill="auto"/>
                  <w:tcMar>
                    <w:top w:w="0" w:type="dxa"/>
                    <w:left w:w="0" w:type="dxa"/>
                    <w:bottom w:w="0" w:type="dxa"/>
                    <w:right w:w="0" w:type="dxa"/>
                  </w:tcMar>
                  <w:vAlign w:val="center"/>
                </w:tcPr>
                <w:p w14:paraId="7D792F77">
                  <w:pPr>
                    <w:keepNext w:val="0"/>
                    <w:keepLines w:val="0"/>
                    <w:pageBreakBefore w:val="0"/>
                    <w:kinsoku/>
                    <w:wordWrap/>
                    <w:overflowPunct/>
                    <w:topLinePunct w:val="0"/>
                    <w:autoSpaceDE/>
                    <w:autoSpaceDN/>
                    <w:bidi w:val="0"/>
                    <w:adjustRightInd/>
                    <w:snapToGrid/>
                    <w:jc w:val="both"/>
                    <w:rPr>
                      <w:rFonts w:hint="eastAsia"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现有项目③</w:t>
                  </w:r>
                  <w:r>
                    <w:rPr>
                      <w:rFonts w:hint="default" w:ascii="Times New Roman" w:hAnsi="Times New Roman" w:cs="Times New Roman"/>
                      <w:color w:val="auto"/>
                      <w:sz w:val="21"/>
                      <w:szCs w:val="21"/>
                      <w:lang w:val="en-US" w:eastAsia="zh-CN"/>
                    </w:rPr>
                    <w:t>仓库</w:t>
                  </w:r>
                </w:p>
              </w:tc>
              <w:tc>
                <w:tcPr>
                  <w:tcW w:w="1112" w:type="pct"/>
                  <w:shd w:val="clear" w:color="auto" w:fill="auto"/>
                  <w:tcMar>
                    <w:top w:w="0" w:type="dxa"/>
                    <w:left w:w="0" w:type="dxa"/>
                    <w:bottom w:w="0" w:type="dxa"/>
                    <w:right w:w="0" w:type="dxa"/>
                  </w:tcMar>
                  <w:vAlign w:val="center"/>
                </w:tcPr>
                <w:p w14:paraId="5F98FC7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22046325">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continue"/>
                  <w:shd w:val="clear" w:color="auto" w:fill="auto"/>
                  <w:tcMar>
                    <w:top w:w="0" w:type="dxa"/>
                    <w:left w:w="0" w:type="dxa"/>
                    <w:bottom w:w="0" w:type="dxa"/>
                    <w:right w:w="0" w:type="dxa"/>
                  </w:tcMar>
                  <w:vAlign w:val="center"/>
                </w:tcPr>
                <w:p w14:paraId="011F988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0DD82AB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68</w:t>
                  </w:r>
                </w:p>
              </w:tc>
              <w:tc>
                <w:tcPr>
                  <w:tcW w:w="466" w:type="pct"/>
                  <w:shd w:val="clear" w:color="auto" w:fill="auto"/>
                  <w:tcMar>
                    <w:top w:w="0" w:type="dxa"/>
                    <w:left w:w="0" w:type="dxa"/>
                    <w:bottom w:w="0" w:type="dxa"/>
                    <w:right w:w="0" w:type="dxa"/>
                  </w:tcMar>
                  <w:vAlign w:val="center"/>
                </w:tcPr>
                <w:p w14:paraId="15AD01D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w:t>
                  </w:r>
                </w:p>
              </w:tc>
              <w:tc>
                <w:tcPr>
                  <w:tcW w:w="269" w:type="pct"/>
                  <w:shd w:val="clear" w:color="auto" w:fill="auto"/>
                  <w:tcMar>
                    <w:top w:w="0" w:type="dxa"/>
                    <w:left w:w="0" w:type="dxa"/>
                    <w:bottom w:w="0" w:type="dxa"/>
                    <w:right w:w="0" w:type="dxa"/>
                  </w:tcMar>
                  <w:vAlign w:val="center"/>
                </w:tcPr>
                <w:p w14:paraId="7F95D1E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7CCD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7944593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w:t>
                  </w:r>
                </w:p>
              </w:tc>
              <w:tc>
                <w:tcPr>
                  <w:tcW w:w="601" w:type="pct"/>
                  <w:vMerge w:val="continue"/>
                  <w:shd w:val="clear" w:color="auto" w:fill="auto"/>
                  <w:tcMar>
                    <w:top w:w="0" w:type="dxa"/>
                    <w:left w:w="0" w:type="dxa"/>
                    <w:bottom w:w="0" w:type="dxa"/>
                    <w:right w:w="0" w:type="dxa"/>
                  </w:tcMar>
                  <w:vAlign w:val="center"/>
                </w:tcPr>
                <w:p w14:paraId="535875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1112" w:type="pct"/>
                  <w:shd w:val="clear" w:color="auto" w:fill="auto"/>
                  <w:tcMar>
                    <w:top w:w="0" w:type="dxa"/>
                    <w:left w:w="0" w:type="dxa"/>
                    <w:bottom w:w="0" w:type="dxa"/>
                    <w:right w:w="0" w:type="dxa"/>
                  </w:tcMar>
                  <w:vAlign w:val="center"/>
                </w:tcPr>
                <w:p w14:paraId="558FD7F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470B721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r>
                    <w:rPr>
                      <w:rFonts w:hint="default" w:ascii="Times New Roman" w:hAnsi="Times New Roman" w:eastAsia="宋体" w:cs="Times New Roman"/>
                      <w:color w:val="auto"/>
                      <w:sz w:val="21"/>
                      <w:szCs w:val="21"/>
                      <w:lang w:val="en-US" w:eastAsia="zh-CN"/>
                    </w:rPr>
                    <w:t>75</w:t>
                  </w:r>
                </w:p>
              </w:tc>
              <w:tc>
                <w:tcPr>
                  <w:tcW w:w="680" w:type="pct"/>
                  <w:vMerge w:val="continue"/>
                  <w:shd w:val="clear" w:color="auto" w:fill="auto"/>
                  <w:tcMar>
                    <w:top w:w="0" w:type="dxa"/>
                    <w:left w:w="0" w:type="dxa"/>
                    <w:bottom w:w="0" w:type="dxa"/>
                    <w:right w:w="0" w:type="dxa"/>
                  </w:tcMar>
                  <w:vAlign w:val="center"/>
                </w:tcPr>
                <w:p w14:paraId="7B5D57F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rPr>
                  </w:pPr>
                </w:p>
              </w:tc>
              <w:tc>
                <w:tcPr>
                  <w:tcW w:w="495" w:type="pct"/>
                  <w:shd w:val="clear" w:color="auto" w:fill="auto"/>
                  <w:tcMar>
                    <w:top w:w="0" w:type="dxa"/>
                    <w:left w:w="0" w:type="dxa"/>
                    <w:bottom w:w="0" w:type="dxa"/>
                    <w:right w:w="0" w:type="dxa"/>
                  </w:tcMar>
                  <w:vAlign w:val="center"/>
                </w:tcPr>
                <w:p w14:paraId="3DFB261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66</w:t>
                  </w:r>
                </w:p>
              </w:tc>
              <w:tc>
                <w:tcPr>
                  <w:tcW w:w="466" w:type="pct"/>
                  <w:shd w:val="clear" w:color="auto" w:fill="auto"/>
                  <w:tcMar>
                    <w:top w:w="0" w:type="dxa"/>
                    <w:left w:w="0" w:type="dxa"/>
                    <w:bottom w:w="0" w:type="dxa"/>
                    <w:right w:w="0" w:type="dxa"/>
                  </w:tcMar>
                  <w:vAlign w:val="center"/>
                </w:tcPr>
                <w:p w14:paraId="5C713FE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-11</w:t>
                  </w:r>
                </w:p>
              </w:tc>
              <w:tc>
                <w:tcPr>
                  <w:tcW w:w="269" w:type="pct"/>
                  <w:shd w:val="clear" w:color="auto" w:fill="auto"/>
                  <w:tcMar>
                    <w:top w:w="0" w:type="dxa"/>
                    <w:left w:w="0" w:type="dxa"/>
                    <w:bottom w:w="0" w:type="dxa"/>
                    <w:right w:w="0" w:type="dxa"/>
                  </w:tcMar>
                  <w:vAlign w:val="center"/>
                </w:tcPr>
                <w:p w14:paraId="1854C70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w:t>
                  </w:r>
                </w:p>
              </w:tc>
            </w:tr>
            <w:tr w14:paraId="3489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5702AA00">
                  <w:pPr>
                    <w:keepNext w:val="0"/>
                    <w:keepLines w:val="0"/>
                    <w:pageBreakBefore w:val="0"/>
                    <w:kinsoku/>
                    <w:wordWrap/>
                    <w:overflowPunct/>
                    <w:topLinePunct w:val="0"/>
                    <w:autoSpaceDE/>
                    <w:autoSpaceDN/>
                    <w:bidi w:val="0"/>
                    <w:adjustRightInd/>
                    <w:snapToGrid/>
                    <w:jc w:val="center"/>
                    <w:rPr>
                      <w:rFonts w:hint="eastAsia" w:ascii="Times New Roman" w:hAnsi="Times New Roman" w:eastAsia="宋体" w:cs="Times New Roman"/>
                      <w:color w:val="auto"/>
                      <w:sz w:val="21"/>
                      <w:szCs w:val="21"/>
                      <w:lang w:eastAsia="zh-CN"/>
                    </w:rPr>
                  </w:pPr>
                  <w:r>
                    <w:rPr>
                      <w:rFonts w:hint="eastAsia" w:eastAsia="宋体" w:cs="Times New Roman"/>
                      <w:color w:val="auto"/>
                      <w:sz w:val="21"/>
                      <w:szCs w:val="21"/>
                      <w:lang w:val="en-US" w:eastAsia="zh-CN"/>
                    </w:rPr>
                    <w:t>7</w:t>
                  </w:r>
                </w:p>
              </w:tc>
              <w:tc>
                <w:tcPr>
                  <w:tcW w:w="601" w:type="pct"/>
                  <w:vMerge w:val="restart"/>
                  <w:shd w:val="clear" w:color="auto" w:fill="auto"/>
                  <w:tcMar>
                    <w:top w:w="0" w:type="dxa"/>
                    <w:left w:w="0" w:type="dxa"/>
                    <w:bottom w:w="0" w:type="dxa"/>
                    <w:right w:w="0" w:type="dxa"/>
                  </w:tcMar>
                  <w:vAlign w:val="center"/>
                </w:tcPr>
                <w:p w14:paraId="0ABFEC2E">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地块一①仓库</w:t>
                  </w:r>
                </w:p>
              </w:tc>
              <w:tc>
                <w:tcPr>
                  <w:tcW w:w="1112" w:type="pct"/>
                  <w:shd w:val="clear" w:color="auto" w:fill="auto"/>
                  <w:tcMar>
                    <w:top w:w="0" w:type="dxa"/>
                    <w:left w:w="0" w:type="dxa"/>
                    <w:bottom w:w="0" w:type="dxa"/>
                    <w:right w:w="0" w:type="dxa"/>
                  </w:tcMar>
                  <w:vAlign w:val="center"/>
                </w:tcPr>
                <w:p w14:paraId="41B985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79B4E844">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eastAsia="zh-CN"/>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continue"/>
                  <w:shd w:val="clear" w:color="auto" w:fill="auto"/>
                  <w:tcMar>
                    <w:top w:w="0" w:type="dxa"/>
                    <w:left w:w="0" w:type="dxa"/>
                    <w:bottom w:w="0" w:type="dxa"/>
                    <w:right w:w="0" w:type="dxa"/>
                  </w:tcMar>
                  <w:vAlign w:val="center"/>
                </w:tcPr>
                <w:p w14:paraId="5CA54A45">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p>
              </w:tc>
              <w:tc>
                <w:tcPr>
                  <w:tcW w:w="495" w:type="pct"/>
                  <w:shd w:val="clear" w:color="auto" w:fill="auto"/>
                  <w:tcMar>
                    <w:top w:w="0" w:type="dxa"/>
                    <w:left w:w="0" w:type="dxa"/>
                    <w:bottom w:w="0" w:type="dxa"/>
                    <w:right w:w="0" w:type="dxa"/>
                  </w:tcMar>
                  <w:vAlign w:val="center"/>
                </w:tcPr>
                <w:p w14:paraId="50D52965">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-1.2</w:t>
                  </w:r>
                </w:p>
              </w:tc>
              <w:tc>
                <w:tcPr>
                  <w:tcW w:w="466" w:type="pct"/>
                  <w:shd w:val="clear" w:color="auto" w:fill="auto"/>
                  <w:tcMar>
                    <w:top w:w="0" w:type="dxa"/>
                    <w:left w:w="0" w:type="dxa"/>
                    <w:bottom w:w="0" w:type="dxa"/>
                    <w:right w:w="0" w:type="dxa"/>
                  </w:tcMar>
                  <w:vAlign w:val="center"/>
                </w:tcPr>
                <w:p w14:paraId="39C01278">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-38.4</w:t>
                  </w:r>
                </w:p>
              </w:tc>
              <w:tc>
                <w:tcPr>
                  <w:tcW w:w="269" w:type="pct"/>
                  <w:shd w:val="clear" w:color="auto" w:fill="auto"/>
                  <w:tcMar>
                    <w:top w:w="0" w:type="dxa"/>
                    <w:left w:w="0" w:type="dxa"/>
                    <w:bottom w:w="0" w:type="dxa"/>
                    <w:right w:w="0" w:type="dxa"/>
                  </w:tcMar>
                  <w:vAlign w:val="center"/>
                </w:tcPr>
                <w:p w14:paraId="2DA1826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eastAsia="Arial" w:cs="Times New Roman"/>
                      <w:color w:val="auto"/>
                      <w:sz w:val="21"/>
                      <w:szCs w:val="21"/>
                    </w:rPr>
                    <w:t>1.2</w:t>
                  </w:r>
                </w:p>
              </w:tc>
            </w:tr>
            <w:tr w14:paraId="4498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799C6345">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c>
                <w:tcPr>
                  <w:tcW w:w="601" w:type="pct"/>
                  <w:vMerge w:val="continue"/>
                  <w:shd w:val="clear" w:color="auto" w:fill="auto"/>
                  <w:tcMar>
                    <w:top w:w="0" w:type="dxa"/>
                    <w:left w:w="0" w:type="dxa"/>
                    <w:bottom w:w="0" w:type="dxa"/>
                    <w:right w:w="0" w:type="dxa"/>
                  </w:tcMar>
                  <w:vAlign w:val="center"/>
                </w:tcPr>
                <w:p w14:paraId="3A01749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lang w:val="en-US" w:eastAsia="zh-CN"/>
                    </w:rPr>
                  </w:pPr>
                </w:p>
              </w:tc>
              <w:tc>
                <w:tcPr>
                  <w:tcW w:w="1112" w:type="pct"/>
                  <w:shd w:val="clear" w:color="auto" w:fill="auto"/>
                  <w:tcMar>
                    <w:top w:w="0" w:type="dxa"/>
                    <w:left w:w="0" w:type="dxa"/>
                    <w:bottom w:w="0" w:type="dxa"/>
                    <w:right w:w="0" w:type="dxa"/>
                  </w:tcMar>
                  <w:vAlign w:val="center"/>
                </w:tcPr>
                <w:p w14:paraId="73072AC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2E84FD75">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w:t>
                  </w:r>
                </w:p>
              </w:tc>
              <w:tc>
                <w:tcPr>
                  <w:tcW w:w="680" w:type="pct"/>
                  <w:vMerge w:val="continue"/>
                  <w:shd w:val="clear" w:color="auto" w:fill="auto"/>
                  <w:tcMar>
                    <w:top w:w="0" w:type="dxa"/>
                    <w:left w:w="0" w:type="dxa"/>
                    <w:bottom w:w="0" w:type="dxa"/>
                    <w:right w:w="0" w:type="dxa"/>
                  </w:tcMar>
                  <w:vAlign w:val="center"/>
                </w:tcPr>
                <w:p w14:paraId="7D3BF7B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pacing w:val="0"/>
                      <w:sz w:val="21"/>
                      <w:szCs w:val="21"/>
                    </w:rPr>
                  </w:pPr>
                </w:p>
              </w:tc>
              <w:tc>
                <w:tcPr>
                  <w:tcW w:w="495" w:type="pct"/>
                  <w:shd w:val="clear" w:color="auto" w:fill="auto"/>
                  <w:tcMar>
                    <w:top w:w="0" w:type="dxa"/>
                    <w:left w:w="0" w:type="dxa"/>
                    <w:bottom w:w="0" w:type="dxa"/>
                    <w:right w:w="0" w:type="dxa"/>
                  </w:tcMar>
                  <w:vAlign w:val="center"/>
                </w:tcPr>
                <w:p w14:paraId="69E391AB">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1.5</w:t>
                  </w:r>
                </w:p>
              </w:tc>
              <w:tc>
                <w:tcPr>
                  <w:tcW w:w="466" w:type="pct"/>
                  <w:shd w:val="clear" w:color="auto" w:fill="auto"/>
                  <w:tcMar>
                    <w:top w:w="0" w:type="dxa"/>
                    <w:left w:w="0" w:type="dxa"/>
                    <w:bottom w:w="0" w:type="dxa"/>
                    <w:right w:w="0" w:type="dxa"/>
                  </w:tcMar>
                  <w:vAlign w:val="center"/>
                </w:tcPr>
                <w:p w14:paraId="03DCBA90">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-36.9</w:t>
                  </w:r>
                </w:p>
              </w:tc>
              <w:tc>
                <w:tcPr>
                  <w:tcW w:w="269" w:type="pct"/>
                  <w:shd w:val="clear" w:color="auto" w:fill="auto"/>
                  <w:tcMar>
                    <w:top w:w="0" w:type="dxa"/>
                    <w:left w:w="0" w:type="dxa"/>
                    <w:bottom w:w="0" w:type="dxa"/>
                    <w:right w:w="0" w:type="dxa"/>
                  </w:tcMar>
                  <w:vAlign w:val="center"/>
                </w:tcPr>
                <w:p w14:paraId="4E142D40">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r>
            <w:tr w14:paraId="0F6B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7200D371">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w:t>
                  </w:r>
                </w:p>
              </w:tc>
              <w:tc>
                <w:tcPr>
                  <w:tcW w:w="601" w:type="pct"/>
                  <w:vMerge w:val="restart"/>
                  <w:shd w:val="clear" w:color="auto" w:fill="auto"/>
                  <w:tcMar>
                    <w:top w:w="0" w:type="dxa"/>
                    <w:left w:w="0" w:type="dxa"/>
                    <w:bottom w:w="0" w:type="dxa"/>
                    <w:right w:w="0" w:type="dxa"/>
                  </w:tcMar>
                  <w:vAlign w:val="center"/>
                </w:tcPr>
                <w:p w14:paraId="399DDDB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地块一②仓库</w:t>
                  </w:r>
                </w:p>
              </w:tc>
              <w:tc>
                <w:tcPr>
                  <w:tcW w:w="1112" w:type="pct"/>
                  <w:shd w:val="clear" w:color="auto" w:fill="auto"/>
                  <w:tcMar>
                    <w:top w:w="0" w:type="dxa"/>
                    <w:left w:w="0" w:type="dxa"/>
                    <w:bottom w:w="0" w:type="dxa"/>
                    <w:right w:w="0" w:type="dxa"/>
                  </w:tcMar>
                  <w:vAlign w:val="center"/>
                </w:tcPr>
                <w:p w14:paraId="765B8B5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5C5D8969">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continue"/>
                  <w:shd w:val="clear" w:color="auto" w:fill="auto"/>
                  <w:tcMar>
                    <w:top w:w="0" w:type="dxa"/>
                    <w:left w:w="0" w:type="dxa"/>
                    <w:bottom w:w="0" w:type="dxa"/>
                    <w:right w:w="0" w:type="dxa"/>
                  </w:tcMar>
                  <w:vAlign w:val="center"/>
                </w:tcPr>
                <w:p w14:paraId="7F61750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pacing w:val="0"/>
                      <w:sz w:val="21"/>
                      <w:szCs w:val="21"/>
                    </w:rPr>
                  </w:pPr>
                </w:p>
              </w:tc>
              <w:tc>
                <w:tcPr>
                  <w:tcW w:w="495" w:type="pct"/>
                  <w:shd w:val="clear" w:color="auto" w:fill="auto"/>
                  <w:tcMar>
                    <w:top w:w="0" w:type="dxa"/>
                    <w:left w:w="0" w:type="dxa"/>
                    <w:bottom w:w="0" w:type="dxa"/>
                    <w:right w:w="0" w:type="dxa"/>
                  </w:tcMar>
                  <w:vAlign w:val="center"/>
                </w:tcPr>
                <w:p w14:paraId="0EA92B04">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2.8</w:t>
                  </w:r>
                </w:p>
              </w:tc>
              <w:tc>
                <w:tcPr>
                  <w:tcW w:w="466" w:type="pct"/>
                  <w:shd w:val="clear" w:color="auto" w:fill="auto"/>
                  <w:tcMar>
                    <w:top w:w="0" w:type="dxa"/>
                    <w:left w:w="0" w:type="dxa"/>
                    <w:bottom w:w="0" w:type="dxa"/>
                    <w:right w:w="0" w:type="dxa"/>
                  </w:tcMar>
                  <w:vAlign w:val="center"/>
                </w:tcPr>
                <w:p w14:paraId="27CC4C53">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35.5</w:t>
                  </w:r>
                </w:p>
              </w:tc>
              <w:tc>
                <w:tcPr>
                  <w:tcW w:w="269" w:type="pct"/>
                  <w:shd w:val="clear" w:color="auto" w:fill="auto"/>
                  <w:tcMar>
                    <w:top w:w="0" w:type="dxa"/>
                    <w:left w:w="0" w:type="dxa"/>
                    <w:bottom w:w="0" w:type="dxa"/>
                    <w:right w:w="0" w:type="dxa"/>
                  </w:tcMar>
                  <w:vAlign w:val="center"/>
                </w:tcPr>
                <w:p w14:paraId="73231B71">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r>
            <w:tr w14:paraId="3052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081C0B6E">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601" w:type="pct"/>
                  <w:vMerge w:val="continue"/>
                  <w:shd w:val="clear" w:color="auto" w:fill="auto"/>
                  <w:tcMar>
                    <w:top w:w="0" w:type="dxa"/>
                    <w:left w:w="0" w:type="dxa"/>
                    <w:bottom w:w="0" w:type="dxa"/>
                    <w:right w:w="0" w:type="dxa"/>
                  </w:tcMar>
                  <w:vAlign w:val="center"/>
                </w:tcPr>
                <w:p w14:paraId="312E32D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p>
              </w:tc>
              <w:tc>
                <w:tcPr>
                  <w:tcW w:w="1112" w:type="pct"/>
                  <w:shd w:val="clear" w:color="auto" w:fill="auto"/>
                  <w:tcMar>
                    <w:top w:w="0" w:type="dxa"/>
                    <w:left w:w="0" w:type="dxa"/>
                    <w:bottom w:w="0" w:type="dxa"/>
                    <w:right w:w="0" w:type="dxa"/>
                  </w:tcMar>
                  <w:vAlign w:val="center"/>
                </w:tcPr>
                <w:p w14:paraId="4F2820D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5160E09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lang w:val="en-US" w:eastAsia="zh-CN"/>
                    </w:rPr>
                    <w:t>75</w:t>
                  </w:r>
                </w:p>
              </w:tc>
              <w:tc>
                <w:tcPr>
                  <w:tcW w:w="680" w:type="pct"/>
                  <w:vMerge w:val="continue"/>
                  <w:shd w:val="clear" w:color="auto" w:fill="auto"/>
                  <w:tcMar>
                    <w:top w:w="0" w:type="dxa"/>
                    <w:left w:w="0" w:type="dxa"/>
                    <w:bottom w:w="0" w:type="dxa"/>
                    <w:right w:w="0" w:type="dxa"/>
                  </w:tcMar>
                  <w:vAlign w:val="center"/>
                </w:tcPr>
                <w:p w14:paraId="6794B72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p>
              </w:tc>
              <w:tc>
                <w:tcPr>
                  <w:tcW w:w="495" w:type="pct"/>
                  <w:shd w:val="clear" w:color="auto" w:fill="auto"/>
                  <w:tcMar>
                    <w:top w:w="0" w:type="dxa"/>
                    <w:left w:w="0" w:type="dxa"/>
                    <w:bottom w:w="0" w:type="dxa"/>
                    <w:right w:w="0" w:type="dxa"/>
                  </w:tcMar>
                  <w:vAlign w:val="center"/>
                </w:tcPr>
                <w:p w14:paraId="2ABD4B9B">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3.4</w:t>
                  </w:r>
                </w:p>
              </w:tc>
              <w:tc>
                <w:tcPr>
                  <w:tcW w:w="466" w:type="pct"/>
                  <w:shd w:val="clear" w:color="auto" w:fill="auto"/>
                  <w:tcMar>
                    <w:top w:w="0" w:type="dxa"/>
                    <w:left w:w="0" w:type="dxa"/>
                    <w:bottom w:w="0" w:type="dxa"/>
                    <w:right w:w="0" w:type="dxa"/>
                  </w:tcMar>
                  <w:vAlign w:val="center"/>
                </w:tcPr>
                <w:p w14:paraId="3397EA0C">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36.3</w:t>
                  </w:r>
                </w:p>
              </w:tc>
              <w:tc>
                <w:tcPr>
                  <w:tcW w:w="269" w:type="pct"/>
                  <w:shd w:val="clear" w:color="auto" w:fill="auto"/>
                  <w:tcMar>
                    <w:top w:w="0" w:type="dxa"/>
                    <w:left w:w="0" w:type="dxa"/>
                    <w:bottom w:w="0" w:type="dxa"/>
                    <w:right w:w="0" w:type="dxa"/>
                  </w:tcMar>
                  <w:vAlign w:val="center"/>
                </w:tcPr>
                <w:p w14:paraId="1D107A8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eastAsia="Arial" w:cs="Times New Roman"/>
                      <w:color w:val="auto"/>
                      <w:sz w:val="21"/>
                      <w:szCs w:val="21"/>
                    </w:rPr>
                    <w:t>1.2</w:t>
                  </w:r>
                </w:p>
              </w:tc>
            </w:tr>
            <w:tr w14:paraId="6632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3254C8ED">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w:t>
                  </w:r>
                </w:p>
              </w:tc>
              <w:tc>
                <w:tcPr>
                  <w:tcW w:w="601" w:type="pct"/>
                  <w:vMerge w:val="restart"/>
                  <w:shd w:val="clear" w:color="auto" w:fill="auto"/>
                  <w:tcMar>
                    <w:top w:w="0" w:type="dxa"/>
                    <w:left w:w="0" w:type="dxa"/>
                    <w:bottom w:w="0" w:type="dxa"/>
                    <w:right w:w="0" w:type="dxa"/>
                  </w:tcMar>
                  <w:vAlign w:val="center"/>
                </w:tcPr>
                <w:p w14:paraId="32C68F2A">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地块二仓库</w:t>
                  </w:r>
                </w:p>
              </w:tc>
              <w:tc>
                <w:tcPr>
                  <w:tcW w:w="1112" w:type="pct"/>
                  <w:shd w:val="clear" w:color="auto" w:fill="auto"/>
                  <w:tcMar>
                    <w:top w:w="0" w:type="dxa"/>
                    <w:left w:w="0" w:type="dxa"/>
                    <w:bottom w:w="0" w:type="dxa"/>
                    <w:right w:w="0" w:type="dxa"/>
                  </w:tcMar>
                  <w:vAlign w:val="center"/>
                </w:tcPr>
                <w:p w14:paraId="3377079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rPr>
                    <w:t>装卸噪声</w:t>
                  </w:r>
                </w:p>
              </w:tc>
              <w:tc>
                <w:tcPr>
                  <w:tcW w:w="706" w:type="pct"/>
                  <w:shd w:val="clear" w:color="auto" w:fill="auto"/>
                  <w:tcMar>
                    <w:top w:w="0" w:type="dxa"/>
                    <w:left w:w="0" w:type="dxa"/>
                    <w:bottom w:w="0" w:type="dxa"/>
                    <w:right w:w="0" w:type="dxa"/>
                  </w:tcMar>
                  <w:vAlign w:val="center"/>
                </w:tcPr>
                <w:p w14:paraId="5E74BE5B">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eastAsia="zh-CN"/>
                    </w:rPr>
                  </w:pPr>
                  <w:r>
                    <w:rPr>
                      <w:rFonts w:hint="default" w:ascii="Times New Roman" w:hAnsi="Times New Roman" w:eastAsia="Arial" w:cs="Times New Roman"/>
                      <w:color w:val="auto"/>
                      <w:sz w:val="21"/>
                      <w:szCs w:val="21"/>
                    </w:rPr>
                    <w:t>7</w:t>
                  </w:r>
                  <w:r>
                    <w:rPr>
                      <w:rFonts w:hint="default" w:ascii="Times New Roman" w:hAnsi="Times New Roman" w:eastAsia="宋体" w:cs="Times New Roman"/>
                      <w:color w:val="auto"/>
                      <w:sz w:val="21"/>
                      <w:szCs w:val="21"/>
                      <w:lang w:val="en-US" w:eastAsia="zh-CN"/>
                    </w:rPr>
                    <w:t>0</w:t>
                  </w:r>
                </w:p>
              </w:tc>
              <w:tc>
                <w:tcPr>
                  <w:tcW w:w="680" w:type="pct"/>
                  <w:vMerge w:val="continue"/>
                  <w:shd w:val="clear" w:color="auto" w:fill="auto"/>
                  <w:tcMar>
                    <w:top w:w="0" w:type="dxa"/>
                    <w:left w:w="0" w:type="dxa"/>
                    <w:bottom w:w="0" w:type="dxa"/>
                    <w:right w:w="0" w:type="dxa"/>
                  </w:tcMar>
                  <w:vAlign w:val="center"/>
                </w:tcPr>
                <w:p w14:paraId="3BC3678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p>
              </w:tc>
              <w:tc>
                <w:tcPr>
                  <w:tcW w:w="495" w:type="pct"/>
                  <w:shd w:val="clear" w:color="auto" w:fill="auto"/>
                  <w:tcMar>
                    <w:top w:w="0" w:type="dxa"/>
                    <w:left w:w="0" w:type="dxa"/>
                    <w:bottom w:w="0" w:type="dxa"/>
                    <w:right w:w="0" w:type="dxa"/>
                  </w:tcMar>
                  <w:vAlign w:val="center"/>
                </w:tcPr>
                <w:p w14:paraId="3173472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lang w:val="en-US"/>
                    </w:rPr>
                  </w:pP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3.5</w:t>
                  </w:r>
                </w:p>
              </w:tc>
              <w:tc>
                <w:tcPr>
                  <w:tcW w:w="466" w:type="pct"/>
                  <w:shd w:val="clear" w:color="auto" w:fill="auto"/>
                  <w:tcMar>
                    <w:top w:w="0" w:type="dxa"/>
                    <w:left w:w="0" w:type="dxa"/>
                    <w:bottom w:w="0" w:type="dxa"/>
                    <w:right w:w="0" w:type="dxa"/>
                  </w:tcMar>
                  <w:vAlign w:val="center"/>
                </w:tcPr>
                <w:p w14:paraId="6A47FE0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2.8</w:t>
                  </w:r>
                </w:p>
              </w:tc>
              <w:tc>
                <w:tcPr>
                  <w:tcW w:w="269" w:type="pct"/>
                  <w:shd w:val="clear" w:color="auto" w:fill="auto"/>
                  <w:tcMar>
                    <w:top w:w="0" w:type="dxa"/>
                    <w:left w:w="0" w:type="dxa"/>
                    <w:bottom w:w="0" w:type="dxa"/>
                    <w:right w:w="0" w:type="dxa"/>
                  </w:tcMar>
                  <w:vAlign w:val="center"/>
                </w:tcPr>
                <w:p w14:paraId="3156E05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r>
                    <w:rPr>
                      <w:rFonts w:hint="default" w:ascii="Times New Roman" w:hAnsi="Times New Roman" w:eastAsia="Arial" w:cs="Times New Roman"/>
                      <w:color w:val="auto"/>
                      <w:sz w:val="21"/>
                      <w:szCs w:val="21"/>
                    </w:rPr>
                    <w:t>1.2</w:t>
                  </w:r>
                </w:p>
              </w:tc>
            </w:tr>
            <w:tr w14:paraId="4A91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8" w:type="pct"/>
                  <w:shd w:val="clear" w:color="auto" w:fill="auto"/>
                  <w:tcMar>
                    <w:top w:w="0" w:type="dxa"/>
                    <w:left w:w="0" w:type="dxa"/>
                    <w:bottom w:w="0" w:type="dxa"/>
                    <w:right w:w="0" w:type="dxa"/>
                  </w:tcMar>
                  <w:vAlign w:val="center"/>
                </w:tcPr>
                <w:p w14:paraId="7202CC1F">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601" w:type="pct"/>
                  <w:vMerge w:val="continue"/>
                  <w:shd w:val="clear" w:color="auto" w:fill="auto"/>
                  <w:tcMar>
                    <w:top w:w="0" w:type="dxa"/>
                    <w:left w:w="0" w:type="dxa"/>
                    <w:bottom w:w="0" w:type="dxa"/>
                    <w:right w:w="0" w:type="dxa"/>
                  </w:tcMar>
                  <w:vAlign w:val="center"/>
                </w:tcPr>
                <w:p w14:paraId="1D8BB180">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rPr>
                  </w:pPr>
                </w:p>
              </w:tc>
              <w:tc>
                <w:tcPr>
                  <w:tcW w:w="1112" w:type="pct"/>
                  <w:shd w:val="clear" w:color="auto" w:fill="auto"/>
                  <w:tcMar>
                    <w:top w:w="0" w:type="dxa"/>
                    <w:left w:w="0" w:type="dxa"/>
                    <w:bottom w:w="0" w:type="dxa"/>
                    <w:right w:w="0" w:type="dxa"/>
                  </w:tcMar>
                  <w:vAlign w:val="center"/>
                </w:tcPr>
                <w:p w14:paraId="02BDC4B6">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spacing w:val="0"/>
                      <w:sz w:val="21"/>
                      <w:szCs w:val="21"/>
                    </w:rPr>
                    <w:t>运输车辆噪声</w:t>
                  </w:r>
                </w:p>
              </w:tc>
              <w:tc>
                <w:tcPr>
                  <w:tcW w:w="706" w:type="pct"/>
                  <w:shd w:val="clear" w:color="auto" w:fill="auto"/>
                  <w:tcMar>
                    <w:top w:w="0" w:type="dxa"/>
                    <w:left w:w="0" w:type="dxa"/>
                    <w:bottom w:w="0" w:type="dxa"/>
                    <w:right w:w="0" w:type="dxa"/>
                  </w:tcMar>
                  <w:vAlign w:val="center"/>
                </w:tcPr>
                <w:p w14:paraId="503E392B">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rPr>
                  </w:pPr>
                  <w:r>
                    <w:rPr>
                      <w:rFonts w:hint="default" w:ascii="Times New Roman" w:hAnsi="Times New Roman" w:eastAsia="Arial" w:cs="Times New Roman"/>
                      <w:color w:val="auto"/>
                      <w:sz w:val="21"/>
                      <w:szCs w:val="21"/>
                    </w:rPr>
                    <w:t>75</w:t>
                  </w:r>
                </w:p>
              </w:tc>
              <w:tc>
                <w:tcPr>
                  <w:tcW w:w="680" w:type="pct"/>
                  <w:vMerge w:val="continue"/>
                  <w:shd w:val="clear" w:color="auto" w:fill="auto"/>
                  <w:tcMar>
                    <w:top w:w="0" w:type="dxa"/>
                    <w:left w:w="0" w:type="dxa"/>
                    <w:bottom w:w="0" w:type="dxa"/>
                    <w:right w:w="0" w:type="dxa"/>
                  </w:tcMar>
                  <w:vAlign w:val="center"/>
                </w:tcPr>
                <w:p w14:paraId="063A419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rPr>
                  </w:pPr>
                </w:p>
              </w:tc>
              <w:tc>
                <w:tcPr>
                  <w:tcW w:w="495" w:type="pct"/>
                  <w:shd w:val="clear" w:color="auto" w:fill="auto"/>
                  <w:tcMar>
                    <w:top w:w="0" w:type="dxa"/>
                    <w:left w:w="0" w:type="dxa"/>
                    <w:bottom w:w="0" w:type="dxa"/>
                    <w:right w:w="0" w:type="dxa"/>
                  </w:tcMar>
                  <w:vAlign w:val="center"/>
                </w:tcPr>
                <w:p w14:paraId="47317784">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lang w:val="en-US"/>
                    </w:rPr>
                  </w:pP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4.2</w:t>
                  </w:r>
                </w:p>
              </w:tc>
              <w:tc>
                <w:tcPr>
                  <w:tcW w:w="466" w:type="pct"/>
                  <w:shd w:val="clear" w:color="auto" w:fill="auto"/>
                  <w:tcMar>
                    <w:top w:w="0" w:type="dxa"/>
                    <w:left w:w="0" w:type="dxa"/>
                    <w:bottom w:w="0" w:type="dxa"/>
                    <w:right w:w="0" w:type="dxa"/>
                  </w:tcMar>
                  <w:vAlign w:val="center"/>
                </w:tcPr>
                <w:p w14:paraId="6032F141">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lang w:val="en-US"/>
                    </w:rPr>
                  </w:pPr>
                  <w:r>
                    <w:rPr>
                      <w:rFonts w:hint="default" w:ascii="Times New Roman" w:hAnsi="Times New Roman" w:cs="Times New Roman"/>
                      <w:color w:val="auto"/>
                      <w:sz w:val="21"/>
                      <w:szCs w:val="21"/>
                      <w:lang w:val="en-US" w:eastAsia="zh-CN"/>
                    </w:rPr>
                    <w:t>2.8</w:t>
                  </w:r>
                </w:p>
              </w:tc>
              <w:tc>
                <w:tcPr>
                  <w:tcW w:w="269" w:type="pct"/>
                  <w:shd w:val="clear" w:color="auto" w:fill="auto"/>
                  <w:tcMar>
                    <w:top w:w="0" w:type="dxa"/>
                    <w:left w:w="0" w:type="dxa"/>
                    <w:bottom w:w="0" w:type="dxa"/>
                    <w:right w:w="0" w:type="dxa"/>
                  </w:tcMar>
                  <w:vAlign w:val="center"/>
                </w:tcPr>
                <w:p w14:paraId="7B5FABFD">
                  <w:pPr>
                    <w:keepNext w:val="0"/>
                    <w:keepLines w:val="0"/>
                    <w:pageBreakBefore w:val="0"/>
                    <w:kinsoku/>
                    <w:wordWrap/>
                    <w:overflowPunct/>
                    <w:topLinePunct w:val="0"/>
                    <w:autoSpaceDE/>
                    <w:autoSpaceDN/>
                    <w:bidi w:val="0"/>
                    <w:adjustRightInd/>
                    <w:snapToGrid/>
                    <w:jc w:val="center"/>
                    <w:rPr>
                      <w:rFonts w:hint="default" w:ascii="Times New Roman" w:hAnsi="Times New Roman" w:eastAsia="Arial" w:cs="Times New Roman"/>
                      <w:color w:val="auto"/>
                      <w:sz w:val="21"/>
                      <w:szCs w:val="21"/>
                    </w:rPr>
                  </w:pPr>
                  <w:r>
                    <w:rPr>
                      <w:rFonts w:hint="default" w:ascii="Times New Roman" w:hAnsi="Times New Roman" w:eastAsia="Arial" w:cs="Times New Roman"/>
                      <w:color w:val="auto"/>
                      <w:sz w:val="21"/>
                      <w:szCs w:val="21"/>
                    </w:rPr>
                    <w:t>1.2</w:t>
                  </w:r>
                </w:p>
              </w:tc>
            </w:tr>
            <w:tr w14:paraId="4B1E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8"/>
                  <w:shd w:val="clear" w:color="auto" w:fill="auto"/>
                  <w:tcMar>
                    <w:top w:w="0" w:type="dxa"/>
                    <w:left w:w="0" w:type="dxa"/>
                    <w:bottom w:w="0" w:type="dxa"/>
                    <w:right w:w="0" w:type="dxa"/>
                  </w:tcMar>
                  <w:vAlign w:val="center"/>
                </w:tcPr>
                <w:p w14:paraId="1741249A">
                  <w:pPr>
                    <w:keepNext w:val="0"/>
                    <w:keepLines w:val="0"/>
                    <w:pageBreakBefore w:val="0"/>
                    <w:kinsoku/>
                    <w:wordWrap/>
                    <w:overflowPunct/>
                    <w:topLinePunct w:val="0"/>
                    <w:autoSpaceDE/>
                    <w:autoSpaceDN/>
                    <w:bidi w:val="0"/>
                    <w:adjustRightInd/>
                    <w:snapToGrid/>
                    <w:jc w:val="left"/>
                    <w:rPr>
                      <w:rFonts w:hint="eastAsia" w:eastAsia="宋体"/>
                      <w:color w:val="auto"/>
                      <w:szCs w:val="21"/>
                      <w:lang w:val="en-US" w:eastAsia="zh-CN"/>
                    </w:rPr>
                  </w:pPr>
                  <w:r>
                    <w:rPr>
                      <w:rFonts w:hint="eastAsia"/>
                      <w:color w:val="auto"/>
                      <w:szCs w:val="21"/>
                      <w:lang w:val="en-US" w:eastAsia="zh-CN"/>
                    </w:rPr>
                    <w:t>地块一：</w:t>
                  </w:r>
                  <w:r>
                    <w:rPr>
                      <w:rFonts w:hint="eastAsia"/>
                      <w:color w:val="auto"/>
                      <w:szCs w:val="21"/>
                      <w:lang w:val="en-US"/>
                    </w:rPr>
                    <w:t>中坐标以厂界中心（</w:t>
                  </w:r>
                  <w:r>
                    <w:rPr>
                      <w:rFonts w:hint="eastAsia"/>
                      <w:color w:val="auto"/>
                      <w:szCs w:val="21"/>
                      <w:lang w:val="en-US" w:eastAsia="zh-CN"/>
                    </w:rPr>
                    <w:t>103.256056</w:t>
                  </w:r>
                  <w:r>
                    <w:rPr>
                      <w:rFonts w:hint="eastAsia"/>
                      <w:color w:val="auto"/>
                      <w:szCs w:val="21"/>
                      <w:lang w:val="en-US"/>
                    </w:rPr>
                    <w:t>,2</w:t>
                  </w:r>
                  <w:r>
                    <w:rPr>
                      <w:rFonts w:hint="eastAsia"/>
                      <w:color w:val="auto"/>
                      <w:szCs w:val="21"/>
                      <w:lang w:val="en-US" w:eastAsia="zh-CN"/>
                    </w:rPr>
                    <w:t>5.611674</w:t>
                  </w:r>
                  <w:r>
                    <w:rPr>
                      <w:rFonts w:hint="eastAsia"/>
                      <w:color w:val="auto"/>
                      <w:szCs w:val="21"/>
                      <w:lang w:val="en-US"/>
                    </w:rPr>
                    <w:t>）为坐标原点，正东向为X轴正方向，正北向为Y轴正方向</w:t>
                  </w:r>
                  <w:r>
                    <w:rPr>
                      <w:rFonts w:hint="eastAsia"/>
                      <w:color w:val="auto"/>
                      <w:szCs w:val="21"/>
                      <w:lang w:val="en-US" w:eastAsia="zh-CN"/>
                    </w:rPr>
                    <w:t>。</w:t>
                  </w:r>
                </w:p>
                <w:p w14:paraId="58DD7776">
                  <w:pPr>
                    <w:keepNext w:val="0"/>
                    <w:keepLines w:val="0"/>
                    <w:pageBreakBefore w:val="0"/>
                    <w:kinsoku/>
                    <w:wordWrap/>
                    <w:overflowPunct/>
                    <w:topLinePunct w:val="0"/>
                    <w:autoSpaceDE/>
                    <w:autoSpaceDN/>
                    <w:bidi w:val="0"/>
                    <w:adjustRightInd/>
                    <w:snapToGrid/>
                    <w:jc w:val="left"/>
                    <w:rPr>
                      <w:rFonts w:hint="eastAsia" w:eastAsia="宋体"/>
                      <w:color w:val="auto"/>
                      <w:szCs w:val="21"/>
                      <w:lang w:val="en-US" w:eastAsia="zh-CN"/>
                    </w:rPr>
                  </w:pPr>
                  <w:r>
                    <w:rPr>
                      <w:rFonts w:hint="eastAsia"/>
                      <w:color w:val="auto"/>
                      <w:szCs w:val="21"/>
                      <w:lang w:val="en-US" w:eastAsia="zh-CN"/>
                    </w:rPr>
                    <w:t>地块二：</w:t>
                  </w:r>
                  <w:r>
                    <w:rPr>
                      <w:rFonts w:hint="eastAsia"/>
                      <w:color w:val="auto"/>
                      <w:szCs w:val="21"/>
                      <w:lang w:val="en-US"/>
                    </w:rPr>
                    <w:t>中坐标以厂界中心（</w:t>
                  </w:r>
                  <w:r>
                    <w:rPr>
                      <w:rFonts w:hint="eastAsia"/>
                      <w:color w:val="auto"/>
                      <w:szCs w:val="21"/>
                      <w:lang w:val="en-US" w:eastAsia="zh-CN"/>
                    </w:rPr>
                    <w:t>103.254801</w:t>
                  </w:r>
                  <w:r>
                    <w:rPr>
                      <w:rFonts w:hint="eastAsia"/>
                      <w:color w:val="auto"/>
                      <w:szCs w:val="21"/>
                      <w:lang w:val="en-US"/>
                    </w:rPr>
                    <w:t>,2</w:t>
                  </w:r>
                  <w:r>
                    <w:rPr>
                      <w:rFonts w:hint="eastAsia"/>
                      <w:color w:val="auto"/>
                      <w:szCs w:val="21"/>
                      <w:lang w:val="en-US" w:eastAsia="zh-CN"/>
                    </w:rPr>
                    <w:t>5.605826</w:t>
                  </w:r>
                  <w:r>
                    <w:rPr>
                      <w:rFonts w:hint="eastAsia"/>
                      <w:color w:val="auto"/>
                      <w:szCs w:val="21"/>
                      <w:lang w:val="en-US"/>
                    </w:rPr>
                    <w:t>）为坐标原点，正东向为X轴正方向，正北向为Y轴正方向</w:t>
                  </w:r>
                  <w:r>
                    <w:rPr>
                      <w:rFonts w:hint="eastAsia"/>
                      <w:color w:val="auto"/>
                      <w:szCs w:val="21"/>
                      <w:lang w:val="en-US" w:eastAsia="zh-CN"/>
                    </w:rPr>
                    <w:t>。</w:t>
                  </w:r>
                </w:p>
              </w:tc>
            </w:tr>
          </w:tbl>
          <w:p w14:paraId="0ECFCF32">
            <w:pPr>
              <w:spacing w:line="360" w:lineRule="auto"/>
              <w:ind w:firstLine="482" w:firstLineChars="200"/>
              <w:rPr>
                <w:b/>
                <w:bCs/>
                <w:color w:val="auto"/>
                <w:sz w:val="24"/>
              </w:rPr>
            </w:pPr>
            <w:r>
              <w:rPr>
                <w:rFonts w:hint="eastAsia"/>
                <w:b/>
                <w:bCs/>
                <w:color w:val="auto"/>
                <w:sz w:val="24"/>
                <w:lang w:val="en-US" w:eastAsia="zh-CN"/>
              </w:rPr>
              <w:t>2、</w:t>
            </w:r>
            <w:r>
              <w:rPr>
                <w:b/>
                <w:bCs/>
                <w:color w:val="auto"/>
                <w:sz w:val="24"/>
              </w:rPr>
              <w:t>预测范围、点位与评价因子</w:t>
            </w:r>
          </w:p>
          <w:p w14:paraId="5D83240C">
            <w:pPr>
              <w:spacing w:line="360" w:lineRule="auto"/>
              <w:ind w:firstLine="480" w:firstLineChars="200"/>
              <w:rPr>
                <w:color w:val="auto"/>
                <w:sz w:val="24"/>
              </w:rPr>
            </w:pPr>
            <w:r>
              <w:rPr>
                <w:color w:val="auto"/>
                <w:sz w:val="24"/>
              </w:rPr>
              <w:t>①噪声预测范围为：厂界外1m。</w:t>
            </w:r>
          </w:p>
          <w:p w14:paraId="076DCA95">
            <w:pPr>
              <w:spacing w:line="360" w:lineRule="auto"/>
              <w:ind w:firstLine="480" w:firstLineChars="200"/>
              <w:rPr>
                <w:color w:val="auto"/>
                <w:sz w:val="24"/>
              </w:rPr>
            </w:pPr>
            <w:r>
              <w:rPr>
                <w:color w:val="auto"/>
                <w:sz w:val="24"/>
              </w:rPr>
              <w:t>②预测点位：</w:t>
            </w:r>
            <w:r>
              <w:rPr>
                <w:rFonts w:hint="eastAsia"/>
                <w:color w:val="auto"/>
                <w:sz w:val="24"/>
                <w:lang w:val="en-US" w:eastAsia="zh-CN"/>
              </w:rPr>
              <w:t>地块一、地块二</w:t>
            </w:r>
            <w:r>
              <w:rPr>
                <w:color w:val="auto"/>
                <w:sz w:val="24"/>
              </w:rPr>
              <w:t>厂界噪声，在东、南、西、北厂界各设置一个。</w:t>
            </w:r>
          </w:p>
          <w:p w14:paraId="3015E7D0">
            <w:pPr>
              <w:spacing w:line="360" w:lineRule="auto"/>
              <w:ind w:firstLine="480" w:firstLineChars="200"/>
              <w:rPr>
                <w:color w:val="auto"/>
                <w:sz w:val="24"/>
              </w:rPr>
            </w:pPr>
            <w:r>
              <w:rPr>
                <w:color w:val="auto"/>
                <w:sz w:val="24"/>
              </w:rPr>
              <w:t>③厂界噪声预测因子：昼夜等效连续A声级。</w:t>
            </w:r>
          </w:p>
          <w:p w14:paraId="47277942">
            <w:pPr>
              <w:spacing w:line="360" w:lineRule="auto"/>
              <w:ind w:firstLine="480" w:firstLineChars="200"/>
              <w:rPr>
                <w:color w:val="auto"/>
                <w:sz w:val="24"/>
              </w:rPr>
            </w:pPr>
            <w:r>
              <w:rPr>
                <w:color w:val="auto"/>
                <w:sz w:val="24"/>
              </w:rPr>
              <w:t>声源和预测点间的地形、高差、障碍物、树林、灌木等的分布情况以及地面覆盖情况（如草地、水面、水泥地面、土质地面等）根据现场踏勘、项目总平图等，并结合卫星图片地理信息数据确定，数据精度为10m。</w:t>
            </w:r>
          </w:p>
          <w:p w14:paraId="49227C6B">
            <w:pPr>
              <w:spacing w:line="360" w:lineRule="auto"/>
              <w:ind w:firstLine="474" w:firstLineChars="200"/>
              <w:rPr>
                <w:rFonts w:hint="default" w:eastAsia="宋体"/>
                <w:b/>
                <w:bCs/>
                <w:color w:val="auto"/>
                <w:spacing w:val="-2"/>
                <w:position w:val="2"/>
                <w:sz w:val="24"/>
                <w:szCs w:val="24"/>
                <w:lang w:val="en-US" w:eastAsia="zh-CN"/>
              </w:rPr>
            </w:pPr>
            <w:r>
              <w:rPr>
                <w:rFonts w:hint="eastAsia"/>
                <w:b/>
                <w:bCs/>
                <w:color w:val="auto"/>
                <w:spacing w:val="-2"/>
                <w:position w:val="2"/>
                <w:sz w:val="24"/>
                <w:szCs w:val="24"/>
                <w:lang w:val="en-US" w:eastAsia="zh-CN"/>
              </w:rPr>
              <w:t>3、预测方法及预测结果</w:t>
            </w:r>
          </w:p>
          <w:p w14:paraId="7EE38B2F">
            <w:pPr>
              <w:spacing w:line="360" w:lineRule="auto"/>
              <w:ind w:firstLine="472" w:firstLineChars="200"/>
              <w:rPr>
                <w:color w:val="auto"/>
                <w:sz w:val="24"/>
                <w:szCs w:val="24"/>
              </w:rPr>
            </w:pPr>
            <w:r>
              <w:rPr>
                <w:color w:val="auto"/>
                <w:spacing w:val="-2"/>
                <w:position w:val="2"/>
                <w:sz w:val="24"/>
                <w:szCs w:val="24"/>
              </w:rPr>
              <w:t>根据《环境影响评价技术导则声环境》（</w:t>
            </w:r>
            <w:r>
              <w:rPr>
                <w:rFonts w:ascii="Times New Roman" w:hAnsi="Times New Roman" w:eastAsia="Times New Roman" w:cs="Times New Roman"/>
                <w:color w:val="auto"/>
                <w:spacing w:val="-2"/>
                <w:position w:val="2"/>
                <w:sz w:val="24"/>
                <w:szCs w:val="24"/>
              </w:rPr>
              <w:t>HJ2.4-2021</w:t>
            </w:r>
            <w:r>
              <w:rPr>
                <w:color w:val="auto"/>
                <w:spacing w:val="-2"/>
                <w:position w:val="2"/>
                <w:sz w:val="24"/>
                <w:szCs w:val="24"/>
              </w:rPr>
              <w:t>）推荐的方</w:t>
            </w:r>
            <w:r>
              <w:rPr>
                <w:color w:val="auto"/>
                <w:spacing w:val="1"/>
                <w:sz w:val="24"/>
                <w:szCs w:val="24"/>
              </w:rPr>
              <w:t>：</w:t>
            </w:r>
          </w:p>
          <w:p w14:paraId="151DE202">
            <w:pPr>
              <w:spacing w:line="360" w:lineRule="auto"/>
              <w:jc w:val="center"/>
              <w:rPr>
                <w:rFonts w:hint="eastAsia" w:eastAsia="宋体"/>
                <w:b/>
                <w:bCs/>
                <w:color w:val="auto"/>
                <w:sz w:val="24"/>
                <w:szCs w:val="24"/>
                <w:lang w:eastAsia="zh-CN"/>
              </w:rPr>
            </w:pPr>
            <w:r>
              <w:rPr>
                <w:rFonts w:hint="eastAsia" w:eastAsia="宋体"/>
                <w:b/>
                <w:bCs/>
                <w:color w:val="auto"/>
                <w:sz w:val="24"/>
                <w:szCs w:val="24"/>
                <w:lang w:eastAsia="zh-CN"/>
              </w:rPr>
              <w:drawing>
                <wp:inline distT="0" distB="0" distL="114300" distR="114300">
                  <wp:extent cx="2088515" cy="667385"/>
                  <wp:effectExtent l="0" t="0" r="6985" b="18415"/>
                  <wp:docPr id="2" name="图片 2" descr="QQ_177433950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_1774339500893"/>
                          <pic:cNvPicPr>
                            <a:picLocks noChangeAspect="1"/>
                          </pic:cNvPicPr>
                        </pic:nvPicPr>
                        <pic:blipFill>
                          <a:blip r:embed="rId18"/>
                          <a:stretch>
                            <a:fillRect/>
                          </a:stretch>
                        </pic:blipFill>
                        <pic:spPr>
                          <a:xfrm>
                            <a:off x="0" y="0"/>
                            <a:ext cx="2088515" cy="667385"/>
                          </a:xfrm>
                          <a:prstGeom prst="rect">
                            <a:avLst/>
                          </a:prstGeom>
                        </pic:spPr>
                      </pic:pic>
                    </a:graphicData>
                  </a:graphic>
                </wp:inline>
              </w:drawing>
            </w:r>
          </w:p>
          <w:p w14:paraId="529D685D">
            <w:pPr>
              <w:pStyle w:val="59"/>
              <w:spacing w:before="13" w:line="334" w:lineRule="exact"/>
              <w:ind w:left="588"/>
              <w:rPr>
                <w:color w:val="auto"/>
                <w:spacing w:val="0"/>
                <w:w w:val="100"/>
                <w:position w:val="0"/>
                <w:sz w:val="24"/>
              </w:rPr>
            </w:pPr>
            <w:r>
              <w:rPr>
                <w:color w:val="auto"/>
                <w:spacing w:val="0"/>
                <w:w w:val="100"/>
                <w:position w:val="0"/>
                <w:sz w:val="24"/>
              </w:rPr>
              <w:t>位自式中：</w:t>
            </w:r>
            <w:r>
              <w:rPr>
                <w:rFonts w:ascii="Times New Roman" w:hAnsi="Times New Roman" w:eastAsia="Times New Roman" w:cs="Times New Roman"/>
                <w:color w:val="auto"/>
                <w:spacing w:val="0"/>
                <w:w w:val="100"/>
                <w:position w:val="0"/>
                <w:sz w:val="24"/>
              </w:rPr>
              <w:t>L—</w:t>
            </w:r>
            <w:r>
              <w:rPr>
                <w:color w:val="auto"/>
                <w:spacing w:val="0"/>
                <w:w w:val="100"/>
                <w:position w:val="0"/>
                <w:sz w:val="24"/>
              </w:rPr>
              <w:t>总声压级，</w:t>
            </w:r>
            <w:r>
              <w:rPr>
                <w:rFonts w:ascii="Times New Roman" w:hAnsi="Times New Roman" w:eastAsia="Times New Roman" w:cs="Times New Roman"/>
                <w:color w:val="auto"/>
                <w:spacing w:val="0"/>
                <w:w w:val="100"/>
                <w:position w:val="0"/>
                <w:sz w:val="24"/>
              </w:rPr>
              <w:t>dB(A)</w:t>
            </w:r>
            <w:r>
              <w:rPr>
                <w:color w:val="auto"/>
                <w:spacing w:val="0"/>
                <w:w w:val="100"/>
                <w:position w:val="0"/>
                <w:sz w:val="24"/>
              </w:rPr>
              <w:t>；</w:t>
            </w:r>
          </w:p>
          <w:p w14:paraId="41C36BF7">
            <w:pPr>
              <w:pStyle w:val="59"/>
              <w:spacing w:before="134" w:line="333" w:lineRule="exact"/>
              <w:ind w:left="584"/>
              <w:rPr>
                <w:color w:val="auto"/>
                <w:spacing w:val="0"/>
                <w:w w:val="100"/>
                <w:position w:val="0"/>
                <w:sz w:val="24"/>
              </w:rPr>
            </w:pPr>
            <w:r>
              <w:rPr>
                <w:rFonts w:ascii="Times New Roman" w:hAnsi="Times New Roman" w:eastAsia="Times New Roman" w:cs="Times New Roman"/>
                <w:color w:val="auto"/>
                <w:spacing w:val="0"/>
                <w:w w:val="100"/>
                <w:position w:val="0"/>
                <w:sz w:val="24"/>
              </w:rPr>
              <w:t>Li—</w:t>
            </w:r>
            <w:r>
              <w:rPr>
                <w:color w:val="auto"/>
                <w:spacing w:val="0"/>
                <w:w w:val="100"/>
                <w:position w:val="0"/>
                <w:sz w:val="24"/>
              </w:rPr>
              <w:t>第</w:t>
            </w:r>
            <w:r>
              <w:rPr>
                <w:rFonts w:ascii="Times New Roman" w:hAnsi="Times New Roman" w:eastAsia="Times New Roman" w:cs="Times New Roman"/>
                <w:color w:val="auto"/>
                <w:spacing w:val="0"/>
                <w:w w:val="100"/>
                <w:position w:val="0"/>
                <w:sz w:val="24"/>
              </w:rPr>
              <w:t>i</w:t>
            </w:r>
            <w:r>
              <w:rPr>
                <w:color w:val="auto"/>
                <w:spacing w:val="0"/>
                <w:w w:val="100"/>
                <w:position w:val="0"/>
                <w:sz w:val="24"/>
              </w:rPr>
              <w:t>个噪声源的声压级，</w:t>
            </w:r>
            <w:r>
              <w:rPr>
                <w:rFonts w:ascii="Times New Roman" w:hAnsi="Times New Roman" w:eastAsia="Times New Roman" w:cs="Times New Roman"/>
                <w:color w:val="auto"/>
                <w:spacing w:val="0"/>
                <w:w w:val="100"/>
                <w:position w:val="0"/>
                <w:sz w:val="24"/>
              </w:rPr>
              <w:t>dB(A)</w:t>
            </w:r>
            <w:r>
              <w:rPr>
                <w:color w:val="auto"/>
                <w:spacing w:val="0"/>
                <w:w w:val="100"/>
                <w:position w:val="0"/>
                <w:sz w:val="24"/>
              </w:rPr>
              <w:t>；</w:t>
            </w:r>
          </w:p>
          <w:p w14:paraId="310A5D7C">
            <w:pPr>
              <w:pStyle w:val="59"/>
              <w:spacing w:before="170" w:line="220" w:lineRule="auto"/>
              <w:ind w:left="581"/>
              <w:rPr>
                <w:color w:val="auto"/>
                <w:spacing w:val="0"/>
                <w:w w:val="100"/>
                <w:position w:val="0"/>
                <w:sz w:val="24"/>
              </w:rPr>
            </w:pPr>
            <w:r>
              <w:rPr>
                <w:rFonts w:ascii="Times New Roman" w:hAnsi="Times New Roman" w:eastAsia="Times New Roman" w:cs="Times New Roman"/>
                <w:color w:val="auto"/>
                <w:spacing w:val="0"/>
                <w:w w:val="100"/>
                <w:position w:val="0"/>
                <w:sz w:val="24"/>
              </w:rPr>
              <w:t>n—</w:t>
            </w:r>
            <w:r>
              <w:rPr>
                <w:color w:val="auto"/>
                <w:spacing w:val="0"/>
                <w:w w:val="100"/>
                <w:position w:val="0"/>
                <w:sz w:val="24"/>
              </w:rPr>
              <w:t>噪声源数。</w:t>
            </w:r>
          </w:p>
          <w:p w14:paraId="5CD03A8C">
            <w:pPr>
              <w:pStyle w:val="59"/>
              <w:spacing w:before="180" w:line="359" w:lineRule="auto"/>
              <w:ind w:left="113" w:right="91" w:firstLine="473"/>
              <w:rPr>
                <w:color w:val="auto"/>
                <w:spacing w:val="0"/>
                <w:w w:val="100"/>
                <w:position w:val="0"/>
                <w:sz w:val="24"/>
              </w:rPr>
            </w:pPr>
            <w:r>
              <w:rPr>
                <w:color w:val="auto"/>
                <w:spacing w:val="0"/>
                <w:w w:val="100"/>
                <w:position w:val="0"/>
                <w:sz w:val="24"/>
              </w:rPr>
              <w:t>②声源户外传播衰减计算的替代方法，在倍频带声压级测试有困难时，可用</w:t>
            </w:r>
            <w:r>
              <w:rPr>
                <w:rFonts w:ascii="Times New Roman" w:hAnsi="Times New Roman" w:eastAsia="Times New Roman" w:cs="Times New Roman"/>
                <w:color w:val="auto"/>
                <w:spacing w:val="0"/>
                <w:w w:val="100"/>
                <w:position w:val="0"/>
                <w:sz w:val="24"/>
              </w:rPr>
              <w:t>A</w:t>
            </w:r>
            <w:r>
              <w:rPr>
                <w:color w:val="auto"/>
                <w:spacing w:val="0"/>
                <w:w w:val="100"/>
                <w:position w:val="0"/>
                <w:sz w:val="24"/>
              </w:rPr>
              <w:t>声级计算：</w:t>
            </w:r>
            <w:r>
              <w:rPr>
                <w:rFonts w:ascii="Times New Roman" w:hAnsi="Times New Roman" w:eastAsia="Times New Roman" w:cs="Times New Roman"/>
                <w:color w:val="auto"/>
                <w:spacing w:val="0"/>
                <w:w w:val="100"/>
                <w:position w:val="0"/>
                <w:sz w:val="24"/>
              </w:rPr>
              <w:t>LA</w:t>
            </w:r>
            <w:r>
              <w:rPr>
                <w:color w:val="auto"/>
                <w:spacing w:val="0"/>
                <w:w w:val="100"/>
                <w:position w:val="0"/>
                <w:sz w:val="24"/>
              </w:rPr>
              <w:t>（</w:t>
            </w:r>
            <w:r>
              <w:rPr>
                <w:rFonts w:ascii="Times New Roman" w:hAnsi="Times New Roman" w:eastAsia="Times New Roman" w:cs="Times New Roman"/>
                <w:color w:val="auto"/>
                <w:spacing w:val="0"/>
                <w:w w:val="100"/>
                <w:position w:val="0"/>
                <w:sz w:val="24"/>
              </w:rPr>
              <w:t>r</w:t>
            </w:r>
            <w:r>
              <w:rPr>
                <w:color w:val="auto"/>
                <w:spacing w:val="0"/>
                <w:w w:val="100"/>
                <w:position w:val="0"/>
                <w:sz w:val="24"/>
              </w:rPr>
              <w:t>）</w:t>
            </w:r>
            <w:r>
              <w:rPr>
                <w:rFonts w:ascii="Times New Roman" w:hAnsi="Times New Roman" w:eastAsia="Times New Roman" w:cs="Times New Roman"/>
                <w:color w:val="auto"/>
                <w:spacing w:val="0"/>
                <w:w w:val="100"/>
                <w:position w:val="0"/>
                <w:sz w:val="24"/>
              </w:rPr>
              <w:t>=LA</w:t>
            </w:r>
            <w:r>
              <w:rPr>
                <w:color w:val="auto"/>
                <w:spacing w:val="0"/>
                <w:w w:val="100"/>
                <w:position w:val="0"/>
                <w:sz w:val="24"/>
              </w:rPr>
              <w:t>（</w:t>
            </w:r>
            <w:r>
              <w:rPr>
                <w:rFonts w:ascii="Times New Roman" w:hAnsi="Times New Roman" w:eastAsia="Times New Roman" w:cs="Times New Roman"/>
                <w:color w:val="auto"/>
                <w:spacing w:val="0"/>
                <w:w w:val="100"/>
                <w:position w:val="0"/>
                <w:sz w:val="24"/>
              </w:rPr>
              <w:t>r0</w:t>
            </w:r>
            <w:r>
              <w:rPr>
                <w:color w:val="auto"/>
                <w:spacing w:val="0"/>
                <w:w w:val="100"/>
                <w:position w:val="0"/>
                <w:sz w:val="24"/>
              </w:rPr>
              <w:t>）－（</w:t>
            </w:r>
            <w:r>
              <w:rPr>
                <w:rFonts w:ascii="Times New Roman" w:hAnsi="Times New Roman" w:eastAsia="Times New Roman" w:cs="Times New Roman"/>
                <w:color w:val="auto"/>
                <w:spacing w:val="0"/>
                <w:w w:val="100"/>
                <w:position w:val="0"/>
                <w:sz w:val="24"/>
              </w:rPr>
              <w:t>Adiv+Abar+Aatm+Aexe</w:t>
            </w:r>
            <w:r>
              <w:rPr>
                <w:color w:val="auto"/>
                <w:spacing w:val="0"/>
                <w:w w:val="100"/>
                <w:position w:val="0"/>
                <w:sz w:val="24"/>
              </w:rPr>
              <w:t>）</w:t>
            </w:r>
          </w:p>
          <w:p w14:paraId="0999775A">
            <w:pPr>
              <w:pStyle w:val="59"/>
              <w:spacing w:before="1" w:line="220" w:lineRule="auto"/>
              <w:ind w:left="593"/>
              <w:rPr>
                <w:color w:val="auto"/>
                <w:spacing w:val="0"/>
                <w:w w:val="100"/>
                <w:position w:val="0"/>
                <w:sz w:val="24"/>
              </w:rPr>
            </w:pPr>
            <w:r>
              <w:rPr>
                <w:color w:val="auto"/>
                <w:spacing w:val="0"/>
                <w:w w:val="100"/>
                <w:position w:val="0"/>
                <w:sz w:val="24"/>
              </w:rPr>
              <w:t>式中：</w:t>
            </w:r>
          </w:p>
          <w:p w14:paraId="7FE543A6">
            <w:pPr>
              <w:pStyle w:val="59"/>
              <w:spacing w:before="143" w:line="361" w:lineRule="exact"/>
              <w:ind w:left="584"/>
              <w:rPr>
                <w:color w:val="auto"/>
                <w:spacing w:val="0"/>
                <w:w w:val="100"/>
                <w:position w:val="0"/>
                <w:sz w:val="24"/>
              </w:rPr>
            </w:pPr>
            <w:r>
              <w:rPr>
                <w:rFonts w:ascii="Times New Roman" w:hAnsi="Times New Roman" w:eastAsia="Times New Roman" w:cs="Times New Roman"/>
                <w:color w:val="auto"/>
                <w:spacing w:val="0"/>
                <w:w w:val="100"/>
                <w:position w:val="0"/>
                <w:sz w:val="24"/>
              </w:rPr>
              <w:t>LA</w:t>
            </w:r>
            <w:r>
              <w:rPr>
                <w:color w:val="auto"/>
                <w:spacing w:val="0"/>
                <w:w w:val="100"/>
                <w:position w:val="0"/>
                <w:sz w:val="24"/>
              </w:rPr>
              <w:t>（</w:t>
            </w:r>
            <w:r>
              <w:rPr>
                <w:rFonts w:ascii="Times New Roman" w:hAnsi="Times New Roman" w:eastAsia="Times New Roman" w:cs="Times New Roman"/>
                <w:color w:val="auto"/>
                <w:spacing w:val="0"/>
                <w:w w:val="100"/>
                <w:position w:val="0"/>
                <w:sz w:val="24"/>
              </w:rPr>
              <w:t>r</w:t>
            </w:r>
            <w:r>
              <w:rPr>
                <w:color w:val="auto"/>
                <w:spacing w:val="0"/>
                <w:w w:val="100"/>
                <w:position w:val="0"/>
                <w:sz w:val="24"/>
              </w:rPr>
              <w:t>）－距声源</w:t>
            </w:r>
            <w:r>
              <w:rPr>
                <w:rFonts w:ascii="Times New Roman" w:hAnsi="Times New Roman" w:eastAsia="Times New Roman" w:cs="Times New Roman"/>
                <w:color w:val="auto"/>
                <w:spacing w:val="0"/>
                <w:w w:val="100"/>
                <w:position w:val="0"/>
                <w:sz w:val="24"/>
              </w:rPr>
              <w:t>r</w:t>
            </w:r>
            <w:r>
              <w:rPr>
                <w:color w:val="auto"/>
                <w:spacing w:val="0"/>
                <w:w w:val="100"/>
                <w:position w:val="0"/>
                <w:sz w:val="24"/>
              </w:rPr>
              <w:t>处预测点声压级，</w:t>
            </w:r>
            <w:r>
              <w:rPr>
                <w:rFonts w:ascii="Times New Roman" w:hAnsi="Times New Roman" w:eastAsia="Times New Roman" w:cs="Times New Roman"/>
                <w:color w:val="auto"/>
                <w:spacing w:val="0"/>
                <w:w w:val="100"/>
                <w:position w:val="0"/>
                <w:sz w:val="24"/>
              </w:rPr>
              <w:t>dB</w:t>
            </w:r>
            <w:r>
              <w:rPr>
                <w:color w:val="auto"/>
                <w:spacing w:val="0"/>
                <w:w w:val="100"/>
                <w:position w:val="0"/>
                <w:sz w:val="24"/>
              </w:rPr>
              <w:t>（</w:t>
            </w:r>
            <w:r>
              <w:rPr>
                <w:rFonts w:ascii="Times New Roman" w:hAnsi="Times New Roman" w:eastAsia="Times New Roman" w:cs="Times New Roman"/>
                <w:color w:val="auto"/>
                <w:spacing w:val="0"/>
                <w:w w:val="100"/>
                <w:position w:val="0"/>
                <w:sz w:val="24"/>
              </w:rPr>
              <w:t>A</w:t>
            </w:r>
            <w:r>
              <w:rPr>
                <w:color w:val="auto"/>
                <w:spacing w:val="0"/>
                <w:w w:val="100"/>
                <w:position w:val="0"/>
                <w:sz w:val="24"/>
              </w:rPr>
              <w:t>）；</w:t>
            </w:r>
          </w:p>
          <w:p w14:paraId="6569E1B0">
            <w:pPr>
              <w:pStyle w:val="59"/>
              <w:spacing w:before="107" w:line="353" w:lineRule="auto"/>
              <w:ind w:left="120" w:right="104" w:firstLine="463"/>
              <w:rPr>
                <w:color w:val="auto"/>
                <w:spacing w:val="0"/>
                <w:w w:val="100"/>
                <w:position w:val="0"/>
                <w:sz w:val="24"/>
              </w:rPr>
            </w:pPr>
            <w:r>
              <w:rPr>
                <w:rFonts w:ascii="Times New Roman" w:hAnsi="Times New Roman" w:eastAsia="Times New Roman" w:cs="Times New Roman"/>
                <w:color w:val="auto"/>
                <w:spacing w:val="0"/>
                <w:w w:val="100"/>
                <w:position w:val="0"/>
                <w:sz w:val="24"/>
              </w:rPr>
              <w:t>LA</w:t>
            </w:r>
            <w:r>
              <w:rPr>
                <w:color w:val="auto"/>
                <w:spacing w:val="0"/>
                <w:w w:val="100"/>
                <w:position w:val="0"/>
                <w:sz w:val="24"/>
              </w:rPr>
              <w:t>（</w:t>
            </w:r>
            <w:r>
              <w:rPr>
                <w:rFonts w:ascii="Times New Roman" w:hAnsi="Times New Roman" w:eastAsia="Times New Roman" w:cs="Times New Roman"/>
                <w:color w:val="auto"/>
                <w:spacing w:val="0"/>
                <w:w w:val="100"/>
                <w:position w:val="0"/>
                <w:sz w:val="24"/>
              </w:rPr>
              <w:t>r0</w:t>
            </w:r>
            <w:r>
              <w:rPr>
                <w:color w:val="auto"/>
                <w:spacing w:val="0"/>
                <w:w w:val="100"/>
                <w:position w:val="0"/>
                <w:sz w:val="24"/>
              </w:rPr>
              <w:t>）－距声源</w:t>
            </w:r>
            <w:r>
              <w:rPr>
                <w:rFonts w:ascii="Times New Roman" w:hAnsi="Times New Roman" w:eastAsia="Times New Roman" w:cs="Times New Roman"/>
                <w:color w:val="auto"/>
                <w:spacing w:val="0"/>
                <w:w w:val="100"/>
                <w:position w:val="0"/>
                <w:sz w:val="24"/>
              </w:rPr>
              <w:t>r0</w:t>
            </w:r>
            <w:r>
              <w:rPr>
                <w:color w:val="auto"/>
                <w:spacing w:val="0"/>
                <w:w w:val="100"/>
                <w:position w:val="0"/>
                <w:sz w:val="24"/>
              </w:rPr>
              <w:t>处的声源声压级，当</w:t>
            </w:r>
            <w:r>
              <w:rPr>
                <w:rFonts w:ascii="Times New Roman" w:hAnsi="Times New Roman" w:eastAsia="Times New Roman" w:cs="Times New Roman"/>
                <w:color w:val="auto"/>
                <w:spacing w:val="0"/>
                <w:w w:val="100"/>
                <w:position w:val="0"/>
                <w:sz w:val="24"/>
              </w:rPr>
              <w:t>r0=1m</w:t>
            </w:r>
            <w:r>
              <w:rPr>
                <w:color w:val="auto"/>
                <w:spacing w:val="0"/>
                <w:w w:val="100"/>
                <w:position w:val="0"/>
                <w:sz w:val="24"/>
              </w:rPr>
              <w:t>时，即声源的声压级，</w:t>
            </w:r>
            <w:r>
              <w:rPr>
                <w:rFonts w:ascii="Times New Roman" w:hAnsi="Times New Roman" w:eastAsia="Times New Roman" w:cs="Times New Roman"/>
                <w:color w:val="auto"/>
                <w:spacing w:val="0"/>
                <w:w w:val="100"/>
                <w:position w:val="0"/>
                <w:sz w:val="24"/>
              </w:rPr>
              <w:t>dB</w:t>
            </w:r>
            <w:r>
              <w:rPr>
                <w:color w:val="auto"/>
                <w:spacing w:val="0"/>
                <w:w w:val="100"/>
                <w:position w:val="0"/>
                <w:sz w:val="24"/>
              </w:rPr>
              <w:t>（</w:t>
            </w:r>
            <w:r>
              <w:rPr>
                <w:rFonts w:ascii="Times New Roman" w:hAnsi="Times New Roman" w:eastAsia="Times New Roman" w:cs="Times New Roman"/>
                <w:color w:val="auto"/>
                <w:spacing w:val="0"/>
                <w:w w:val="100"/>
                <w:position w:val="0"/>
                <w:sz w:val="24"/>
              </w:rPr>
              <w:t>A</w:t>
            </w:r>
            <w:r>
              <w:rPr>
                <w:color w:val="auto"/>
                <w:spacing w:val="0"/>
                <w:w w:val="100"/>
                <w:position w:val="0"/>
                <w:sz w:val="24"/>
              </w:rPr>
              <w:t>）；</w:t>
            </w:r>
          </w:p>
          <w:p w14:paraId="6AF889F5">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pacing w:val="0"/>
                <w:w w:val="100"/>
                <w:position w:val="0"/>
                <w:sz w:val="24"/>
                <w:szCs w:val="24"/>
              </w:rPr>
            </w:pPr>
            <w:r>
              <w:rPr>
                <w:rFonts w:ascii="Times New Roman" w:hAnsi="Times New Roman" w:eastAsia="Times New Roman" w:cs="Times New Roman"/>
                <w:color w:val="auto"/>
                <w:spacing w:val="0"/>
                <w:w w:val="100"/>
                <w:position w:val="0"/>
                <w:sz w:val="24"/>
                <w:szCs w:val="24"/>
              </w:rPr>
              <w:t>Adiv</w:t>
            </w:r>
            <w:r>
              <w:rPr>
                <w:color w:val="auto"/>
                <w:spacing w:val="0"/>
                <w:w w:val="100"/>
                <w:position w:val="0"/>
                <w:sz w:val="24"/>
                <w:szCs w:val="24"/>
              </w:rPr>
              <w:t>－声波几何发散时引起的</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声级衰减量，</w:t>
            </w:r>
            <w:r>
              <w:rPr>
                <w:rFonts w:ascii="Times New Roman" w:hAnsi="Times New Roman" w:eastAsia="Times New Roman" w:cs="Times New Roman"/>
                <w:color w:val="auto"/>
                <w:spacing w:val="0"/>
                <w:w w:val="100"/>
                <w:position w:val="0"/>
                <w:sz w:val="24"/>
                <w:szCs w:val="24"/>
              </w:rPr>
              <w:t>dB</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Adiv=20lg</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r/r0</w:t>
            </w:r>
            <w:r>
              <w:rPr>
                <w:color w:val="auto"/>
                <w:spacing w:val="0"/>
                <w:w w:val="100"/>
                <w:position w:val="0"/>
                <w:sz w:val="24"/>
                <w:szCs w:val="24"/>
              </w:rPr>
              <w:t>），当</w:t>
            </w:r>
            <w:r>
              <w:rPr>
                <w:rFonts w:ascii="Times New Roman" w:hAnsi="Times New Roman" w:eastAsia="Times New Roman" w:cs="Times New Roman"/>
                <w:color w:val="auto"/>
                <w:spacing w:val="0"/>
                <w:w w:val="100"/>
                <w:position w:val="0"/>
                <w:sz w:val="24"/>
                <w:szCs w:val="24"/>
              </w:rPr>
              <w:t>r0=1</w:t>
            </w:r>
            <w:r>
              <w:rPr>
                <w:color w:val="auto"/>
                <w:spacing w:val="0"/>
                <w:w w:val="100"/>
                <w:position w:val="0"/>
                <w:sz w:val="24"/>
                <w:szCs w:val="24"/>
              </w:rPr>
              <w:t>时，</w:t>
            </w:r>
            <w:r>
              <w:rPr>
                <w:rFonts w:ascii="Times New Roman" w:hAnsi="Times New Roman" w:eastAsia="Times New Roman" w:cs="Times New Roman"/>
                <w:color w:val="auto"/>
                <w:spacing w:val="0"/>
                <w:w w:val="100"/>
                <w:position w:val="0"/>
                <w:sz w:val="24"/>
                <w:szCs w:val="24"/>
              </w:rPr>
              <w:t>Adiv=20lg</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r</w:t>
            </w:r>
            <w:r>
              <w:rPr>
                <w:color w:val="auto"/>
                <w:spacing w:val="0"/>
                <w:w w:val="100"/>
                <w:position w:val="0"/>
                <w:sz w:val="24"/>
                <w:szCs w:val="24"/>
              </w:rPr>
              <w:t>）。</w:t>
            </w:r>
          </w:p>
          <w:p w14:paraId="2BD1C47F">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pacing w:val="0"/>
                <w:w w:val="100"/>
                <w:position w:val="0"/>
                <w:sz w:val="24"/>
                <w:szCs w:val="24"/>
              </w:rPr>
            </w:pPr>
            <w:r>
              <w:rPr>
                <w:rFonts w:ascii="Times New Roman" w:hAnsi="Times New Roman" w:eastAsia="Times New Roman" w:cs="Times New Roman"/>
                <w:color w:val="auto"/>
                <w:spacing w:val="0"/>
                <w:w w:val="100"/>
                <w:position w:val="0"/>
                <w:sz w:val="24"/>
                <w:szCs w:val="24"/>
              </w:rPr>
              <w:t>Abar</w:t>
            </w:r>
            <w:r>
              <w:rPr>
                <w:color w:val="auto"/>
                <w:spacing w:val="0"/>
                <w:w w:val="100"/>
                <w:position w:val="0"/>
                <w:sz w:val="24"/>
                <w:szCs w:val="24"/>
              </w:rPr>
              <w:t>－遮挡物引起的</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声级衰减量，</w:t>
            </w:r>
            <w:r>
              <w:rPr>
                <w:rFonts w:ascii="Times New Roman" w:hAnsi="Times New Roman" w:eastAsia="Times New Roman" w:cs="Times New Roman"/>
                <w:color w:val="auto"/>
                <w:spacing w:val="0"/>
                <w:w w:val="100"/>
                <w:position w:val="0"/>
                <w:sz w:val="24"/>
                <w:szCs w:val="24"/>
              </w:rPr>
              <w:t>dB</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w:t>
            </w:r>
          </w:p>
          <w:p w14:paraId="77CA533B">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pacing w:val="0"/>
                <w:w w:val="100"/>
                <w:position w:val="0"/>
                <w:sz w:val="24"/>
                <w:szCs w:val="24"/>
              </w:rPr>
            </w:pPr>
            <w:r>
              <w:rPr>
                <w:rFonts w:ascii="Times New Roman" w:hAnsi="Times New Roman" w:eastAsia="Times New Roman" w:cs="Times New Roman"/>
                <w:color w:val="auto"/>
                <w:spacing w:val="0"/>
                <w:w w:val="100"/>
                <w:position w:val="0"/>
                <w:sz w:val="24"/>
                <w:szCs w:val="24"/>
              </w:rPr>
              <w:t>Aatm</w:t>
            </w:r>
            <w:r>
              <w:rPr>
                <w:color w:val="auto"/>
                <w:spacing w:val="0"/>
                <w:w w:val="100"/>
                <w:position w:val="0"/>
                <w:sz w:val="24"/>
                <w:szCs w:val="24"/>
              </w:rPr>
              <w:t>－空气吸收引起的</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声级衰减量，</w:t>
            </w:r>
            <w:r>
              <w:rPr>
                <w:rFonts w:ascii="Times New Roman" w:hAnsi="Times New Roman" w:eastAsia="Times New Roman" w:cs="Times New Roman"/>
                <w:color w:val="auto"/>
                <w:spacing w:val="0"/>
                <w:w w:val="100"/>
                <w:position w:val="0"/>
                <w:sz w:val="24"/>
                <w:szCs w:val="24"/>
              </w:rPr>
              <w:t>dB</w:t>
            </w:r>
            <w:r>
              <w:rPr>
                <w:color w:val="auto"/>
                <w:spacing w:val="0"/>
                <w:w w:val="100"/>
                <w:position w:val="0"/>
                <w:sz w:val="24"/>
                <w:szCs w:val="24"/>
              </w:rPr>
              <w:t>（</w:t>
            </w:r>
            <w:r>
              <w:rPr>
                <w:rFonts w:ascii="Times New Roman" w:hAnsi="Times New Roman" w:eastAsia="Times New Roman" w:cs="Times New Roman"/>
                <w:color w:val="auto"/>
                <w:spacing w:val="0"/>
                <w:w w:val="100"/>
                <w:position w:val="0"/>
                <w:sz w:val="24"/>
                <w:szCs w:val="24"/>
              </w:rPr>
              <w:t>A</w:t>
            </w:r>
            <w:r>
              <w:rPr>
                <w:color w:val="auto"/>
                <w:spacing w:val="0"/>
                <w:w w:val="100"/>
                <w:position w:val="0"/>
                <w:sz w:val="24"/>
                <w:szCs w:val="24"/>
              </w:rPr>
              <w:t>）；</w:t>
            </w:r>
          </w:p>
          <w:p w14:paraId="4A1DBBBA">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color w:val="auto"/>
                <w:spacing w:val="0"/>
                <w:position w:val="0"/>
                <w:sz w:val="24"/>
                <w:szCs w:val="24"/>
              </w:rPr>
            </w:pPr>
            <w:r>
              <w:rPr>
                <w:rFonts w:ascii="Times New Roman" w:hAnsi="Times New Roman" w:eastAsia="Times New Roman" w:cs="Times New Roman"/>
                <w:color w:val="auto"/>
                <w:spacing w:val="0"/>
                <w:position w:val="0"/>
                <w:sz w:val="24"/>
                <w:szCs w:val="24"/>
              </w:rPr>
              <w:t>Aexe</w:t>
            </w:r>
            <w:r>
              <w:rPr>
                <w:color w:val="auto"/>
                <w:spacing w:val="0"/>
                <w:position w:val="0"/>
                <w:sz w:val="24"/>
                <w:szCs w:val="24"/>
              </w:rPr>
              <w:t>－附加</w:t>
            </w:r>
            <w:r>
              <w:rPr>
                <w:rFonts w:ascii="Times New Roman" w:hAnsi="Times New Roman" w:eastAsia="Times New Roman" w:cs="Times New Roman"/>
                <w:color w:val="auto"/>
                <w:spacing w:val="0"/>
                <w:position w:val="0"/>
                <w:sz w:val="24"/>
                <w:szCs w:val="24"/>
              </w:rPr>
              <w:t>A</w:t>
            </w:r>
            <w:r>
              <w:rPr>
                <w:color w:val="auto"/>
                <w:spacing w:val="0"/>
                <w:position w:val="0"/>
                <w:sz w:val="24"/>
                <w:szCs w:val="24"/>
              </w:rPr>
              <w:t>声级衰减量，</w:t>
            </w:r>
            <w:r>
              <w:rPr>
                <w:rFonts w:ascii="Times New Roman" w:hAnsi="Times New Roman" w:eastAsia="Times New Roman" w:cs="Times New Roman"/>
                <w:color w:val="auto"/>
                <w:spacing w:val="0"/>
                <w:position w:val="0"/>
                <w:sz w:val="24"/>
                <w:szCs w:val="24"/>
              </w:rPr>
              <w:t>dB</w:t>
            </w:r>
            <w:r>
              <w:rPr>
                <w:color w:val="auto"/>
                <w:spacing w:val="0"/>
                <w:position w:val="0"/>
                <w:sz w:val="24"/>
                <w:szCs w:val="24"/>
              </w:rPr>
              <w:t>（</w:t>
            </w:r>
            <w:r>
              <w:rPr>
                <w:rFonts w:ascii="Times New Roman" w:hAnsi="Times New Roman" w:eastAsia="Times New Roman" w:cs="Times New Roman"/>
                <w:color w:val="auto"/>
                <w:spacing w:val="0"/>
                <w:position w:val="0"/>
                <w:sz w:val="24"/>
                <w:szCs w:val="24"/>
              </w:rPr>
              <w:t>A</w:t>
            </w:r>
            <w:r>
              <w:rPr>
                <w:color w:val="auto"/>
                <w:spacing w:val="0"/>
                <w:position w:val="0"/>
                <w:sz w:val="24"/>
                <w:szCs w:val="24"/>
              </w:rPr>
              <w:t>）。</w:t>
            </w:r>
          </w:p>
          <w:p w14:paraId="704D3067">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rPr>
            </w:pPr>
            <w:r>
              <w:rPr>
                <w:color w:val="auto"/>
                <w:spacing w:val="0"/>
                <w:position w:val="0"/>
                <w:sz w:val="24"/>
                <w:szCs w:val="24"/>
              </w:rPr>
              <w:t>本环评取装卸噪声和运输车辆噪声同时产生噪声情形进行预测。各厂界噪声贡献值预测结果见下表。</w:t>
            </w:r>
            <w:r>
              <w:rPr>
                <w:rFonts w:hint="default" w:ascii="Times New Roman" w:hAnsi="Times New Roman" w:eastAsia="宋体" w:cs="Times New Roman"/>
                <w:color w:val="auto"/>
                <w:sz w:val="24"/>
                <w:szCs w:val="24"/>
                <w:lang w:val="en-US" w:eastAsia="zh-CN"/>
              </w:rPr>
              <w:t>本次评价预测设备对厂界的贡献值（详见图4-2</w:t>
            </w:r>
            <w:r>
              <w:rPr>
                <w:rFonts w:hint="eastAsia" w:cs="Times New Roman"/>
                <w:color w:val="auto"/>
                <w:sz w:val="24"/>
                <w:szCs w:val="24"/>
                <w:lang w:val="en-US" w:eastAsia="zh-CN"/>
              </w:rPr>
              <w:t>、4-3</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w:t>
            </w:r>
          </w:p>
          <w:p w14:paraId="11E0C72F">
            <w:pPr>
              <w:pStyle w:val="59"/>
              <w:spacing w:before="98" w:line="221" w:lineRule="auto"/>
              <w:ind w:left="1810"/>
              <w:outlineLvl w:val="1"/>
              <w:rPr>
                <w:rFonts w:ascii="Times New Roman" w:hAnsi="Times New Roman" w:eastAsia="Times New Roman" w:cs="Times New Roman"/>
                <w:color w:val="auto"/>
                <w:sz w:val="20"/>
                <w:szCs w:val="20"/>
              </w:rPr>
            </w:pPr>
            <w:r>
              <w:rPr>
                <w:b/>
                <w:bCs/>
                <w:color w:val="auto"/>
                <w:spacing w:val="7"/>
                <w:sz w:val="20"/>
                <w:szCs w:val="20"/>
              </w:rPr>
              <w:t>表</w:t>
            </w:r>
            <w:r>
              <w:rPr>
                <w:color w:val="auto"/>
                <w:spacing w:val="-39"/>
                <w:sz w:val="20"/>
                <w:szCs w:val="20"/>
              </w:rPr>
              <w:t xml:space="preserve"> </w:t>
            </w:r>
            <w:r>
              <w:rPr>
                <w:rFonts w:ascii="Times New Roman" w:hAnsi="Times New Roman" w:eastAsia="Times New Roman" w:cs="Times New Roman"/>
                <w:b/>
                <w:bCs/>
                <w:color w:val="auto"/>
                <w:spacing w:val="7"/>
                <w:sz w:val="20"/>
                <w:szCs w:val="20"/>
              </w:rPr>
              <w:t>4-</w:t>
            </w:r>
            <w:r>
              <w:rPr>
                <w:rFonts w:hint="eastAsia" w:ascii="Times New Roman" w:hAnsi="Times New Roman" w:eastAsia="宋体" w:cs="Times New Roman"/>
                <w:b/>
                <w:bCs/>
                <w:color w:val="auto"/>
                <w:spacing w:val="7"/>
                <w:sz w:val="20"/>
                <w:szCs w:val="20"/>
                <w:lang w:val="en-US" w:eastAsia="zh-CN"/>
              </w:rPr>
              <w:t>6</w:t>
            </w:r>
            <w:r>
              <w:rPr>
                <w:rFonts w:ascii="Times New Roman" w:hAnsi="Times New Roman" w:eastAsia="Times New Roman" w:cs="Times New Roman"/>
                <w:b/>
                <w:bCs/>
                <w:color w:val="auto"/>
                <w:spacing w:val="7"/>
                <w:sz w:val="20"/>
                <w:szCs w:val="20"/>
              </w:rPr>
              <w:t xml:space="preserve">  </w:t>
            </w:r>
            <w:r>
              <w:rPr>
                <w:b/>
                <w:bCs/>
                <w:color w:val="auto"/>
                <w:spacing w:val="7"/>
                <w:sz w:val="20"/>
                <w:szCs w:val="20"/>
              </w:rPr>
              <w:t>厂界噪声预测结果与达标分析表</w:t>
            </w:r>
            <w:r>
              <w:rPr>
                <w:color w:val="auto"/>
                <w:spacing w:val="7"/>
                <w:sz w:val="20"/>
                <w:szCs w:val="20"/>
              </w:rPr>
              <w:t xml:space="preserve">   </w:t>
            </w:r>
            <w:r>
              <w:rPr>
                <w:b/>
                <w:bCs/>
                <w:color w:val="auto"/>
                <w:spacing w:val="7"/>
                <w:sz w:val="20"/>
                <w:szCs w:val="20"/>
              </w:rPr>
              <w:t>单位</w:t>
            </w:r>
            <w:r>
              <w:rPr>
                <w:b/>
                <w:bCs/>
                <w:color w:val="auto"/>
                <w:spacing w:val="6"/>
                <w:sz w:val="20"/>
                <w:szCs w:val="20"/>
              </w:rPr>
              <w:t>：</w:t>
            </w:r>
            <w:r>
              <w:rPr>
                <w:rFonts w:ascii="Times New Roman" w:hAnsi="Times New Roman" w:eastAsia="Times New Roman" w:cs="Times New Roman"/>
                <w:b/>
                <w:bCs/>
                <w:color w:val="auto"/>
                <w:sz w:val="20"/>
                <w:szCs w:val="20"/>
              </w:rPr>
              <w:t>dB</w:t>
            </w:r>
            <w:r>
              <w:rPr>
                <w:rFonts w:ascii="Times New Roman" w:hAnsi="Times New Roman" w:eastAsia="Times New Roman" w:cs="Times New Roman"/>
                <w:b/>
                <w:bCs/>
                <w:color w:val="auto"/>
                <w:spacing w:val="6"/>
                <w:sz w:val="20"/>
                <w:szCs w:val="20"/>
              </w:rPr>
              <w:t>(A)</w:t>
            </w:r>
          </w:p>
          <w:p w14:paraId="420219F7">
            <w:pPr>
              <w:spacing w:line="20" w:lineRule="exact"/>
              <w:rPr>
                <w:color w:val="auto"/>
              </w:rPr>
            </w:pPr>
          </w:p>
          <w:tbl>
            <w:tblPr>
              <w:tblStyle w:val="6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77"/>
              <w:gridCol w:w="583"/>
              <w:gridCol w:w="525"/>
              <w:gridCol w:w="1092"/>
              <w:gridCol w:w="1437"/>
              <w:gridCol w:w="916"/>
              <w:gridCol w:w="1242"/>
              <w:gridCol w:w="1100"/>
              <w:gridCol w:w="700"/>
            </w:tblGrid>
            <w:tr w14:paraId="289C5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jc w:val="center"/>
              </w:trPr>
              <w:tc>
                <w:tcPr>
                  <w:tcW w:w="960" w:type="dxa"/>
                  <w:gridSpan w:val="2"/>
                  <w:vMerge w:val="restart"/>
                  <w:tcBorders>
                    <w:bottom w:val="nil"/>
                  </w:tcBorders>
                  <w:vAlign w:val="center"/>
                </w:tcPr>
                <w:p w14:paraId="732350A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b/>
                      <w:bCs/>
                      <w:color w:val="auto"/>
                      <w:spacing w:val="6"/>
                      <w:sz w:val="21"/>
                      <w:szCs w:val="21"/>
                    </w:rPr>
                    <w:t>预测方位</w:t>
                  </w:r>
                </w:p>
              </w:tc>
              <w:tc>
                <w:tcPr>
                  <w:tcW w:w="3054" w:type="dxa"/>
                  <w:gridSpan w:val="3"/>
                  <w:vAlign w:val="center"/>
                </w:tcPr>
                <w:p w14:paraId="5145E6F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b/>
                      <w:bCs/>
                      <w:color w:val="auto"/>
                      <w:spacing w:val="7"/>
                      <w:sz w:val="21"/>
                      <w:szCs w:val="21"/>
                    </w:rPr>
                    <w:t>最大值点空间相对位置</w:t>
                  </w:r>
                  <w:r>
                    <w:rPr>
                      <w:rFonts w:ascii="Times New Roman" w:hAnsi="Times New Roman" w:eastAsia="Times New Roman" w:cs="Times New Roman"/>
                      <w:b/>
                      <w:bCs/>
                      <w:color w:val="auto"/>
                      <w:spacing w:val="4"/>
                      <w:sz w:val="21"/>
                      <w:szCs w:val="21"/>
                    </w:rPr>
                    <w:t>/m</w:t>
                  </w:r>
                </w:p>
              </w:tc>
              <w:tc>
                <w:tcPr>
                  <w:tcW w:w="916" w:type="dxa"/>
                  <w:vMerge w:val="restart"/>
                  <w:tcBorders>
                    <w:bottom w:val="nil"/>
                  </w:tcBorders>
                  <w:vAlign w:val="center"/>
                </w:tcPr>
                <w:p w14:paraId="2809AD8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b/>
                      <w:bCs/>
                      <w:color w:val="auto"/>
                      <w:spacing w:val="-1"/>
                      <w:sz w:val="21"/>
                      <w:szCs w:val="21"/>
                    </w:rPr>
                    <w:t>时段</w:t>
                  </w:r>
                </w:p>
              </w:tc>
              <w:tc>
                <w:tcPr>
                  <w:tcW w:w="1242" w:type="dxa"/>
                  <w:vMerge w:val="restart"/>
                  <w:tcBorders>
                    <w:bottom w:val="nil"/>
                  </w:tcBorders>
                  <w:vAlign w:val="center"/>
                </w:tcPr>
                <w:p w14:paraId="552EC2C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b/>
                      <w:bCs/>
                      <w:color w:val="auto"/>
                      <w:spacing w:val="4"/>
                      <w:sz w:val="21"/>
                      <w:szCs w:val="21"/>
                    </w:rPr>
                    <w:t>贡献值</w:t>
                  </w:r>
                  <w:r>
                    <w:rPr>
                      <w:b/>
                      <w:bCs/>
                      <w:color w:val="auto"/>
                      <w:sz w:val="21"/>
                      <w:szCs w:val="21"/>
                    </w:rPr>
                    <w:t>（</w:t>
                  </w:r>
                  <w:r>
                    <w:rPr>
                      <w:rFonts w:ascii="Times New Roman" w:hAnsi="Times New Roman" w:eastAsia="Times New Roman" w:cs="Times New Roman"/>
                      <w:b/>
                      <w:bCs/>
                      <w:color w:val="auto"/>
                      <w:sz w:val="21"/>
                      <w:szCs w:val="21"/>
                    </w:rPr>
                    <w:t>dB(A)</w:t>
                  </w:r>
                  <w:r>
                    <w:rPr>
                      <w:b/>
                      <w:bCs/>
                      <w:color w:val="auto"/>
                      <w:sz w:val="21"/>
                      <w:szCs w:val="21"/>
                    </w:rPr>
                    <w:t>）</w:t>
                  </w:r>
                </w:p>
              </w:tc>
              <w:tc>
                <w:tcPr>
                  <w:tcW w:w="1100" w:type="dxa"/>
                  <w:vMerge w:val="restart"/>
                  <w:tcBorders>
                    <w:bottom w:val="nil"/>
                  </w:tcBorders>
                  <w:vAlign w:val="center"/>
                </w:tcPr>
                <w:p w14:paraId="2F542A6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b/>
                      <w:bCs/>
                      <w:color w:val="auto"/>
                      <w:spacing w:val="6"/>
                      <w:sz w:val="21"/>
                      <w:szCs w:val="21"/>
                    </w:rPr>
                    <w:t>标准限值</w:t>
                  </w:r>
                  <w:r>
                    <w:rPr>
                      <w:b/>
                      <w:bCs/>
                      <w:color w:val="auto"/>
                      <w:sz w:val="21"/>
                      <w:szCs w:val="21"/>
                    </w:rPr>
                    <w:t>（</w:t>
                  </w:r>
                  <w:r>
                    <w:rPr>
                      <w:rFonts w:ascii="Times New Roman" w:hAnsi="Times New Roman" w:eastAsia="Times New Roman" w:cs="Times New Roman"/>
                      <w:b/>
                      <w:bCs/>
                      <w:color w:val="auto"/>
                      <w:sz w:val="21"/>
                      <w:szCs w:val="21"/>
                    </w:rPr>
                    <w:t>dB(A)</w:t>
                  </w:r>
                  <w:r>
                    <w:rPr>
                      <w:b/>
                      <w:bCs/>
                      <w:color w:val="auto"/>
                      <w:sz w:val="21"/>
                      <w:szCs w:val="21"/>
                    </w:rPr>
                    <w:t>）</w:t>
                  </w:r>
                </w:p>
              </w:tc>
              <w:tc>
                <w:tcPr>
                  <w:tcW w:w="700" w:type="dxa"/>
                  <w:vMerge w:val="restart"/>
                  <w:tcBorders>
                    <w:bottom w:val="nil"/>
                  </w:tcBorders>
                  <w:vAlign w:val="center"/>
                </w:tcPr>
                <w:p w14:paraId="74FCEA3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b/>
                      <w:bCs/>
                      <w:color w:val="auto"/>
                      <w:spacing w:val="6"/>
                      <w:sz w:val="21"/>
                      <w:szCs w:val="21"/>
                    </w:rPr>
                    <w:t>达标情况</w:t>
                  </w:r>
                </w:p>
              </w:tc>
            </w:tr>
            <w:tr w14:paraId="68944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jc w:val="center"/>
              </w:trPr>
              <w:tc>
                <w:tcPr>
                  <w:tcW w:w="960" w:type="dxa"/>
                  <w:gridSpan w:val="2"/>
                  <w:vMerge w:val="continue"/>
                  <w:tcBorders>
                    <w:top w:val="nil"/>
                  </w:tcBorders>
                  <w:vAlign w:val="center"/>
                </w:tcPr>
                <w:p w14:paraId="22C2040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color w:val="auto"/>
                      <w:sz w:val="21"/>
                      <w:szCs w:val="21"/>
                    </w:rPr>
                  </w:pPr>
                </w:p>
              </w:tc>
              <w:tc>
                <w:tcPr>
                  <w:tcW w:w="525" w:type="dxa"/>
                  <w:vAlign w:val="center"/>
                </w:tcPr>
                <w:p w14:paraId="7F117B7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5"/>
                      <w:sz w:val="21"/>
                      <w:szCs w:val="21"/>
                    </w:rPr>
                    <w:t>X</w:t>
                  </w:r>
                </w:p>
              </w:tc>
              <w:tc>
                <w:tcPr>
                  <w:tcW w:w="1092" w:type="dxa"/>
                  <w:vAlign w:val="center"/>
                </w:tcPr>
                <w:p w14:paraId="203D3E1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4"/>
                      <w:sz w:val="21"/>
                      <w:szCs w:val="21"/>
                    </w:rPr>
                    <w:t>Y</w:t>
                  </w:r>
                </w:p>
              </w:tc>
              <w:tc>
                <w:tcPr>
                  <w:tcW w:w="1437" w:type="dxa"/>
                  <w:vAlign w:val="center"/>
                </w:tcPr>
                <w:p w14:paraId="4765830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2"/>
                      <w:sz w:val="21"/>
                      <w:szCs w:val="21"/>
                    </w:rPr>
                    <w:t>Z</w:t>
                  </w:r>
                </w:p>
              </w:tc>
              <w:tc>
                <w:tcPr>
                  <w:tcW w:w="916" w:type="dxa"/>
                  <w:vMerge w:val="continue"/>
                  <w:tcBorders>
                    <w:top w:val="nil"/>
                  </w:tcBorders>
                  <w:vAlign w:val="center"/>
                </w:tcPr>
                <w:p w14:paraId="43A128E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color w:val="auto"/>
                      <w:sz w:val="21"/>
                      <w:szCs w:val="21"/>
                    </w:rPr>
                  </w:pPr>
                </w:p>
              </w:tc>
              <w:tc>
                <w:tcPr>
                  <w:tcW w:w="1242" w:type="dxa"/>
                  <w:vMerge w:val="continue"/>
                  <w:tcBorders>
                    <w:top w:val="nil"/>
                  </w:tcBorders>
                  <w:vAlign w:val="center"/>
                </w:tcPr>
                <w:p w14:paraId="3E39E7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color w:val="auto"/>
                      <w:sz w:val="21"/>
                      <w:szCs w:val="21"/>
                    </w:rPr>
                  </w:pPr>
                </w:p>
              </w:tc>
              <w:tc>
                <w:tcPr>
                  <w:tcW w:w="1100" w:type="dxa"/>
                  <w:vMerge w:val="continue"/>
                  <w:tcBorders>
                    <w:top w:val="nil"/>
                  </w:tcBorders>
                  <w:vAlign w:val="center"/>
                </w:tcPr>
                <w:p w14:paraId="51B5FA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color w:val="auto"/>
                      <w:sz w:val="21"/>
                      <w:szCs w:val="21"/>
                    </w:rPr>
                  </w:pPr>
                </w:p>
              </w:tc>
              <w:tc>
                <w:tcPr>
                  <w:tcW w:w="700" w:type="dxa"/>
                  <w:vMerge w:val="continue"/>
                  <w:tcBorders>
                    <w:top w:val="nil"/>
                  </w:tcBorders>
                  <w:vAlign w:val="center"/>
                </w:tcPr>
                <w:p w14:paraId="42D38EF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color w:val="auto"/>
                      <w:sz w:val="21"/>
                      <w:szCs w:val="21"/>
                    </w:rPr>
                  </w:pPr>
                </w:p>
              </w:tc>
            </w:tr>
            <w:tr w14:paraId="59E5C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jc w:val="center"/>
              </w:trPr>
              <w:tc>
                <w:tcPr>
                  <w:tcW w:w="377" w:type="dxa"/>
                  <w:vMerge w:val="restart"/>
                  <w:tcBorders>
                    <w:right w:val="single" w:color="auto" w:sz="4" w:space="0"/>
                  </w:tcBorders>
                  <w:vAlign w:val="center"/>
                </w:tcPr>
                <w:p w14:paraId="4AF5BE8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宋体"/>
                      <w:color w:val="auto"/>
                      <w:sz w:val="21"/>
                      <w:szCs w:val="21"/>
                      <w:lang w:val="en-US" w:eastAsia="zh-CN"/>
                    </w:rPr>
                  </w:pPr>
                  <w:r>
                    <w:rPr>
                      <w:rFonts w:hint="eastAsia"/>
                      <w:color w:val="auto"/>
                      <w:sz w:val="21"/>
                      <w:szCs w:val="21"/>
                      <w:lang w:val="en-US" w:eastAsia="zh-CN"/>
                    </w:rPr>
                    <w:t>现有项目和地块一</w:t>
                  </w:r>
                </w:p>
              </w:tc>
              <w:tc>
                <w:tcPr>
                  <w:tcW w:w="583" w:type="dxa"/>
                  <w:tcBorders>
                    <w:left w:val="single" w:color="auto" w:sz="4" w:space="0"/>
                  </w:tcBorders>
                  <w:vAlign w:val="center"/>
                </w:tcPr>
                <w:p w14:paraId="516564BE">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1"/>
                      <w:sz w:val="21"/>
                      <w:szCs w:val="21"/>
                    </w:rPr>
                  </w:pPr>
                  <w:r>
                    <w:rPr>
                      <w:color w:val="auto"/>
                      <w:spacing w:val="1"/>
                      <w:sz w:val="21"/>
                      <w:szCs w:val="21"/>
                    </w:rPr>
                    <w:t>东侧</w:t>
                  </w:r>
                </w:p>
              </w:tc>
              <w:tc>
                <w:tcPr>
                  <w:tcW w:w="525" w:type="dxa"/>
                  <w:vAlign w:val="center"/>
                </w:tcPr>
                <w:p w14:paraId="795CAA0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48</w:t>
                  </w:r>
                </w:p>
              </w:tc>
              <w:tc>
                <w:tcPr>
                  <w:tcW w:w="1092" w:type="dxa"/>
                  <w:vAlign w:val="center"/>
                </w:tcPr>
                <w:p w14:paraId="0A581D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1437" w:type="dxa"/>
                  <w:vAlign w:val="center"/>
                </w:tcPr>
                <w:p w14:paraId="236685B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78681DB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昼间</w:t>
                  </w:r>
                </w:p>
              </w:tc>
              <w:tc>
                <w:tcPr>
                  <w:tcW w:w="1242" w:type="dxa"/>
                  <w:vAlign w:val="center"/>
                </w:tcPr>
                <w:p w14:paraId="44A695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.9</w:t>
                  </w:r>
                </w:p>
              </w:tc>
              <w:tc>
                <w:tcPr>
                  <w:tcW w:w="1100" w:type="dxa"/>
                  <w:vAlign w:val="center"/>
                </w:tcPr>
                <w:p w14:paraId="0E5B13C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16B758D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达标</w:t>
                  </w:r>
                </w:p>
              </w:tc>
            </w:tr>
            <w:tr w14:paraId="2D079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377" w:type="dxa"/>
                  <w:vMerge w:val="continue"/>
                  <w:tcBorders>
                    <w:right w:val="single" w:color="auto" w:sz="4" w:space="0"/>
                  </w:tcBorders>
                  <w:vAlign w:val="center"/>
                </w:tcPr>
                <w:p w14:paraId="7508325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p>
              </w:tc>
              <w:tc>
                <w:tcPr>
                  <w:tcW w:w="583" w:type="dxa"/>
                  <w:tcBorders>
                    <w:left w:val="single" w:color="auto" w:sz="4" w:space="0"/>
                  </w:tcBorders>
                  <w:vAlign w:val="center"/>
                </w:tcPr>
                <w:p w14:paraId="6DF63092">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4"/>
                      <w:sz w:val="21"/>
                      <w:szCs w:val="21"/>
                    </w:rPr>
                  </w:pPr>
                  <w:r>
                    <w:rPr>
                      <w:color w:val="auto"/>
                      <w:spacing w:val="4"/>
                      <w:sz w:val="21"/>
                      <w:szCs w:val="21"/>
                    </w:rPr>
                    <w:t>南侧</w:t>
                  </w:r>
                </w:p>
              </w:tc>
              <w:tc>
                <w:tcPr>
                  <w:tcW w:w="525" w:type="dxa"/>
                  <w:vAlign w:val="center"/>
                </w:tcPr>
                <w:p w14:paraId="124F656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212</w:t>
                  </w:r>
                </w:p>
              </w:tc>
              <w:tc>
                <w:tcPr>
                  <w:tcW w:w="1092" w:type="dxa"/>
                  <w:vAlign w:val="center"/>
                </w:tcPr>
                <w:p w14:paraId="0E05339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39</w:t>
                  </w:r>
                </w:p>
              </w:tc>
              <w:tc>
                <w:tcPr>
                  <w:tcW w:w="1437" w:type="dxa"/>
                  <w:vAlign w:val="center"/>
                </w:tcPr>
                <w:p w14:paraId="492046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165BEAF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昼间</w:t>
                  </w:r>
                </w:p>
              </w:tc>
              <w:tc>
                <w:tcPr>
                  <w:tcW w:w="1242" w:type="dxa"/>
                  <w:vAlign w:val="center"/>
                </w:tcPr>
                <w:p w14:paraId="00E4994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.7</w:t>
                  </w:r>
                </w:p>
              </w:tc>
              <w:tc>
                <w:tcPr>
                  <w:tcW w:w="1100" w:type="dxa"/>
                  <w:vAlign w:val="center"/>
                </w:tcPr>
                <w:p w14:paraId="496417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0CABB0E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达标</w:t>
                  </w:r>
                </w:p>
              </w:tc>
            </w:tr>
            <w:tr w14:paraId="4D07E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377" w:type="dxa"/>
                  <w:vMerge w:val="continue"/>
                  <w:tcBorders>
                    <w:right w:val="single" w:color="auto" w:sz="4" w:space="0"/>
                  </w:tcBorders>
                  <w:vAlign w:val="center"/>
                </w:tcPr>
                <w:p w14:paraId="1D10F08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p>
              </w:tc>
              <w:tc>
                <w:tcPr>
                  <w:tcW w:w="583" w:type="dxa"/>
                  <w:tcBorders>
                    <w:left w:val="single" w:color="auto" w:sz="4" w:space="0"/>
                  </w:tcBorders>
                  <w:vAlign w:val="center"/>
                </w:tcPr>
                <w:p w14:paraId="55CEC75C">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2"/>
                      <w:sz w:val="21"/>
                      <w:szCs w:val="21"/>
                    </w:rPr>
                  </w:pPr>
                  <w:r>
                    <w:rPr>
                      <w:color w:val="auto"/>
                      <w:spacing w:val="2"/>
                      <w:sz w:val="21"/>
                      <w:szCs w:val="21"/>
                    </w:rPr>
                    <w:t>西侧</w:t>
                  </w:r>
                </w:p>
              </w:tc>
              <w:tc>
                <w:tcPr>
                  <w:tcW w:w="525" w:type="dxa"/>
                  <w:vAlign w:val="center"/>
                </w:tcPr>
                <w:p w14:paraId="689134F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5</w:t>
                  </w:r>
                </w:p>
              </w:tc>
              <w:tc>
                <w:tcPr>
                  <w:tcW w:w="1092" w:type="dxa"/>
                  <w:vAlign w:val="center"/>
                </w:tcPr>
                <w:p w14:paraId="49B2AC9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437" w:type="dxa"/>
                  <w:vAlign w:val="center"/>
                </w:tcPr>
                <w:p w14:paraId="5E5FA14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32F904D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昼间</w:t>
                  </w:r>
                </w:p>
              </w:tc>
              <w:tc>
                <w:tcPr>
                  <w:tcW w:w="1242" w:type="dxa"/>
                  <w:vAlign w:val="center"/>
                </w:tcPr>
                <w:p w14:paraId="2B66F3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r>
                    <w:rPr>
                      <w:rFonts w:hint="eastAsia"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.6</w:t>
                  </w:r>
                </w:p>
              </w:tc>
              <w:tc>
                <w:tcPr>
                  <w:tcW w:w="1100" w:type="dxa"/>
                  <w:vAlign w:val="center"/>
                </w:tcPr>
                <w:p w14:paraId="156637E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6E53F87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达标</w:t>
                  </w:r>
                </w:p>
              </w:tc>
            </w:tr>
            <w:tr w14:paraId="75EA8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377" w:type="dxa"/>
                  <w:vMerge w:val="continue"/>
                  <w:tcBorders>
                    <w:right w:val="single" w:color="auto" w:sz="4" w:space="0"/>
                  </w:tcBorders>
                  <w:vAlign w:val="center"/>
                </w:tcPr>
                <w:p w14:paraId="49A1BD3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p>
              </w:tc>
              <w:tc>
                <w:tcPr>
                  <w:tcW w:w="583" w:type="dxa"/>
                  <w:tcBorders>
                    <w:left w:val="single" w:color="auto" w:sz="4" w:space="0"/>
                  </w:tcBorders>
                  <w:vAlign w:val="center"/>
                </w:tcPr>
                <w:p w14:paraId="147CA2FA">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3"/>
                      <w:sz w:val="21"/>
                      <w:szCs w:val="21"/>
                    </w:rPr>
                  </w:pPr>
                  <w:r>
                    <w:rPr>
                      <w:color w:val="auto"/>
                      <w:spacing w:val="3"/>
                      <w:sz w:val="21"/>
                      <w:szCs w:val="21"/>
                    </w:rPr>
                    <w:t>北侧</w:t>
                  </w:r>
                </w:p>
              </w:tc>
              <w:tc>
                <w:tcPr>
                  <w:tcW w:w="525" w:type="dxa"/>
                  <w:vAlign w:val="center"/>
                </w:tcPr>
                <w:p w14:paraId="5172F93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092" w:type="dxa"/>
                  <w:vAlign w:val="center"/>
                </w:tcPr>
                <w:p w14:paraId="1C68E97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1437" w:type="dxa"/>
                  <w:vAlign w:val="center"/>
                </w:tcPr>
                <w:p w14:paraId="46A0368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5B2932C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昼间</w:t>
                  </w:r>
                </w:p>
              </w:tc>
              <w:tc>
                <w:tcPr>
                  <w:tcW w:w="1242" w:type="dxa"/>
                  <w:vAlign w:val="center"/>
                </w:tcPr>
                <w:p w14:paraId="3EBE8BD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39</w:t>
                  </w:r>
                  <w:r>
                    <w:rPr>
                      <w:rFonts w:hint="default" w:ascii="Times New Roman" w:hAnsi="Times New Roman" w:eastAsia="宋体" w:cs="Times New Roman"/>
                      <w:color w:val="auto"/>
                      <w:sz w:val="21"/>
                      <w:szCs w:val="21"/>
                      <w:lang w:val="en-US" w:eastAsia="zh-CN"/>
                    </w:rPr>
                    <w:t>.7</w:t>
                  </w:r>
                </w:p>
              </w:tc>
              <w:tc>
                <w:tcPr>
                  <w:tcW w:w="1100" w:type="dxa"/>
                  <w:vAlign w:val="center"/>
                </w:tcPr>
                <w:p w14:paraId="3988EEA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78FA595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达标</w:t>
                  </w:r>
                </w:p>
              </w:tc>
            </w:tr>
            <w:tr w14:paraId="1F3E1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377" w:type="dxa"/>
                  <w:vMerge w:val="restart"/>
                  <w:tcBorders>
                    <w:right w:val="single" w:color="auto" w:sz="4" w:space="0"/>
                  </w:tcBorders>
                  <w:vAlign w:val="center"/>
                </w:tcPr>
                <w:p w14:paraId="20CF526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宋体"/>
                      <w:color w:val="auto"/>
                      <w:spacing w:val="3"/>
                      <w:sz w:val="21"/>
                      <w:szCs w:val="21"/>
                      <w:lang w:val="en-US" w:eastAsia="zh-CN"/>
                    </w:rPr>
                  </w:pPr>
                  <w:r>
                    <w:rPr>
                      <w:rFonts w:hint="eastAsia"/>
                      <w:color w:val="auto"/>
                      <w:spacing w:val="3"/>
                      <w:sz w:val="21"/>
                      <w:szCs w:val="21"/>
                      <w:lang w:val="en-US" w:eastAsia="zh-CN"/>
                    </w:rPr>
                    <w:t>地块二</w:t>
                  </w:r>
                </w:p>
              </w:tc>
              <w:tc>
                <w:tcPr>
                  <w:tcW w:w="583" w:type="dxa"/>
                  <w:tcBorders>
                    <w:left w:val="single" w:color="auto" w:sz="4" w:space="0"/>
                  </w:tcBorders>
                  <w:vAlign w:val="center"/>
                </w:tcPr>
                <w:p w14:paraId="4836976A">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3"/>
                      <w:sz w:val="21"/>
                      <w:szCs w:val="21"/>
                    </w:rPr>
                  </w:pPr>
                  <w:r>
                    <w:rPr>
                      <w:color w:val="auto"/>
                      <w:spacing w:val="1"/>
                      <w:sz w:val="21"/>
                      <w:szCs w:val="21"/>
                    </w:rPr>
                    <w:t>东侧</w:t>
                  </w:r>
                </w:p>
              </w:tc>
              <w:tc>
                <w:tcPr>
                  <w:tcW w:w="525" w:type="dxa"/>
                  <w:vAlign w:val="center"/>
                </w:tcPr>
                <w:p w14:paraId="1DED7B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sz w:val="21"/>
                      <w:szCs w:val="21"/>
                      <w:lang w:val="en-US" w:eastAsia="zh-CN"/>
                    </w:rPr>
                  </w:pPr>
                  <w:r>
                    <w:rPr>
                      <w:rFonts w:hint="default" w:ascii="Times New Roman" w:hAnsi="Times New Roman" w:eastAsia="宋体" w:cs="Times New Roman"/>
                      <w:color w:val="auto"/>
                      <w:spacing w:val="1"/>
                      <w:sz w:val="21"/>
                      <w:szCs w:val="21"/>
                      <w:lang w:val="en-US" w:eastAsia="zh-CN"/>
                    </w:rPr>
                    <w:t>27</w:t>
                  </w:r>
                </w:p>
              </w:tc>
              <w:tc>
                <w:tcPr>
                  <w:tcW w:w="1092" w:type="dxa"/>
                  <w:vAlign w:val="center"/>
                </w:tcPr>
                <w:p w14:paraId="05D871E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position w:val="1"/>
                      <w:sz w:val="21"/>
                      <w:szCs w:val="21"/>
                      <w:lang w:val="en-US" w:eastAsia="zh-CN"/>
                    </w:rPr>
                  </w:pPr>
                  <w:r>
                    <w:rPr>
                      <w:rFonts w:hint="default" w:ascii="Times New Roman" w:hAnsi="Times New Roman" w:eastAsia="宋体" w:cs="Times New Roman"/>
                      <w:color w:val="auto"/>
                      <w:spacing w:val="1"/>
                      <w:position w:val="1"/>
                      <w:sz w:val="21"/>
                      <w:szCs w:val="21"/>
                      <w:lang w:val="en-US" w:eastAsia="zh-CN"/>
                    </w:rPr>
                    <w:t>-</w:t>
                  </w:r>
                  <w:r>
                    <w:rPr>
                      <w:rFonts w:hint="eastAsia" w:cs="Times New Roman"/>
                      <w:color w:val="auto"/>
                      <w:spacing w:val="1"/>
                      <w:position w:val="1"/>
                      <w:sz w:val="21"/>
                      <w:szCs w:val="21"/>
                      <w:lang w:val="en-US" w:eastAsia="zh-CN"/>
                    </w:rPr>
                    <w:t>4</w:t>
                  </w:r>
                  <w:r>
                    <w:rPr>
                      <w:rFonts w:hint="default" w:ascii="Times New Roman" w:hAnsi="Times New Roman" w:eastAsia="宋体" w:cs="Times New Roman"/>
                      <w:color w:val="auto"/>
                      <w:spacing w:val="1"/>
                      <w:position w:val="1"/>
                      <w:sz w:val="21"/>
                      <w:szCs w:val="21"/>
                      <w:lang w:val="en-US" w:eastAsia="zh-CN"/>
                    </w:rPr>
                    <w:t>5</w:t>
                  </w:r>
                </w:p>
              </w:tc>
              <w:tc>
                <w:tcPr>
                  <w:tcW w:w="1437" w:type="dxa"/>
                  <w:vAlign w:val="center"/>
                </w:tcPr>
                <w:p w14:paraId="5867B52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30D19A5C">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昼间</w:t>
                  </w:r>
                </w:p>
              </w:tc>
              <w:tc>
                <w:tcPr>
                  <w:tcW w:w="1242" w:type="dxa"/>
                  <w:vAlign w:val="center"/>
                </w:tcPr>
                <w:p w14:paraId="2AFBE4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position w:val="1"/>
                      <w:sz w:val="21"/>
                      <w:szCs w:val="21"/>
                      <w:lang w:val="en-US" w:eastAsia="zh-CN"/>
                    </w:rPr>
                  </w:pPr>
                  <w:r>
                    <w:rPr>
                      <w:rFonts w:hint="default" w:ascii="Times New Roman" w:hAnsi="Times New Roman" w:eastAsia="宋体" w:cs="Times New Roman"/>
                      <w:color w:val="auto"/>
                      <w:spacing w:val="4"/>
                      <w:position w:val="1"/>
                      <w:sz w:val="21"/>
                      <w:szCs w:val="21"/>
                      <w:lang w:val="en-US" w:eastAsia="zh-CN"/>
                    </w:rPr>
                    <w:t>4</w:t>
                  </w:r>
                  <w:r>
                    <w:rPr>
                      <w:rFonts w:hint="eastAsia" w:cs="Times New Roman"/>
                      <w:color w:val="auto"/>
                      <w:spacing w:val="4"/>
                      <w:position w:val="1"/>
                      <w:sz w:val="21"/>
                      <w:szCs w:val="21"/>
                      <w:lang w:val="en-US" w:eastAsia="zh-CN"/>
                    </w:rPr>
                    <w:t>4</w:t>
                  </w:r>
                  <w:r>
                    <w:rPr>
                      <w:rFonts w:hint="default" w:ascii="Times New Roman" w:hAnsi="Times New Roman" w:eastAsia="宋体" w:cs="Times New Roman"/>
                      <w:color w:val="auto"/>
                      <w:spacing w:val="4"/>
                      <w:position w:val="1"/>
                      <w:sz w:val="21"/>
                      <w:szCs w:val="21"/>
                      <w:lang w:val="en-US" w:eastAsia="zh-CN"/>
                    </w:rPr>
                    <w:t>.3</w:t>
                  </w:r>
                </w:p>
              </w:tc>
              <w:tc>
                <w:tcPr>
                  <w:tcW w:w="1100" w:type="dxa"/>
                  <w:vAlign w:val="center"/>
                </w:tcPr>
                <w:p w14:paraId="1286605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1"/>
                      <w:position w:val="1"/>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22AD203F">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达标</w:t>
                  </w:r>
                </w:p>
              </w:tc>
            </w:tr>
            <w:tr w14:paraId="26E4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377" w:type="dxa"/>
                  <w:vMerge w:val="continue"/>
                  <w:tcBorders>
                    <w:right w:val="single" w:color="auto" w:sz="4" w:space="0"/>
                  </w:tcBorders>
                  <w:vAlign w:val="center"/>
                </w:tcPr>
                <w:p w14:paraId="4ABBC0F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pacing w:val="3"/>
                      <w:sz w:val="21"/>
                      <w:szCs w:val="21"/>
                    </w:rPr>
                  </w:pPr>
                </w:p>
              </w:tc>
              <w:tc>
                <w:tcPr>
                  <w:tcW w:w="583" w:type="dxa"/>
                  <w:tcBorders>
                    <w:left w:val="single" w:color="auto" w:sz="4" w:space="0"/>
                  </w:tcBorders>
                  <w:vAlign w:val="center"/>
                </w:tcPr>
                <w:p w14:paraId="5A681027">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3"/>
                      <w:sz w:val="21"/>
                      <w:szCs w:val="21"/>
                    </w:rPr>
                  </w:pPr>
                  <w:r>
                    <w:rPr>
                      <w:color w:val="auto"/>
                      <w:spacing w:val="4"/>
                      <w:sz w:val="21"/>
                      <w:szCs w:val="21"/>
                    </w:rPr>
                    <w:t>南侧</w:t>
                  </w:r>
                </w:p>
              </w:tc>
              <w:tc>
                <w:tcPr>
                  <w:tcW w:w="525" w:type="dxa"/>
                  <w:vAlign w:val="center"/>
                </w:tcPr>
                <w:p w14:paraId="2C39522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sz w:val="21"/>
                      <w:szCs w:val="21"/>
                      <w:lang w:val="en-US" w:eastAsia="zh-CN"/>
                    </w:rPr>
                  </w:pPr>
                  <w:r>
                    <w:rPr>
                      <w:rFonts w:hint="eastAsia" w:cs="Times New Roman"/>
                      <w:color w:val="auto"/>
                      <w:spacing w:val="1"/>
                      <w:sz w:val="21"/>
                      <w:szCs w:val="21"/>
                      <w:lang w:val="en-US" w:eastAsia="zh-CN"/>
                    </w:rPr>
                    <w:t>18</w:t>
                  </w:r>
                </w:p>
              </w:tc>
              <w:tc>
                <w:tcPr>
                  <w:tcW w:w="1092" w:type="dxa"/>
                  <w:vAlign w:val="center"/>
                </w:tcPr>
                <w:p w14:paraId="2EE8B73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position w:val="1"/>
                      <w:sz w:val="21"/>
                      <w:szCs w:val="21"/>
                      <w:lang w:val="en-US" w:eastAsia="zh-CN"/>
                    </w:rPr>
                  </w:pPr>
                  <w:r>
                    <w:rPr>
                      <w:rFonts w:hint="default" w:ascii="Times New Roman" w:hAnsi="Times New Roman" w:eastAsia="宋体" w:cs="Times New Roman"/>
                      <w:color w:val="auto"/>
                      <w:spacing w:val="1"/>
                      <w:position w:val="1"/>
                      <w:sz w:val="21"/>
                      <w:szCs w:val="21"/>
                      <w:lang w:val="en-US" w:eastAsia="zh-CN"/>
                    </w:rPr>
                    <w:t>-</w:t>
                  </w:r>
                  <w:r>
                    <w:rPr>
                      <w:rFonts w:hint="eastAsia" w:cs="Times New Roman"/>
                      <w:color w:val="auto"/>
                      <w:spacing w:val="1"/>
                      <w:position w:val="1"/>
                      <w:sz w:val="21"/>
                      <w:szCs w:val="21"/>
                      <w:lang w:val="en-US" w:eastAsia="zh-CN"/>
                    </w:rPr>
                    <w:t>1</w:t>
                  </w:r>
                  <w:r>
                    <w:rPr>
                      <w:rFonts w:hint="default" w:ascii="Times New Roman" w:hAnsi="Times New Roman" w:eastAsia="宋体" w:cs="Times New Roman"/>
                      <w:color w:val="auto"/>
                      <w:spacing w:val="1"/>
                      <w:position w:val="1"/>
                      <w:sz w:val="21"/>
                      <w:szCs w:val="21"/>
                      <w:lang w:val="en-US" w:eastAsia="zh-CN"/>
                    </w:rPr>
                    <w:t>35</w:t>
                  </w:r>
                </w:p>
              </w:tc>
              <w:tc>
                <w:tcPr>
                  <w:tcW w:w="1437" w:type="dxa"/>
                  <w:vAlign w:val="center"/>
                </w:tcPr>
                <w:p w14:paraId="4A6D499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3618DB7A">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昼间</w:t>
                  </w:r>
                </w:p>
              </w:tc>
              <w:tc>
                <w:tcPr>
                  <w:tcW w:w="1242" w:type="dxa"/>
                  <w:vAlign w:val="center"/>
                </w:tcPr>
                <w:p w14:paraId="2C9DE97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position w:val="1"/>
                      <w:sz w:val="21"/>
                      <w:szCs w:val="21"/>
                      <w:lang w:val="en-US" w:eastAsia="zh-CN"/>
                    </w:rPr>
                  </w:pPr>
                  <w:r>
                    <w:rPr>
                      <w:rFonts w:hint="eastAsia" w:cs="Times New Roman"/>
                      <w:color w:val="auto"/>
                      <w:spacing w:val="4"/>
                      <w:position w:val="1"/>
                      <w:sz w:val="21"/>
                      <w:szCs w:val="21"/>
                      <w:lang w:val="en-US" w:eastAsia="zh-CN"/>
                    </w:rPr>
                    <w:t>2</w:t>
                  </w:r>
                  <w:r>
                    <w:rPr>
                      <w:rFonts w:hint="default" w:ascii="Times New Roman" w:hAnsi="Times New Roman" w:eastAsia="宋体" w:cs="Times New Roman"/>
                      <w:color w:val="auto"/>
                      <w:spacing w:val="4"/>
                      <w:position w:val="1"/>
                      <w:sz w:val="21"/>
                      <w:szCs w:val="21"/>
                      <w:lang w:val="en-US" w:eastAsia="zh-CN"/>
                    </w:rPr>
                    <w:t>8.5</w:t>
                  </w:r>
                </w:p>
              </w:tc>
              <w:tc>
                <w:tcPr>
                  <w:tcW w:w="1100" w:type="dxa"/>
                  <w:vAlign w:val="center"/>
                </w:tcPr>
                <w:p w14:paraId="7383C85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1"/>
                      <w:position w:val="1"/>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0B2C511D">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达标</w:t>
                  </w:r>
                </w:p>
              </w:tc>
            </w:tr>
            <w:tr w14:paraId="528E2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377" w:type="dxa"/>
                  <w:vMerge w:val="continue"/>
                  <w:tcBorders>
                    <w:right w:val="single" w:color="auto" w:sz="4" w:space="0"/>
                  </w:tcBorders>
                  <w:vAlign w:val="center"/>
                </w:tcPr>
                <w:p w14:paraId="4028245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pacing w:val="3"/>
                      <w:sz w:val="21"/>
                      <w:szCs w:val="21"/>
                    </w:rPr>
                  </w:pPr>
                </w:p>
              </w:tc>
              <w:tc>
                <w:tcPr>
                  <w:tcW w:w="583" w:type="dxa"/>
                  <w:tcBorders>
                    <w:left w:val="single" w:color="auto" w:sz="4" w:space="0"/>
                  </w:tcBorders>
                  <w:vAlign w:val="center"/>
                </w:tcPr>
                <w:p w14:paraId="414D0054">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3"/>
                      <w:sz w:val="21"/>
                      <w:szCs w:val="21"/>
                    </w:rPr>
                  </w:pPr>
                  <w:r>
                    <w:rPr>
                      <w:color w:val="auto"/>
                      <w:spacing w:val="2"/>
                      <w:sz w:val="21"/>
                      <w:szCs w:val="21"/>
                    </w:rPr>
                    <w:t>西侧</w:t>
                  </w:r>
                </w:p>
              </w:tc>
              <w:tc>
                <w:tcPr>
                  <w:tcW w:w="525" w:type="dxa"/>
                  <w:vAlign w:val="center"/>
                </w:tcPr>
                <w:p w14:paraId="5976214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sz w:val="21"/>
                      <w:szCs w:val="21"/>
                      <w:lang w:val="en-US" w:eastAsia="zh-CN"/>
                    </w:rPr>
                  </w:pPr>
                  <w:r>
                    <w:rPr>
                      <w:rFonts w:hint="default" w:ascii="Times New Roman" w:hAnsi="Times New Roman" w:eastAsia="宋体" w:cs="Times New Roman"/>
                      <w:color w:val="auto"/>
                      <w:spacing w:val="1"/>
                      <w:sz w:val="21"/>
                      <w:szCs w:val="21"/>
                      <w:lang w:val="en-US" w:eastAsia="zh-CN"/>
                    </w:rPr>
                    <w:t>-</w:t>
                  </w:r>
                  <w:r>
                    <w:rPr>
                      <w:rFonts w:hint="eastAsia" w:cs="Times New Roman"/>
                      <w:color w:val="auto"/>
                      <w:spacing w:val="1"/>
                      <w:sz w:val="21"/>
                      <w:szCs w:val="21"/>
                      <w:lang w:val="en-US" w:eastAsia="zh-CN"/>
                    </w:rPr>
                    <w:t>3</w:t>
                  </w:r>
                  <w:r>
                    <w:rPr>
                      <w:rFonts w:hint="default" w:ascii="Times New Roman" w:hAnsi="Times New Roman" w:eastAsia="宋体" w:cs="Times New Roman"/>
                      <w:color w:val="auto"/>
                      <w:spacing w:val="1"/>
                      <w:sz w:val="21"/>
                      <w:szCs w:val="21"/>
                      <w:lang w:val="en-US" w:eastAsia="zh-CN"/>
                    </w:rPr>
                    <w:t>5</w:t>
                  </w:r>
                </w:p>
              </w:tc>
              <w:tc>
                <w:tcPr>
                  <w:tcW w:w="1092" w:type="dxa"/>
                  <w:vAlign w:val="center"/>
                </w:tcPr>
                <w:p w14:paraId="5EE9AB8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1"/>
                      <w:position w:val="1"/>
                      <w:sz w:val="21"/>
                      <w:szCs w:val="21"/>
                      <w:lang w:val="en-US" w:eastAsia="zh-CN"/>
                    </w:rPr>
                  </w:pPr>
                  <w:r>
                    <w:rPr>
                      <w:rFonts w:hint="eastAsia" w:cs="Times New Roman"/>
                      <w:color w:val="auto"/>
                      <w:spacing w:val="1"/>
                      <w:position w:val="1"/>
                      <w:sz w:val="21"/>
                      <w:szCs w:val="21"/>
                      <w:lang w:val="en-US" w:eastAsia="zh-CN"/>
                    </w:rPr>
                    <w:t>1</w:t>
                  </w:r>
                  <w:r>
                    <w:rPr>
                      <w:rFonts w:hint="default" w:ascii="Times New Roman" w:hAnsi="Times New Roman" w:eastAsia="宋体" w:cs="Times New Roman"/>
                      <w:color w:val="auto"/>
                      <w:spacing w:val="1"/>
                      <w:position w:val="1"/>
                      <w:sz w:val="21"/>
                      <w:szCs w:val="21"/>
                      <w:lang w:val="en-US" w:eastAsia="zh-CN"/>
                    </w:rPr>
                    <w:t>3</w:t>
                  </w:r>
                </w:p>
              </w:tc>
              <w:tc>
                <w:tcPr>
                  <w:tcW w:w="1437" w:type="dxa"/>
                  <w:vAlign w:val="center"/>
                </w:tcPr>
                <w:p w14:paraId="237B85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741D26FE">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昼间</w:t>
                  </w:r>
                </w:p>
              </w:tc>
              <w:tc>
                <w:tcPr>
                  <w:tcW w:w="1242" w:type="dxa"/>
                  <w:vAlign w:val="center"/>
                </w:tcPr>
                <w:p w14:paraId="3C16280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position w:val="1"/>
                      <w:sz w:val="21"/>
                      <w:szCs w:val="21"/>
                      <w:lang w:val="en-US" w:eastAsia="zh-CN"/>
                    </w:rPr>
                  </w:pPr>
                  <w:r>
                    <w:rPr>
                      <w:rFonts w:hint="eastAsia" w:cs="Times New Roman"/>
                      <w:color w:val="auto"/>
                      <w:spacing w:val="4"/>
                      <w:position w:val="1"/>
                      <w:sz w:val="21"/>
                      <w:szCs w:val="21"/>
                      <w:lang w:val="en-US" w:eastAsia="zh-CN"/>
                    </w:rPr>
                    <w:t>3</w:t>
                  </w:r>
                  <w:r>
                    <w:rPr>
                      <w:rFonts w:hint="default" w:ascii="Times New Roman" w:hAnsi="Times New Roman" w:eastAsia="宋体" w:cs="Times New Roman"/>
                      <w:color w:val="auto"/>
                      <w:spacing w:val="4"/>
                      <w:position w:val="1"/>
                      <w:sz w:val="21"/>
                      <w:szCs w:val="21"/>
                      <w:lang w:val="en-US" w:eastAsia="zh-CN"/>
                    </w:rPr>
                    <w:t>7.8</w:t>
                  </w:r>
                </w:p>
              </w:tc>
              <w:tc>
                <w:tcPr>
                  <w:tcW w:w="1100" w:type="dxa"/>
                  <w:vAlign w:val="center"/>
                </w:tcPr>
                <w:p w14:paraId="5041A29F">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1"/>
                      <w:position w:val="1"/>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5BB0BD26">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达标</w:t>
                  </w:r>
                </w:p>
              </w:tc>
            </w:tr>
            <w:tr w14:paraId="19F5B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377" w:type="dxa"/>
                  <w:vMerge w:val="continue"/>
                  <w:tcBorders>
                    <w:right w:val="single" w:color="auto" w:sz="4" w:space="0"/>
                  </w:tcBorders>
                  <w:vAlign w:val="center"/>
                </w:tcPr>
                <w:p w14:paraId="456C18E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pacing w:val="3"/>
                      <w:sz w:val="21"/>
                      <w:szCs w:val="21"/>
                    </w:rPr>
                  </w:pPr>
                </w:p>
              </w:tc>
              <w:tc>
                <w:tcPr>
                  <w:tcW w:w="583" w:type="dxa"/>
                  <w:tcBorders>
                    <w:left w:val="single" w:color="auto" w:sz="4" w:space="0"/>
                  </w:tcBorders>
                  <w:vAlign w:val="center"/>
                </w:tcPr>
                <w:p w14:paraId="166901A9">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3"/>
                      <w:sz w:val="21"/>
                      <w:szCs w:val="21"/>
                    </w:rPr>
                  </w:pPr>
                  <w:r>
                    <w:rPr>
                      <w:color w:val="auto"/>
                      <w:spacing w:val="3"/>
                      <w:sz w:val="21"/>
                      <w:szCs w:val="21"/>
                    </w:rPr>
                    <w:t>北侧</w:t>
                  </w:r>
                </w:p>
              </w:tc>
              <w:tc>
                <w:tcPr>
                  <w:tcW w:w="525" w:type="dxa"/>
                  <w:vAlign w:val="center"/>
                </w:tcPr>
                <w:p w14:paraId="4B5DBB1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w:t>
                  </w:r>
                </w:p>
              </w:tc>
              <w:tc>
                <w:tcPr>
                  <w:tcW w:w="1092" w:type="dxa"/>
                  <w:vAlign w:val="center"/>
                </w:tcPr>
                <w:p w14:paraId="35E7768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29</w:t>
                  </w:r>
                </w:p>
              </w:tc>
              <w:tc>
                <w:tcPr>
                  <w:tcW w:w="1437" w:type="dxa"/>
                  <w:vAlign w:val="center"/>
                </w:tcPr>
                <w:p w14:paraId="4CBAE37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916" w:type="dxa"/>
                  <w:vAlign w:val="center"/>
                </w:tcPr>
                <w:p w14:paraId="27D455FF">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昼间</w:t>
                  </w:r>
                </w:p>
              </w:tc>
              <w:tc>
                <w:tcPr>
                  <w:tcW w:w="1242" w:type="dxa"/>
                  <w:vAlign w:val="center"/>
                </w:tcPr>
                <w:p w14:paraId="6C4C413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position w:val="1"/>
                      <w:sz w:val="21"/>
                      <w:szCs w:val="21"/>
                      <w:lang w:val="en-US" w:eastAsia="zh-CN"/>
                    </w:rPr>
                  </w:pPr>
                  <w:r>
                    <w:rPr>
                      <w:rFonts w:hint="eastAsia" w:cs="Times New Roman"/>
                      <w:color w:val="auto"/>
                      <w:spacing w:val="4"/>
                      <w:position w:val="1"/>
                      <w:sz w:val="21"/>
                      <w:szCs w:val="21"/>
                      <w:lang w:val="en-US" w:eastAsia="zh-CN"/>
                    </w:rPr>
                    <w:t>35</w:t>
                  </w:r>
                  <w:r>
                    <w:rPr>
                      <w:rFonts w:hint="default" w:ascii="Times New Roman" w:hAnsi="Times New Roman" w:eastAsia="宋体" w:cs="Times New Roman"/>
                      <w:color w:val="auto"/>
                      <w:spacing w:val="4"/>
                      <w:position w:val="1"/>
                      <w:sz w:val="21"/>
                      <w:szCs w:val="21"/>
                      <w:lang w:val="en-US" w:eastAsia="zh-CN"/>
                    </w:rPr>
                    <w:t>.5</w:t>
                  </w:r>
                </w:p>
              </w:tc>
              <w:tc>
                <w:tcPr>
                  <w:tcW w:w="1100" w:type="dxa"/>
                  <w:vAlign w:val="center"/>
                </w:tcPr>
                <w:p w14:paraId="2126860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1"/>
                      <w:position w:val="1"/>
                      <w:sz w:val="21"/>
                      <w:szCs w:val="21"/>
                    </w:rPr>
                  </w:pPr>
                  <w:r>
                    <w:rPr>
                      <w:rFonts w:hint="default" w:ascii="Times New Roman" w:hAnsi="Times New Roman" w:eastAsia="宋体" w:cs="Times New Roman"/>
                      <w:color w:val="auto"/>
                      <w:spacing w:val="1"/>
                      <w:position w:val="1"/>
                      <w:sz w:val="21"/>
                      <w:szCs w:val="21"/>
                    </w:rPr>
                    <w:t>60</w:t>
                  </w:r>
                </w:p>
              </w:tc>
              <w:tc>
                <w:tcPr>
                  <w:tcW w:w="700" w:type="dxa"/>
                  <w:vAlign w:val="center"/>
                </w:tcPr>
                <w:p w14:paraId="4D589F30">
                  <w:pPr>
                    <w:pStyle w:val="59"/>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color w:val="auto"/>
                      <w:spacing w:val="5"/>
                      <w:sz w:val="21"/>
                      <w:szCs w:val="21"/>
                    </w:rPr>
                  </w:pPr>
                  <w:r>
                    <w:rPr>
                      <w:color w:val="auto"/>
                      <w:spacing w:val="5"/>
                      <w:sz w:val="21"/>
                      <w:szCs w:val="21"/>
                    </w:rPr>
                    <w:t>达标</w:t>
                  </w:r>
                </w:p>
              </w:tc>
            </w:tr>
          </w:tbl>
          <w:p w14:paraId="5E7413E0">
            <w:pPr>
              <w:pStyle w:val="59"/>
              <w:keepNext w:val="0"/>
              <w:keepLines w:val="0"/>
              <w:pageBreakBefore w:val="0"/>
              <w:widowControl w:val="0"/>
              <w:kinsoku/>
              <w:wordWrap/>
              <w:overflowPunct/>
              <w:topLinePunct w:val="0"/>
              <w:autoSpaceDE/>
              <w:autoSpaceDN/>
              <w:bidi w:val="0"/>
              <w:adjustRightInd/>
              <w:snapToGrid/>
              <w:spacing w:line="346" w:lineRule="auto"/>
              <w:ind w:left="0" w:right="0" w:firstLine="0"/>
              <w:jc w:val="center"/>
              <w:textAlignment w:val="auto"/>
              <w:rPr>
                <w:rFonts w:hint="eastAsia" w:eastAsia="宋体"/>
                <w:color w:val="auto"/>
                <w:spacing w:val="3"/>
                <w:lang w:eastAsia="zh-CN"/>
              </w:rPr>
            </w:pPr>
            <w:r>
              <w:rPr>
                <w:rFonts w:hint="eastAsia" w:eastAsia="宋体"/>
                <w:color w:val="auto"/>
                <w:spacing w:val="3"/>
                <w:lang w:eastAsia="zh-CN"/>
              </w:rPr>
              <w:drawing>
                <wp:inline distT="0" distB="0" distL="114300" distR="114300">
                  <wp:extent cx="5222240" cy="4676775"/>
                  <wp:effectExtent l="0" t="0" r="16510" b="9525"/>
                  <wp:docPr id="5" name="图片 5" descr="QQ_178332407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_1783324071377"/>
                          <pic:cNvPicPr>
                            <a:picLocks noChangeAspect="1"/>
                          </pic:cNvPicPr>
                        </pic:nvPicPr>
                        <pic:blipFill>
                          <a:blip r:embed="rId19"/>
                          <a:stretch>
                            <a:fillRect/>
                          </a:stretch>
                        </pic:blipFill>
                        <pic:spPr>
                          <a:xfrm>
                            <a:off x="0" y="0"/>
                            <a:ext cx="5222240" cy="4676775"/>
                          </a:xfrm>
                          <a:prstGeom prst="rect">
                            <a:avLst/>
                          </a:prstGeom>
                        </pic:spPr>
                      </pic:pic>
                    </a:graphicData>
                  </a:graphic>
                </wp:inline>
              </w:drawing>
            </w:r>
          </w:p>
          <w:p w14:paraId="4B27F0C4">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 xml:space="preserve">图4-2  </w:t>
            </w:r>
            <w:r>
              <w:rPr>
                <w:rFonts w:hint="eastAsia" w:eastAsia="宋体" w:cs="Times New Roman"/>
                <w:b/>
                <w:bCs/>
                <w:color w:val="auto"/>
                <w:sz w:val="21"/>
                <w:szCs w:val="21"/>
                <w:lang w:val="en-US" w:eastAsia="zh-CN"/>
              </w:rPr>
              <w:t>地块一</w:t>
            </w:r>
            <w:r>
              <w:rPr>
                <w:rFonts w:hint="default" w:ascii="Times New Roman" w:hAnsi="Times New Roman" w:eastAsia="宋体" w:cs="Times New Roman"/>
                <w:b/>
                <w:bCs/>
                <w:color w:val="auto"/>
                <w:sz w:val="21"/>
                <w:szCs w:val="21"/>
                <w:lang w:val="en-US" w:eastAsia="zh-CN"/>
              </w:rPr>
              <w:t>噪声的贡献值图</w:t>
            </w:r>
          </w:p>
          <w:p w14:paraId="3809E006">
            <w:pPr>
              <w:pStyle w:val="59"/>
              <w:keepNext w:val="0"/>
              <w:keepLines w:val="0"/>
              <w:pageBreakBefore w:val="0"/>
              <w:widowControl w:val="0"/>
              <w:kinsoku/>
              <w:wordWrap/>
              <w:overflowPunct/>
              <w:topLinePunct w:val="0"/>
              <w:autoSpaceDE/>
              <w:autoSpaceDN/>
              <w:bidi w:val="0"/>
              <w:adjustRightInd/>
              <w:snapToGrid/>
              <w:spacing w:line="346" w:lineRule="auto"/>
              <w:ind w:left="0" w:right="0" w:firstLine="0"/>
              <w:jc w:val="center"/>
              <w:textAlignment w:val="auto"/>
              <w:rPr>
                <w:rFonts w:hint="eastAsia" w:eastAsia="宋体"/>
                <w:color w:val="auto"/>
                <w:spacing w:val="3"/>
                <w:lang w:eastAsia="zh-CN"/>
              </w:rPr>
            </w:pPr>
            <w:r>
              <w:rPr>
                <w:rFonts w:hint="eastAsia" w:eastAsia="宋体"/>
                <w:color w:val="auto"/>
                <w:spacing w:val="3"/>
                <w:lang w:eastAsia="zh-CN"/>
              </w:rPr>
              <w:drawing>
                <wp:inline distT="0" distB="0" distL="114300" distR="114300">
                  <wp:extent cx="4631055" cy="3755390"/>
                  <wp:effectExtent l="0" t="0" r="17145" b="16510"/>
                  <wp:docPr id="6" name="图片 6"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3"/>
                          <pic:cNvPicPr>
                            <a:picLocks noChangeAspect="1"/>
                          </pic:cNvPicPr>
                        </pic:nvPicPr>
                        <pic:blipFill>
                          <a:blip r:embed="rId20"/>
                          <a:stretch>
                            <a:fillRect/>
                          </a:stretch>
                        </pic:blipFill>
                        <pic:spPr>
                          <a:xfrm>
                            <a:off x="0" y="0"/>
                            <a:ext cx="4631055" cy="3755390"/>
                          </a:xfrm>
                          <a:prstGeom prst="rect">
                            <a:avLst/>
                          </a:prstGeom>
                        </pic:spPr>
                      </pic:pic>
                    </a:graphicData>
                  </a:graphic>
                </wp:inline>
              </w:drawing>
            </w:r>
          </w:p>
          <w:p w14:paraId="52B3BC9C">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图4-</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1"/>
                <w:szCs w:val="21"/>
                <w:lang w:val="en-US" w:eastAsia="zh-CN"/>
              </w:rPr>
              <w:t xml:space="preserve">  </w:t>
            </w:r>
            <w:r>
              <w:rPr>
                <w:rFonts w:hint="eastAsia" w:eastAsia="宋体" w:cs="Times New Roman"/>
                <w:b/>
                <w:bCs/>
                <w:color w:val="auto"/>
                <w:sz w:val="21"/>
                <w:szCs w:val="21"/>
                <w:lang w:val="en-US" w:eastAsia="zh-CN"/>
              </w:rPr>
              <w:t>地块二</w:t>
            </w:r>
            <w:r>
              <w:rPr>
                <w:rFonts w:hint="default" w:ascii="Times New Roman" w:hAnsi="Times New Roman" w:eastAsia="宋体" w:cs="Times New Roman"/>
                <w:b/>
                <w:bCs/>
                <w:color w:val="auto"/>
                <w:sz w:val="21"/>
                <w:szCs w:val="21"/>
                <w:lang w:val="en-US" w:eastAsia="zh-CN"/>
              </w:rPr>
              <w:t>噪声的贡献值图</w:t>
            </w:r>
          </w:p>
          <w:p w14:paraId="27AF8A49">
            <w:pPr>
              <w:pStyle w:val="59"/>
              <w:spacing w:before="35" w:line="346" w:lineRule="auto"/>
              <w:ind w:left="110" w:right="101" w:firstLine="478"/>
              <w:jc w:val="both"/>
              <w:rPr>
                <w:color w:val="auto"/>
              </w:rPr>
            </w:pPr>
            <w:r>
              <w:rPr>
                <w:color w:val="auto"/>
                <w:spacing w:val="3"/>
              </w:rPr>
              <w:t>根据预测结果，采取措施后，</w:t>
            </w:r>
            <w:r>
              <w:rPr>
                <w:rFonts w:hint="eastAsia"/>
                <w:color w:val="auto"/>
                <w:spacing w:val="3"/>
                <w:lang w:val="en-US" w:eastAsia="zh-CN"/>
              </w:rPr>
              <w:t>扩建</w:t>
            </w:r>
            <w:r>
              <w:rPr>
                <w:color w:val="auto"/>
                <w:spacing w:val="3"/>
              </w:rPr>
              <w:t>项目厂界噪声可以达到《工业企业厂界环</w:t>
            </w:r>
            <w:r>
              <w:rPr>
                <w:color w:val="auto"/>
                <w:spacing w:val="2"/>
              </w:rPr>
              <w:t>境噪</w:t>
            </w:r>
            <w:r>
              <w:rPr>
                <w:color w:val="auto"/>
                <w:spacing w:val="-3"/>
              </w:rPr>
              <w:t>声排放标准》（</w:t>
            </w:r>
            <w:r>
              <w:rPr>
                <w:rFonts w:ascii="Times New Roman" w:hAnsi="Times New Roman" w:eastAsia="Times New Roman" w:cs="Times New Roman"/>
                <w:color w:val="auto"/>
                <w:spacing w:val="-3"/>
              </w:rPr>
              <w:t>GB12348-20</w:t>
            </w:r>
            <w:r>
              <w:rPr>
                <w:rFonts w:hint="eastAsia" w:ascii="Times New Roman" w:hAnsi="Times New Roman" w:eastAsia="宋体" w:cs="Times New Roman"/>
                <w:color w:val="auto"/>
                <w:spacing w:val="-3"/>
                <w:lang w:val="en-US" w:eastAsia="zh-CN"/>
              </w:rPr>
              <w:t>08</w:t>
            </w:r>
            <w:r>
              <w:rPr>
                <w:color w:val="auto"/>
                <w:spacing w:val="-3"/>
              </w:rPr>
              <w:t>）</w:t>
            </w:r>
            <w:r>
              <w:rPr>
                <w:rFonts w:ascii="Times New Roman" w:hAnsi="Times New Roman" w:eastAsia="Times New Roman" w:cs="Times New Roman"/>
                <w:color w:val="auto"/>
                <w:spacing w:val="-3"/>
              </w:rPr>
              <w:t>2</w:t>
            </w:r>
            <w:r>
              <w:rPr>
                <w:color w:val="auto"/>
                <w:spacing w:val="-3"/>
              </w:rPr>
              <w:t>类标准的要求</w:t>
            </w:r>
            <w:r>
              <w:rPr>
                <w:rFonts w:hint="eastAsia"/>
                <w:color w:val="auto"/>
                <w:spacing w:val="-3"/>
                <w:lang w:eastAsia="zh-CN"/>
              </w:rPr>
              <w:t>，</w:t>
            </w:r>
            <w:r>
              <w:rPr>
                <w:color w:val="auto"/>
                <w:spacing w:val="-2"/>
              </w:rPr>
              <w:t>本项目对周边声环境不</w:t>
            </w:r>
            <w:r>
              <w:rPr>
                <w:color w:val="auto"/>
                <w:spacing w:val="-3"/>
              </w:rPr>
              <w:t>会产</w:t>
            </w:r>
            <w:r>
              <w:rPr>
                <w:color w:val="auto"/>
                <w:spacing w:val="-2"/>
              </w:rPr>
              <w:t>生明显不良影响。</w:t>
            </w:r>
          </w:p>
          <w:p w14:paraId="3F1B0090">
            <w:pPr>
              <w:spacing w:line="360" w:lineRule="auto"/>
              <w:ind w:firstLine="482" w:firstLineChars="200"/>
              <w:rPr>
                <w:b/>
                <w:bCs/>
                <w:color w:val="auto"/>
                <w:sz w:val="24"/>
                <w:szCs w:val="24"/>
              </w:rPr>
            </w:pPr>
            <w:r>
              <w:rPr>
                <w:rFonts w:hint="eastAsia"/>
                <w:b/>
                <w:bCs/>
                <w:color w:val="auto"/>
                <w:sz w:val="24"/>
                <w:szCs w:val="24"/>
                <w:lang w:val="en-US" w:eastAsia="zh-CN"/>
              </w:rPr>
              <w:t>4</w:t>
            </w:r>
            <w:r>
              <w:rPr>
                <w:b/>
                <w:bCs/>
                <w:color w:val="auto"/>
                <w:sz w:val="24"/>
                <w:szCs w:val="24"/>
              </w:rPr>
              <w:t>、噪声防治措施</w:t>
            </w:r>
          </w:p>
          <w:p w14:paraId="0198059E">
            <w:pPr>
              <w:spacing w:line="360" w:lineRule="auto"/>
              <w:ind w:firstLine="480" w:firstLineChars="200"/>
              <w:rPr>
                <w:color w:val="auto"/>
                <w:sz w:val="24"/>
                <w:szCs w:val="24"/>
              </w:rPr>
            </w:pPr>
            <w:r>
              <w:rPr>
                <w:color w:val="auto"/>
                <w:sz w:val="24"/>
                <w:szCs w:val="24"/>
              </w:rPr>
              <w:t>（1）控制运输车辆进出场的车速，防止因车子怠速、车速过快等产生高噪声。</w:t>
            </w:r>
          </w:p>
          <w:p w14:paraId="776F4C38">
            <w:pPr>
              <w:spacing w:line="360" w:lineRule="auto"/>
              <w:ind w:firstLine="480" w:firstLineChars="200"/>
              <w:rPr>
                <w:color w:val="auto"/>
                <w:sz w:val="24"/>
                <w:szCs w:val="24"/>
              </w:rPr>
            </w:pPr>
            <w:r>
              <w:rPr>
                <w:color w:val="auto"/>
                <w:sz w:val="24"/>
                <w:szCs w:val="24"/>
              </w:rPr>
              <w:t>（2）</w:t>
            </w:r>
            <w:r>
              <w:rPr>
                <w:rFonts w:hint="eastAsia"/>
                <w:color w:val="auto"/>
                <w:sz w:val="24"/>
                <w:szCs w:val="24"/>
              </w:rPr>
              <w:t>站内设“限速”、“禁鸣”标识，</w:t>
            </w:r>
            <w:r>
              <w:rPr>
                <w:color w:val="auto"/>
                <w:sz w:val="24"/>
                <w:szCs w:val="24"/>
              </w:rPr>
              <w:t>禁止运输车辆在场内鸣笛</w:t>
            </w:r>
            <w:r>
              <w:rPr>
                <w:rFonts w:hint="eastAsia"/>
                <w:color w:val="auto"/>
                <w:sz w:val="24"/>
                <w:szCs w:val="24"/>
                <w:lang w:eastAsia="zh-CN"/>
              </w:rPr>
              <w:t>，</w:t>
            </w:r>
            <w:r>
              <w:rPr>
                <w:rFonts w:hint="eastAsia"/>
                <w:color w:val="auto"/>
                <w:sz w:val="24"/>
                <w:szCs w:val="24"/>
                <w:lang w:val="en-US" w:eastAsia="zh-CN"/>
              </w:rPr>
              <w:t>合理安排运输车辆路线和运输时间</w:t>
            </w:r>
            <w:r>
              <w:rPr>
                <w:color w:val="auto"/>
                <w:sz w:val="24"/>
                <w:szCs w:val="24"/>
              </w:rPr>
              <w:t>；</w:t>
            </w:r>
          </w:p>
          <w:p w14:paraId="7CE1CAB6">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5、</w:t>
            </w:r>
            <w:r>
              <w:rPr>
                <w:rFonts w:hint="default" w:ascii="Times New Roman" w:hAnsi="Times New Roman" w:eastAsia="宋体" w:cs="Times New Roman"/>
                <w:b/>
                <w:bCs/>
                <w:color w:val="auto"/>
                <w:lang w:val="en-US" w:eastAsia="zh-CN"/>
              </w:rPr>
              <w:t>监测要求</w:t>
            </w:r>
          </w:p>
          <w:p w14:paraId="30461685">
            <w:pPr>
              <w:spacing w:line="360" w:lineRule="auto"/>
              <w:ind w:firstLine="480" w:firstLineChars="200"/>
              <w:rPr>
                <w:color w:val="auto"/>
                <w:sz w:val="24"/>
                <w:szCs w:val="24"/>
              </w:rPr>
            </w:pPr>
            <w:r>
              <w:rPr>
                <w:rFonts w:hint="eastAsia"/>
                <w:color w:val="auto"/>
                <w:sz w:val="24"/>
                <w:szCs w:val="24"/>
              </w:rPr>
              <w:t>项目环境监测目的是为了监督各项环保措施的落实，</w:t>
            </w:r>
            <w:r>
              <w:rPr>
                <w:color w:val="auto"/>
                <w:sz w:val="24"/>
                <w:szCs w:val="24"/>
              </w:rPr>
              <w:t>项目运营期噪声排污监测计划根据《排污单位自行监测技术指南总则》（HJ819-2017）进行设置，项目运营期环境监测计划见表4-</w:t>
            </w:r>
            <w:r>
              <w:rPr>
                <w:rFonts w:hint="eastAsia"/>
                <w:color w:val="auto"/>
                <w:sz w:val="24"/>
                <w:szCs w:val="24"/>
                <w:lang w:val="en-US" w:eastAsia="zh-CN"/>
              </w:rPr>
              <w:t>7</w:t>
            </w:r>
            <w:r>
              <w:rPr>
                <w:color w:val="auto"/>
                <w:sz w:val="24"/>
                <w:szCs w:val="24"/>
              </w:rPr>
              <w:t>所示。</w:t>
            </w:r>
          </w:p>
          <w:p w14:paraId="709A8D20">
            <w:pPr>
              <w:spacing w:line="360" w:lineRule="auto"/>
              <w:jc w:val="center"/>
              <w:rPr>
                <w:b/>
                <w:bCs/>
                <w:color w:val="auto"/>
              </w:rPr>
            </w:pPr>
            <w:r>
              <w:rPr>
                <w:b/>
                <w:bCs/>
                <w:color w:val="auto"/>
              </w:rPr>
              <w:t>表4-</w:t>
            </w:r>
            <w:r>
              <w:rPr>
                <w:rFonts w:hint="eastAsia"/>
                <w:b/>
                <w:bCs/>
                <w:color w:val="auto"/>
                <w:lang w:val="en-US" w:eastAsia="zh-CN"/>
              </w:rPr>
              <w:t>7</w:t>
            </w:r>
            <w:r>
              <w:rPr>
                <w:b/>
                <w:bCs/>
                <w:color w:val="auto"/>
              </w:rPr>
              <w:t>项目运营期环境监测计划一览表</w:t>
            </w:r>
          </w:p>
          <w:tbl>
            <w:tblPr>
              <w:tblStyle w:val="23"/>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673"/>
              <w:gridCol w:w="1400"/>
              <w:gridCol w:w="1100"/>
              <w:gridCol w:w="1922"/>
              <w:gridCol w:w="1978"/>
            </w:tblGrid>
            <w:tr w14:paraId="5C4A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noWrap/>
                  <w:vAlign w:val="center"/>
                </w:tcPr>
                <w:p w14:paraId="3F53A268">
                  <w:pPr>
                    <w:jc w:val="center"/>
                    <w:rPr>
                      <w:b/>
                      <w:bCs/>
                      <w:color w:val="auto"/>
                    </w:rPr>
                  </w:pPr>
                  <w:r>
                    <w:rPr>
                      <w:b/>
                      <w:bCs/>
                      <w:color w:val="auto"/>
                    </w:rPr>
                    <w:t>监测时段</w:t>
                  </w:r>
                </w:p>
              </w:tc>
              <w:tc>
                <w:tcPr>
                  <w:tcW w:w="673" w:type="dxa"/>
                  <w:noWrap/>
                  <w:vAlign w:val="center"/>
                </w:tcPr>
                <w:p w14:paraId="4737D223">
                  <w:pPr>
                    <w:jc w:val="center"/>
                    <w:rPr>
                      <w:b/>
                      <w:bCs/>
                      <w:color w:val="auto"/>
                    </w:rPr>
                  </w:pPr>
                  <w:r>
                    <w:rPr>
                      <w:b/>
                      <w:bCs/>
                      <w:color w:val="auto"/>
                    </w:rPr>
                    <w:t>因素</w:t>
                  </w:r>
                </w:p>
              </w:tc>
              <w:tc>
                <w:tcPr>
                  <w:tcW w:w="1400" w:type="dxa"/>
                  <w:noWrap/>
                  <w:vAlign w:val="center"/>
                </w:tcPr>
                <w:p w14:paraId="5E6DE64D">
                  <w:pPr>
                    <w:jc w:val="center"/>
                    <w:rPr>
                      <w:b/>
                      <w:bCs/>
                      <w:color w:val="auto"/>
                    </w:rPr>
                  </w:pPr>
                  <w:r>
                    <w:rPr>
                      <w:b/>
                      <w:bCs/>
                      <w:color w:val="auto"/>
                    </w:rPr>
                    <w:t>监测点位</w:t>
                  </w:r>
                </w:p>
              </w:tc>
              <w:tc>
                <w:tcPr>
                  <w:tcW w:w="1100" w:type="dxa"/>
                  <w:noWrap/>
                  <w:vAlign w:val="center"/>
                </w:tcPr>
                <w:p w14:paraId="3BE5AD97">
                  <w:pPr>
                    <w:jc w:val="center"/>
                    <w:rPr>
                      <w:b/>
                      <w:bCs/>
                      <w:color w:val="auto"/>
                    </w:rPr>
                  </w:pPr>
                  <w:r>
                    <w:rPr>
                      <w:b/>
                      <w:bCs/>
                      <w:color w:val="auto"/>
                    </w:rPr>
                    <w:t>监测项目</w:t>
                  </w:r>
                </w:p>
              </w:tc>
              <w:tc>
                <w:tcPr>
                  <w:tcW w:w="1922" w:type="dxa"/>
                  <w:noWrap/>
                  <w:vAlign w:val="center"/>
                </w:tcPr>
                <w:p w14:paraId="515A37E3">
                  <w:pPr>
                    <w:jc w:val="center"/>
                    <w:rPr>
                      <w:b/>
                      <w:bCs/>
                      <w:color w:val="auto"/>
                    </w:rPr>
                  </w:pPr>
                  <w:r>
                    <w:rPr>
                      <w:b/>
                      <w:bCs/>
                      <w:color w:val="auto"/>
                    </w:rPr>
                    <w:t>监测方法及频率</w:t>
                  </w:r>
                </w:p>
              </w:tc>
              <w:tc>
                <w:tcPr>
                  <w:tcW w:w="1978" w:type="dxa"/>
                  <w:noWrap/>
                  <w:vAlign w:val="center"/>
                </w:tcPr>
                <w:p w14:paraId="165D4832">
                  <w:pPr>
                    <w:jc w:val="center"/>
                    <w:rPr>
                      <w:b/>
                      <w:bCs/>
                      <w:color w:val="auto"/>
                    </w:rPr>
                  </w:pPr>
                  <w:r>
                    <w:rPr>
                      <w:b/>
                      <w:bCs/>
                      <w:color w:val="auto"/>
                    </w:rPr>
                    <w:t>执行排放标准</w:t>
                  </w:r>
                </w:p>
              </w:tc>
            </w:tr>
            <w:tr w14:paraId="60CC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863" w:type="dxa"/>
                  <w:noWrap/>
                  <w:vAlign w:val="center"/>
                </w:tcPr>
                <w:p w14:paraId="02892BEB">
                  <w:pPr>
                    <w:jc w:val="center"/>
                    <w:rPr>
                      <w:color w:val="auto"/>
                    </w:rPr>
                  </w:pPr>
                  <w:r>
                    <w:rPr>
                      <w:color w:val="auto"/>
                    </w:rPr>
                    <w:t>运营期</w:t>
                  </w:r>
                </w:p>
              </w:tc>
              <w:tc>
                <w:tcPr>
                  <w:tcW w:w="673" w:type="dxa"/>
                  <w:noWrap/>
                  <w:vAlign w:val="center"/>
                </w:tcPr>
                <w:p w14:paraId="0AFC2C2F">
                  <w:pPr>
                    <w:jc w:val="center"/>
                    <w:rPr>
                      <w:color w:val="auto"/>
                    </w:rPr>
                  </w:pPr>
                  <w:r>
                    <w:rPr>
                      <w:color w:val="auto"/>
                    </w:rPr>
                    <w:t>噪声</w:t>
                  </w:r>
                </w:p>
              </w:tc>
              <w:tc>
                <w:tcPr>
                  <w:tcW w:w="1400" w:type="dxa"/>
                  <w:noWrap/>
                  <w:vAlign w:val="center"/>
                </w:tcPr>
                <w:p w14:paraId="05B5B105">
                  <w:pPr>
                    <w:jc w:val="center"/>
                    <w:rPr>
                      <w:color w:val="auto"/>
                    </w:rPr>
                  </w:pPr>
                  <w:r>
                    <w:rPr>
                      <w:rFonts w:hint="eastAsia"/>
                      <w:color w:val="auto"/>
                      <w:lang w:val="en-US" w:eastAsia="zh-CN"/>
                    </w:rPr>
                    <w:t>地块一及地块二</w:t>
                  </w:r>
                  <w:r>
                    <w:rPr>
                      <w:color w:val="auto"/>
                    </w:rPr>
                    <w:t>东、南、西、北四个厂界外1m处</w:t>
                  </w:r>
                </w:p>
              </w:tc>
              <w:tc>
                <w:tcPr>
                  <w:tcW w:w="1100" w:type="dxa"/>
                  <w:noWrap/>
                  <w:vAlign w:val="center"/>
                </w:tcPr>
                <w:p w14:paraId="698857FA">
                  <w:pPr>
                    <w:jc w:val="center"/>
                    <w:rPr>
                      <w:color w:val="auto"/>
                    </w:rPr>
                  </w:pPr>
                  <w:r>
                    <w:rPr>
                      <w:color w:val="auto"/>
                    </w:rPr>
                    <w:t>等效连续A声级</w:t>
                  </w:r>
                </w:p>
              </w:tc>
              <w:tc>
                <w:tcPr>
                  <w:tcW w:w="1922" w:type="dxa"/>
                  <w:noWrap/>
                  <w:vAlign w:val="center"/>
                </w:tcPr>
                <w:p w14:paraId="4893BAAB">
                  <w:pPr>
                    <w:jc w:val="center"/>
                    <w:rPr>
                      <w:color w:val="auto"/>
                    </w:rPr>
                  </w:pPr>
                  <w:r>
                    <w:rPr>
                      <w:color w:val="auto"/>
                    </w:rPr>
                    <w:t>1次/季度，按照国家相关噪声监测技术方法进行监测</w:t>
                  </w:r>
                </w:p>
              </w:tc>
              <w:tc>
                <w:tcPr>
                  <w:tcW w:w="1978" w:type="dxa"/>
                  <w:noWrap/>
                  <w:vAlign w:val="center"/>
                </w:tcPr>
                <w:p w14:paraId="41D56D90">
                  <w:pPr>
                    <w:jc w:val="center"/>
                    <w:rPr>
                      <w:color w:val="auto"/>
                    </w:rPr>
                  </w:pPr>
                  <w:r>
                    <w:rPr>
                      <w:color w:val="auto"/>
                    </w:rPr>
                    <w:t>《工业企业厂界环境噪声排放标准》（GB12348-20</w:t>
                  </w:r>
                  <w:r>
                    <w:rPr>
                      <w:rFonts w:hint="eastAsia"/>
                      <w:color w:val="auto"/>
                      <w:lang w:val="en-US" w:eastAsia="zh-CN"/>
                    </w:rPr>
                    <w:t>08</w:t>
                  </w:r>
                  <w:r>
                    <w:rPr>
                      <w:color w:val="auto"/>
                    </w:rPr>
                    <w:t>）中2类标准</w:t>
                  </w:r>
                </w:p>
              </w:tc>
            </w:tr>
          </w:tbl>
          <w:p w14:paraId="042F3F02">
            <w:pPr>
              <w:spacing w:line="360" w:lineRule="auto"/>
              <w:ind w:firstLine="422" w:firstLineChars="200"/>
              <w:rPr>
                <w:b/>
                <w:bCs/>
                <w:color w:val="auto"/>
              </w:rPr>
            </w:pPr>
            <w:r>
              <w:rPr>
                <w:b/>
                <w:bCs/>
                <w:color w:val="auto"/>
              </w:rPr>
              <w:t>四、固废环境影响及防治措施</w:t>
            </w:r>
          </w:p>
          <w:p w14:paraId="532F58A5">
            <w:pPr>
              <w:spacing w:line="360" w:lineRule="auto"/>
              <w:ind w:firstLine="482" w:firstLineChars="200"/>
              <w:rPr>
                <w:b/>
                <w:bCs/>
                <w:color w:val="auto"/>
                <w:sz w:val="24"/>
                <w:szCs w:val="24"/>
              </w:rPr>
            </w:pPr>
            <w:r>
              <w:rPr>
                <w:b/>
                <w:bCs/>
                <w:color w:val="auto"/>
                <w:sz w:val="24"/>
                <w:szCs w:val="24"/>
              </w:rPr>
              <w:t>1、固废产生情况</w:t>
            </w:r>
          </w:p>
          <w:p w14:paraId="47FEDB68">
            <w:pPr>
              <w:spacing w:line="360" w:lineRule="auto"/>
              <w:ind w:firstLine="480" w:firstLineChars="200"/>
              <w:rPr>
                <w:color w:val="auto"/>
                <w:sz w:val="24"/>
                <w:szCs w:val="24"/>
              </w:rPr>
            </w:pPr>
            <w:r>
              <w:rPr>
                <w:color w:val="auto"/>
                <w:sz w:val="24"/>
                <w:szCs w:val="24"/>
              </w:rPr>
              <w:t>本建设项目产生的固体废弃物主要来源于工作人员的生活垃圾、过期或残损的烟花爆竹。</w:t>
            </w:r>
          </w:p>
          <w:p w14:paraId="3E55EAA6">
            <w:pPr>
              <w:spacing w:line="360" w:lineRule="auto"/>
              <w:ind w:firstLine="480" w:firstLineChars="200"/>
              <w:rPr>
                <w:color w:val="auto"/>
                <w:sz w:val="24"/>
                <w:szCs w:val="24"/>
              </w:rPr>
            </w:pPr>
            <w:r>
              <w:rPr>
                <w:color w:val="auto"/>
                <w:sz w:val="24"/>
                <w:szCs w:val="24"/>
              </w:rPr>
              <w:t>（1）生活垃圾</w:t>
            </w:r>
          </w:p>
          <w:p w14:paraId="32030D3C">
            <w:pPr>
              <w:spacing w:line="360" w:lineRule="auto"/>
              <w:ind w:firstLine="480" w:firstLineChars="200"/>
              <w:rPr>
                <w:rFonts w:hint="default" w:eastAsia="宋体"/>
                <w:color w:val="auto"/>
                <w:sz w:val="24"/>
                <w:szCs w:val="24"/>
                <w:lang w:val="en-US" w:eastAsia="zh-CN"/>
              </w:rPr>
            </w:pPr>
            <w:r>
              <w:rPr>
                <w:color w:val="auto"/>
                <w:sz w:val="24"/>
                <w:szCs w:val="24"/>
              </w:rPr>
              <w:t>项目劳动定员为10人，生活垃圾按0.5kg/人·d计，</w:t>
            </w:r>
            <w:r>
              <w:rPr>
                <w:rFonts w:hint="eastAsia"/>
                <w:color w:val="auto"/>
                <w:sz w:val="24"/>
                <w:szCs w:val="24"/>
                <w:lang w:val="en-US" w:eastAsia="zh-CN"/>
              </w:rPr>
              <w:t>年工作天数250天，</w:t>
            </w:r>
            <w:r>
              <w:rPr>
                <w:color w:val="auto"/>
                <w:sz w:val="24"/>
                <w:szCs w:val="24"/>
              </w:rPr>
              <w:t>则项目工作人员生活垃圾产生量为5kg/d，1.</w:t>
            </w:r>
            <w:r>
              <w:rPr>
                <w:rFonts w:hint="eastAsia"/>
                <w:color w:val="auto"/>
                <w:sz w:val="24"/>
                <w:szCs w:val="24"/>
                <w:lang w:val="en-US" w:eastAsia="zh-CN"/>
              </w:rPr>
              <w:t>25</w:t>
            </w:r>
            <w:r>
              <w:rPr>
                <w:color w:val="auto"/>
                <w:sz w:val="24"/>
                <w:szCs w:val="24"/>
              </w:rPr>
              <w:t>t/a。</w:t>
            </w:r>
            <w:r>
              <w:rPr>
                <w:rFonts w:hint="eastAsia"/>
                <w:color w:val="auto"/>
                <w:sz w:val="24"/>
                <w:szCs w:val="24"/>
                <w:lang w:val="en-US" w:eastAsia="zh-CN"/>
              </w:rPr>
              <w:t>展厅参观人员为20人/d，</w:t>
            </w:r>
            <w:r>
              <w:rPr>
                <w:color w:val="auto"/>
                <w:sz w:val="24"/>
                <w:szCs w:val="24"/>
              </w:rPr>
              <w:t>生活垃圾按0.</w:t>
            </w:r>
            <w:r>
              <w:rPr>
                <w:rFonts w:hint="eastAsia"/>
                <w:color w:val="auto"/>
                <w:sz w:val="24"/>
                <w:szCs w:val="24"/>
                <w:lang w:val="en-US" w:eastAsia="zh-CN"/>
              </w:rPr>
              <w:t>2</w:t>
            </w:r>
            <w:r>
              <w:rPr>
                <w:color w:val="auto"/>
                <w:sz w:val="24"/>
                <w:szCs w:val="24"/>
              </w:rPr>
              <w:t>5kg/人·d计</w:t>
            </w:r>
            <w:r>
              <w:rPr>
                <w:rFonts w:hint="eastAsia"/>
                <w:color w:val="auto"/>
                <w:sz w:val="24"/>
                <w:szCs w:val="24"/>
                <w:lang w:eastAsia="zh-CN"/>
              </w:rPr>
              <w:t>，</w:t>
            </w:r>
            <w:r>
              <w:rPr>
                <w:rFonts w:hint="eastAsia"/>
                <w:color w:val="auto"/>
                <w:sz w:val="24"/>
                <w:szCs w:val="24"/>
                <w:lang w:val="en-US" w:eastAsia="zh-CN"/>
              </w:rPr>
              <w:t>则展厅参观人员生活垃圾产生量为5kg/d，</w:t>
            </w:r>
            <w:r>
              <w:rPr>
                <w:color w:val="auto"/>
                <w:sz w:val="24"/>
                <w:szCs w:val="24"/>
              </w:rPr>
              <w:t>1.</w:t>
            </w:r>
            <w:r>
              <w:rPr>
                <w:rFonts w:hint="eastAsia"/>
                <w:color w:val="auto"/>
                <w:sz w:val="24"/>
                <w:szCs w:val="24"/>
                <w:lang w:val="en-US" w:eastAsia="zh-CN"/>
              </w:rPr>
              <w:t>25</w:t>
            </w:r>
            <w:r>
              <w:rPr>
                <w:color w:val="auto"/>
                <w:sz w:val="24"/>
                <w:szCs w:val="24"/>
              </w:rPr>
              <w:t>t/a。生活垃圾经统一收集后定期运至寻甸县垃圾转载点处置。</w:t>
            </w:r>
          </w:p>
          <w:p w14:paraId="374350C3">
            <w:pPr>
              <w:spacing w:line="360" w:lineRule="auto"/>
              <w:ind w:firstLine="480" w:firstLineChars="200"/>
              <w:rPr>
                <w:color w:val="auto"/>
                <w:sz w:val="24"/>
                <w:szCs w:val="24"/>
              </w:rPr>
            </w:pPr>
            <w:r>
              <w:rPr>
                <w:color w:val="auto"/>
                <w:sz w:val="24"/>
                <w:szCs w:val="24"/>
              </w:rPr>
              <w:t>（2）过期或残损的烟花爆竹</w:t>
            </w:r>
          </w:p>
          <w:p w14:paraId="6970A726">
            <w:pPr>
              <w:spacing w:line="360" w:lineRule="auto"/>
              <w:ind w:firstLine="480" w:firstLineChars="200"/>
              <w:rPr>
                <w:color w:val="auto"/>
                <w:sz w:val="24"/>
                <w:szCs w:val="24"/>
              </w:rPr>
            </w:pPr>
            <w:r>
              <w:rPr>
                <w:color w:val="auto"/>
                <w:sz w:val="24"/>
                <w:szCs w:val="24"/>
              </w:rPr>
              <w:t>出售给零售网点剩余的烟花爆竹需强制性统一收回保管，检验后储存在烟花爆竹仓库中。根据国务院令第455号《烟花爆竹安全管理条例》第六章第四十三条“对没收的非法烟花爆竹以及生产、经营企业弃置的废旧烟花爆竹，应当就地封存，并由公安部门组织销毁、处置”。根据调查了解，本项目过期或有残损的烟火爆竹产生比例约为1%，</w:t>
            </w:r>
            <w:r>
              <w:rPr>
                <w:rFonts w:hint="eastAsia"/>
                <w:color w:val="auto"/>
                <w:sz w:val="24"/>
                <w:szCs w:val="24"/>
                <w:lang w:val="en-US" w:eastAsia="zh-CN"/>
              </w:rPr>
              <w:t>扩建</w:t>
            </w:r>
            <w:r>
              <w:rPr>
                <w:color w:val="auto"/>
                <w:sz w:val="24"/>
                <w:szCs w:val="24"/>
              </w:rPr>
              <w:t>项目堆存的烟花爆竹量为</w:t>
            </w:r>
            <w:r>
              <w:rPr>
                <w:rFonts w:hint="eastAsia"/>
                <w:color w:val="auto"/>
                <w:sz w:val="24"/>
                <w:szCs w:val="24"/>
                <w:lang w:val="en-US" w:eastAsia="zh-CN"/>
              </w:rPr>
              <w:t>5</w:t>
            </w:r>
            <w:r>
              <w:rPr>
                <w:color w:val="auto"/>
                <w:sz w:val="24"/>
                <w:szCs w:val="24"/>
              </w:rPr>
              <w:t>0吨</w:t>
            </w:r>
            <w:r>
              <w:rPr>
                <w:rFonts w:hint="eastAsia"/>
                <w:color w:val="auto"/>
                <w:sz w:val="24"/>
                <w:szCs w:val="24"/>
                <w:lang w:eastAsia="zh-CN"/>
              </w:rPr>
              <w:t>（</w:t>
            </w:r>
            <w:r>
              <w:rPr>
                <w:rFonts w:hint="eastAsia"/>
                <w:color w:val="auto"/>
                <w:sz w:val="24"/>
                <w:szCs w:val="24"/>
                <w:lang w:val="en-US" w:eastAsia="zh-CN"/>
              </w:rPr>
              <w:t>地块一40吨，地块二10吨</w:t>
            </w:r>
            <w:r>
              <w:rPr>
                <w:rFonts w:hint="eastAsia"/>
                <w:color w:val="auto"/>
                <w:sz w:val="24"/>
                <w:szCs w:val="24"/>
                <w:lang w:eastAsia="zh-CN"/>
              </w:rPr>
              <w:t>）</w:t>
            </w:r>
            <w:r>
              <w:rPr>
                <w:color w:val="auto"/>
                <w:sz w:val="24"/>
                <w:szCs w:val="24"/>
              </w:rPr>
              <w:t>，因此项目产生的过期或有残损的烟花爆竹约为0.</w:t>
            </w:r>
            <w:r>
              <w:rPr>
                <w:rFonts w:hint="eastAsia"/>
                <w:color w:val="auto"/>
                <w:sz w:val="24"/>
                <w:szCs w:val="24"/>
                <w:lang w:val="en-US" w:eastAsia="zh-CN"/>
              </w:rPr>
              <w:t>5</w:t>
            </w:r>
            <w:r>
              <w:rPr>
                <w:color w:val="auto"/>
                <w:sz w:val="24"/>
                <w:szCs w:val="24"/>
              </w:rPr>
              <w:t>t/a</w:t>
            </w:r>
            <w:r>
              <w:rPr>
                <w:rFonts w:hint="eastAsia"/>
                <w:color w:val="auto"/>
                <w:sz w:val="24"/>
                <w:szCs w:val="24"/>
                <w:lang w:eastAsia="zh-CN"/>
              </w:rPr>
              <w:t>（</w:t>
            </w:r>
            <w:r>
              <w:rPr>
                <w:rFonts w:hint="eastAsia"/>
                <w:color w:val="auto"/>
                <w:sz w:val="24"/>
                <w:szCs w:val="24"/>
                <w:lang w:val="en-US" w:eastAsia="zh-CN"/>
              </w:rPr>
              <w:t>地块一0.4t/a，地块二0.1t/a</w:t>
            </w:r>
            <w:r>
              <w:rPr>
                <w:rFonts w:hint="eastAsia"/>
                <w:color w:val="auto"/>
                <w:sz w:val="24"/>
                <w:szCs w:val="24"/>
                <w:lang w:eastAsia="zh-CN"/>
              </w:rPr>
              <w:t>）</w:t>
            </w:r>
            <w:r>
              <w:rPr>
                <w:color w:val="auto"/>
                <w:sz w:val="24"/>
                <w:szCs w:val="24"/>
              </w:rPr>
              <w:t>，</w:t>
            </w:r>
            <w:r>
              <w:rPr>
                <w:rFonts w:hint="eastAsia"/>
                <w:color w:val="auto"/>
                <w:sz w:val="24"/>
                <w:szCs w:val="24"/>
              </w:rPr>
              <w:t>根据《国家危险废物名录》（202</w:t>
            </w:r>
            <w:r>
              <w:rPr>
                <w:rFonts w:hint="eastAsia"/>
                <w:color w:val="auto"/>
                <w:sz w:val="24"/>
                <w:szCs w:val="24"/>
                <w:lang w:val="en-US" w:eastAsia="zh-CN"/>
              </w:rPr>
              <w:t>5</w:t>
            </w:r>
            <w:r>
              <w:rPr>
                <w:rFonts w:hint="eastAsia"/>
                <w:color w:val="auto"/>
                <w:sz w:val="24"/>
                <w:szCs w:val="24"/>
              </w:rPr>
              <w:t>年版），该类废物属于危险废物，危废代码：HW49、900-999-49</w:t>
            </w:r>
            <w:r>
              <w:rPr>
                <w:color w:val="auto"/>
                <w:sz w:val="24"/>
                <w:szCs w:val="24"/>
              </w:rPr>
              <w:t>库区出现过期或有残损的烟花爆竹</w:t>
            </w:r>
            <w:r>
              <w:rPr>
                <w:rFonts w:hint="eastAsia"/>
                <w:color w:val="auto"/>
                <w:sz w:val="24"/>
                <w:szCs w:val="24"/>
              </w:rPr>
              <w:t>收集于危废暂存间后交</w:t>
            </w:r>
            <w:r>
              <w:rPr>
                <w:color w:val="auto"/>
                <w:sz w:val="24"/>
                <w:szCs w:val="24"/>
              </w:rPr>
              <w:t>由公安部门组织销毁、处置。</w:t>
            </w:r>
          </w:p>
          <w:p w14:paraId="3DE743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rPr>
            </w:pPr>
            <w:r>
              <w:rPr>
                <w:b/>
                <w:bCs/>
                <w:color w:val="auto"/>
                <w:sz w:val="24"/>
                <w:szCs w:val="24"/>
              </w:rPr>
              <w:t>2、固废防治措施</w:t>
            </w:r>
          </w:p>
          <w:p w14:paraId="3C572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（1）</w:t>
            </w:r>
            <w:r>
              <w:rPr>
                <w:rFonts w:hint="eastAsia"/>
                <w:color w:val="auto"/>
                <w:sz w:val="24"/>
                <w:szCs w:val="24"/>
                <w:lang w:val="en-US" w:eastAsia="zh-CN"/>
              </w:rPr>
              <w:t>扩建</w:t>
            </w:r>
            <w:r>
              <w:rPr>
                <w:color w:val="auto"/>
                <w:sz w:val="24"/>
                <w:szCs w:val="24"/>
              </w:rPr>
              <w:t>项目员工</w:t>
            </w:r>
            <w:r>
              <w:rPr>
                <w:rFonts w:hint="eastAsia"/>
                <w:color w:val="auto"/>
                <w:sz w:val="24"/>
                <w:szCs w:val="24"/>
                <w:lang w:val="en-US" w:eastAsia="zh-CN"/>
              </w:rPr>
              <w:t>及展厅参观人员</w:t>
            </w:r>
            <w:r>
              <w:rPr>
                <w:color w:val="auto"/>
                <w:sz w:val="24"/>
                <w:szCs w:val="24"/>
              </w:rPr>
              <w:t>生活垃圾通过库区内设置的垃圾箱收集后定期运至寻甸县垃圾转载点处置。</w:t>
            </w:r>
          </w:p>
          <w:p w14:paraId="7881C1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（2）过期或残损的烟花爆竹</w:t>
            </w:r>
            <w:r>
              <w:rPr>
                <w:rFonts w:hint="eastAsia"/>
                <w:color w:val="auto"/>
                <w:sz w:val="24"/>
                <w:szCs w:val="24"/>
              </w:rPr>
              <w:t>收集暂存于危废暂存间后</w:t>
            </w:r>
            <w:r>
              <w:rPr>
                <w:color w:val="auto"/>
                <w:sz w:val="24"/>
                <w:szCs w:val="24"/>
              </w:rPr>
              <w:t>交由公安部门组织统一销毁、处置</w:t>
            </w:r>
            <w:r>
              <w:rPr>
                <w:rFonts w:hint="eastAsia"/>
                <w:color w:val="auto"/>
                <w:sz w:val="24"/>
                <w:szCs w:val="24"/>
              </w:rPr>
              <w:t>。</w:t>
            </w:r>
          </w:p>
          <w:p w14:paraId="3B7F7DAE">
            <w:pPr>
              <w:spacing w:line="360" w:lineRule="auto"/>
              <w:ind w:firstLine="482" w:firstLineChars="200"/>
              <w:rPr>
                <w:b/>
                <w:bCs/>
                <w:color w:val="auto"/>
                <w:sz w:val="24"/>
                <w:szCs w:val="24"/>
              </w:rPr>
            </w:pPr>
            <w:r>
              <w:rPr>
                <w:b/>
                <w:bCs/>
                <w:color w:val="auto"/>
                <w:sz w:val="24"/>
                <w:szCs w:val="24"/>
              </w:rPr>
              <w:t>3、固废环境影响分析</w:t>
            </w:r>
          </w:p>
          <w:p w14:paraId="6A23D3B0">
            <w:pPr>
              <w:pStyle w:val="4"/>
              <w:spacing w:before="0" w:after="0" w:line="360" w:lineRule="auto"/>
              <w:ind w:left="0" w:firstLine="480" w:firstLineChars="200"/>
              <w:rPr>
                <w:rFonts w:eastAsia="宋体"/>
                <w:b w:val="0"/>
                <w:bCs w:val="0"/>
                <w:color w:val="auto"/>
                <w:kern w:val="2"/>
                <w:sz w:val="24"/>
                <w:szCs w:val="24"/>
              </w:rPr>
            </w:pPr>
            <w:r>
              <w:rPr>
                <w:rFonts w:hint="eastAsia" w:eastAsia="宋体"/>
                <w:b w:val="0"/>
                <w:bCs w:val="0"/>
                <w:color w:val="auto"/>
                <w:kern w:val="2"/>
                <w:sz w:val="24"/>
                <w:szCs w:val="24"/>
                <w:lang w:val="en-US" w:eastAsia="zh-CN"/>
              </w:rPr>
              <w:t>扩建</w:t>
            </w:r>
            <w:r>
              <w:rPr>
                <w:rFonts w:hint="eastAsia" w:eastAsia="宋体"/>
                <w:b w:val="0"/>
                <w:bCs w:val="0"/>
                <w:color w:val="auto"/>
                <w:kern w:val="2"/>
                <w:sz w:val="24"/>
                <w:szCs w:val="24"/>
              </w:rPr>
              <w:t>项目生活垃圾主要是员工</w:t>
            </w:r>
            <w:r>
              <w:rPr>
                <w:rFonts w:hint="eastAsia" w:eastAsia="宋体"/>
                <w:b w:val="0"/>
                <w:bCs w:val="0"/>
                <w:color w:val="auto"/>
                <w:kern w:val="2"/>
                <w:sz w:val="24"/>
                <w:szCs w:val="24"/>
                <w:lang w:val="en-US" w:eastAsia="zh-CN"/>
              </w:rPr>
              <w:t>及参观人员</w:t>
            </w:r>
            <w:r>
              <w:rPr>
                <w:rFonts w:hint="eastAsia" w:eastAsia="宋体"/>
                <w:b w:val="0"/>
                <w:bCs w:val="0"/>
                <w:color w:val="auto"/>
                <w:kern w:val="2"/>
                <w:sz w:val="24"/>
                <w:szCs w:val="24"/>
              </w:rPr>
              <w:t>办公生活中产生，属于一般固废，项目生活垃圾通过库区内设置的垃圾箱收集后定期运至寻甸县垃圾转载点处置。</w:t>
            </w:r>
          </w:p>
          <w:p w14:paraId="6EA1F1A8">
            <w:pPr>
              <w:pStyle w:val="4"/>
              <w:spacing w:before="0" w:after="0" w:line="360" w:lineRule="auto"/>
              <w:ind w:left="0" w:firstLine="480" w:firstLineChars="200"/>
              <w:rPr>
                <w:rFonts w:hint="default" w:ascii="Times New Roman" w:hAnsi="Times New Roman" w:eastAsia="宋体" w:cs="Times New Roman"/>
                <w:b w:val="0"/>
                <w:bCs w:val="0"/>
                <w:color w:val="auto"/>
                <w:kern w:val="2"/>
                <w:sz w:val="24"/>
                <w:szCs w:val="24"/>
              </w:rPr>
            </w:pPr>
            <w:r>
              <w:rPr>
                <w:rFonts w:hint="default" w:ascii="Times New Roman" w:hAnsi="Times New Roman" w:eastAsia="宋体" w:cs="Times New Roman"/>
                <w:b w:val="0"/>
                <w:bCs w:val="0"/>
                <w:color w:val="auto"/>
                <w:kern w:val="2"/>
                <w:sz w:val="24"/>
                <w:szCs w:val="24"/>
                <w:lang w:val="en-US" w:eastAsia="zh-CN"/>
              </w:rPr>
              <w:t>扩建</w:t>
            </w:r>
            <w:r>
              <w:rPr>
                <w:rFonts w:hint="default" w:ascii="Times New Roman" w:hAnsi="Times New Roman" w:eastAsia="宋体" w:cs="Times New Roman"/>
                <w:b w:val="0"/>
                <w:bCs w:val="0"/>
                <w:color w:val="auto"/>
                <w:kern w:val="2"/>
                <w:sz w:val="24"/>
                <w:szCs w:val="24"/>
              </w:rPr>
              <w:t>项目产生的过期或有残损的烟花爆竹约为0.</w:t>
            </w:r>
            <w:r>
              <w:rPr>
                <w:rFonts w:hint="default" w:ascii="Times New Roman" w:hAnsi="Times New Roman" w:eastAsia="宋体" w:cs="Times New Roman"/>
                <w:b w:val="0"/>
                <w:bCs w:val="0"/>
                <w:color w:val="auto"/>
                <w:kern w:val="2"/>
                <w:sz w:val="24"/>
                <w:szCs w:val="24"/>
                <w:lang w:val="en-US" w:eastAsia="zh-CN"/>
              </w:rPr>
              <w:t>5</w:t>
            </w:r>
            <w:r>
              <w:rPr>
                <w:rFonts w:hint="default" w:ascii="Times New Roman" w:hAnsi="Times New Roman" w:eastAsia="宋体" w:cs="Times New Roman"/>
                <w:b w:val="0"/>
                <w:bCs w:val="0"/>
                <w:color w:val="auto"/>
                <w:kern w:val="2"/>
                <w:sz w:val="24"/>
                <w:szCs w:val="24"/>
              </w:rPr>
              <w:t>t/a</w:t>
            </w:r>
            <w:r>
              <w:rPr>
                <w:rFonts w:hint="default" w:ascii="Times New Roman" w:hAnsi="Times New Roman" w:eastAsia="宋体" w:cs="Times New Roman"/>
                <w:b w:val="0"/>
                <w:bCs w:val="0"/>
                <w:color w:val="auto"/>
                <w:kern w:val="2"/>
                <w:sz w:val="24"/>
                <w:szCs w:val="24"/>
                <w:lang w:eastAsia="zh-CN"/>
              </w:rPr>
              <w:t>（</w:t>
            </w:r>
            <w:r>
              <w:rPr>
                <w:rFonts w:hint="default" w:ascii="Times New Roman" w:hAnsi="Times New Roman" w:eastAsia="宋体" w:cs="Times New Roman"/>
                <w:b w:val="0"/>
                <w:bCs w:val="0"/>
                <w:color w:val="auto"/>
                <w:sz w:val="24"/>
                <w:szCs w:val="24"/>
                <w:lang w:val="en-US" w:eastAsia="zh-CN"/>
              </w:rPr>
              <w:t>地块一0.4t/a，地块二0.1t/a</w:t>
            </w:r>
            <w:r>
              <w:rPr>
                <w:rFonts w:hint="default" w:ascii="Times New Roman" w:hAnsi="Times New Roman" w:eastAsia="宋体" w:cs="Times New Roman"/>
                <w:b w:val="0"/>
                <w:bCs w:val="0"/>
                <w:color w:val="auto"/>
                <w:kern w:val="2"/>
                <w:sz w:val="24"/>
                <w:szCs w:val="24"/>
                <w:lang w:eastAsia="zh-CN"/>
              </w:rPr>
              <w:t>）</w:t>
            </w:r>
            <w:r>
              <w:rPr>
                <w:rFonts w:hint="default" w:ascii="Times New Roman" w:hAnsi="Times New Roman" w:eastAsia="宋体" w:cs="Times New Roman"/>
                <w:b w:val="0"/>
                <w:bCs w:val="0"/>
                <w:color w:val="auto"/>
                <w:kern w:val="2"/>
                <w:sz w:val="24"/>
                <w:szCs w:val="24"/>
              </w:rPr>
              <w:t>，</w:t>
            </w:r>
            <w:r>
              <w:rPr>
                <w:rFonts w:hint="default" w:ascii="Times New Roman" w:hAnsi="Times New Roman" w:eastAsia="宋体" w:cs="Times New Roman"/>
                <w:b w:val="0"/>
                <w:bCs w:val="0"/>
                <w:color w:val="auto"/>
                <w:kern w:val="2"/>
                <w:sz w:val="24"/>
                <w:szCs w:val="24"/>
                <w:lang w:val="en-US" w:eastAsia="zh-CN"/>
              </w:rPr>
              <w:t>地块一烟花爆竹为</w:t>
            </w:r>
            <w:r>
              <w:rPr>
                <w:rFonts w:hint="default" w:ascii="Times New Roman" w:hAnsi="Times New Roman" w:eastAsia="宋体" w:cs="Times New Roman"/>
                <w:b w:val="0"/>
                <w:bCs w:val="0"/>
                <w:color w:val="auto"/>
                <w:sz w:val="24"/>
                <w:szCs w:val="24"/>
                <w:highlight w:val="none"/>
              </w:rPr>
              <w:t>C、D级，危险等级为1.3级</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i w:val="0"/>
                <w:iCs w:val="0"/>
                <w:color w:val="auto"/>
                <w:sz w:val="24"/>
                <w:szCs w:val="24"/>
                <w:highlight w:val="none"/>
                <w:lang w:val="en-US" w:eastAsia="zh-CN"/>
              </w:rPr>
              <w:t>地块二</w:t>
            </w:r>
            <w:r>
              <w:rPr>
                <w:rFonts w:hint="default" w:ascii="Times New Roman" w:hAnsi="Times New Roman" w:eastAsia="宋体" w:cs="Times New Roman"/>
                <w:b w:val="0"/>
                <w:bCs w:val="0"/>
                <w:color w:val="auto"/>
                <w:kern w:val="2"/>
                <w:sz w:val="24"/>
                <w:szCs w:val="24"/>
                <w:lang w:val="en-US" w:eastAsia="zh-CN"/>
              </w:rPr>
              <w:t>烟花爆竹为</w:t>
            </w:r>
            <w:r>
              <w:rPr>
                <w:rFonts w:hint="default" w:ascii="Times New Roman" w:hAnsi="Times New Roman" w:eastAsia="宋体" w:cs="Times New Roman"/>
                <w:b w:val="0"/>
                <w:bCs w:val="0"/>
                <w:color w:val="auto"/>
                <w:sz w:val="24"/>
                <w:szCs w:val="24"/>
                <w:highlight w:val="none"/>
                <w:lang w:val="en-US" w:eastAsia="zh-CN"/>
              </w:rPr>
              <w:t>A</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B</w:t>
            </w:r>
            <w:r>
              <w:rPr>
                <w:rFonts w:hint="default" w:ascii="Times New Roman" w:hAnsi="Times New Roman" w:eastAsia="宋体" w:cs="Times New Roman"/>
                <w:b w:val="0"/>
                <w:bCs w:val="0"/>
                <w:color w:val="auto"/>
                <w:sz w:val="24"/>
                <w:szCs w:val="24"/>
                <w:highlight w:val="none"/>
              </w:rPr>
              <w:t>级</w:t>
            </w:r>
            <w:r>
              <w:rPr>
                <w:rFonts w:hint="default" w:ascii="Times New Roman" w:hAnsi="Times New Roman" w:eastAsia="宋体" w:cs="Times New Roman"/>
                <w:b w:val="0"/>
                <w:bCs w:val="0"/>
                <w:i w:val="0"/>
                <w:iCs w:val="0"/>
                <w:color w:val="auto"/>
                <w:sz w:val="24"/>
                <w:szCs w:val="24"/>
                <w:highlight w:val="none"/>
                <w:vertAlign w:val="baseline"/>
                <w:lang w:eastAsia="zh-CN"/>
              </w:rPr>
              <w:t>。</w:t>
            </w:r>
            <w:r>
              <w:rPr>
                <w:rFonts w:hint="default" w:ascii="Times New Roman" w:hAnsi="Times New Roman" w:eastAsia="宋体" w:cs="Times New Roman"/>
                <w:b w:val="0"/>
                <w:bCs w:val="0"/>
                <w:color w:val="auto"/>
                <w:sz w:val="24"/>
                <w:szCs w:val="24"/>
                <w:highlight w:val="none"/>
              </w:rPr>
              <w:t>危险等级为1.</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rPr>
              <w:t>级</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由于危险等级不同，项目对过期的烟花爆竹分开</w:t>
            </w:r>
            <w:r>
              <w:rPr>
                <w:rFonts w:hint="default" w:ascii="Times New Roman" w:hAnsi="Times New Roman" w:eastAsia="宋体" w:cs="Times New Roman"/>
                <w:b w:val="0"/>
                <w:bCs w:val="0"/>
                <w:color w:val="auto"/>
                <w:kern w:val="2"/>
                <w:sz w:val="24"/>
                <w:szCs w:val="24"/>
              </w:rPr>
              <w:t>存储</w:t>
            </w:r>
            <w:r>
              <w:rPr>
                <w:rFonts w:hint="default" w:ascii="Times New Roman" w:hAnsi="Times New Roman" w:eastAsia="宋体" w:cs="Times New Roman"/>
                <w:b w:val="0"/>
                <w:bCs w:val="0"/>
                <w:color w:val="auto"/>
                <w:sz w:val="24"/>
                <w:szCs w:val="24"/>
                <w:highlight w:val="none"/>
                <w:lang w:val="en-US" w:eastAsia="zh-CN"/>
              </w:rPr>
              <w:t>，地块一过期的C、D级烟花爆竹依托现有项目建设的5m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lang w:val="en-US" w:eastAsia="zh-CN"/>
              </w:rPr>
              <w:t>的危废暂存间</w:t>
            </w:r>
            <w:r>
              <w:rPr>
                <w:rFonts w:hint="default" w:ascii="Times New Roman" w:hAnsi="Times New Roman" w:eastAsia="宋体" w:cs="Times New Roman"/>
                <w:b w:val="0"/>
                <w:bCs w:val="0"/>
                <w:color w:val="auto"/>
                <w:kern w:val="2"/>
                <w:sz w:val="24"/>
                <w:szCs w:val="24"/>
              </w:rPr>
              <w:t>存储</w:t>
            </w:r>
            <w:r>
              <w:rPr>
                <w:rFonts w:hint="default" w:ascii="Times New Roman" w:hAnsi="Times New Roman" w:eastAsia="宋体" w:cs="Times New Roman"/>
                <w:b w:val="0"/>
                <w:bCs w:val="0"/>
                <w:color w:val="auto"/>
                <w:sz w:val="24"/>
                <w:szCs w:val="24"/>
                <w:highlight w:val="none"/>
                <w:lang w:val="en-US" w:eastAsia="zh-CN"/>
              </w:rPr>
              <w:t>，地块二过期的A、B级烟花爆竹在地块二设置</w:t>
            </w:r>
            <w:r>
              <w:rPr>
                <w:rFonts w:hint="default" w:ascii="Times New Roman" w:hAnsi="Times New Roman" w:eastAsia="宋体" w:cs="Times New Roman"/>
                <w:b w:val="0"/>
                <w:bCs w:val="0"/>
                <w:color w:val="auto"/>
                <w:kern w:val="2"/>
                <w:sz w:val="24"/>
                <w:szCs w:val="24"/>
              </w:rPr>
              <w:t>1间建筑面积为5m</w:t>
            </w:r>
            <w:r>
              <w:rPr>
                <w:rFonts w:hint="default" w:ascii="Times New Roman" w:hAnsi="Times New Roman" w:eastAsia="宋体" w:cs="Times New Roman"/>
                <w:b w:val="0"/>
                <w:bCs w:val="0"/>
                <w:color w:val="auto"/>
                <w:kern w:val="2"/>
                <w:sz w:val="24"/>
                <w:szCs w:val="24"/>
                <w:vertAlign w:val="superscript"/>
              </w:rPr>
              <w:t>2</w:t>
            </w:r>
            <w:r>
              <w:rPr>
                <w:rFonts w:hint="default" w:ascii="Times New Roman" w:hAnsi="Times New Roman" w:eastAsia="宋体" w:cs="Times New Roman"/>
                <w:b w:val="0"/>
                <w:bCs w:val="0"/>
                <w:color w:val="auto"/>
                <w:kern w:val="2"/>
                <w:sz w:val="24"/>
                <w:szCs w:val="24"/>
              </w:rPr>
              <w:t>危险废物暂存间存储，暂存后交由公安部门组织统一销毁、处置。</w:t>
            </w:r>
          </w:p>
          <w:p w14:paraId="341EDE7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地块一过期或残损的烟花爆竹依托现有危废暂存间可行性分析</w:t>
            </w:r>
          </w:p>
          <w:p w14:paraId="55A708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本改扩建项目地块一过期或残损的烟花爆竹依托现有危废暂存间，</w:t>
            </w:r>
            <w:r>
              <w:rPr>
                <w:rFonts w:hint="eastAsia" w:ascii="Times New Roman" w:hAnsi="Times New Roman" w:cs="Times New Roman"/>
                <w:color w:val="auto"/>
                <w:sz w:val="24"/>
                <w:szCs w:val="24"/>
                <w:highlight w:val="none"/>
              </w:rPr>
              <w:t>根据《危险废物贮存污染控制标准》（GB 18597-20</w:t>
            </w:r>
            <w:r>
              <w:rPr>
                <w:rFonts w:hint="eastAsia" w:ascii="Times New Roman" w:hAnsi="Times New Roman" w:cs="Times New Roman"/>
                <w:color w:val="auto"/>
                <w:sz w:val="24"/>
                <w:szCs w:val="24"/>
                <w:highlight w:val="none"/>
                <w:lang w:val="en-US" w:eastAsia="zh-CN"/>
              </w:rPr>
              <w:t>23</w:t>
            </w:r>
            <w:r>
              <w:rPr>
                <w:rFonts w:hint="eastAsia" w:ascii="Times New Roman" w:hAnsi="Times New Roman" w:cs="Times New Roman"/>
                <w:color w:val="auto"/>
                <w:sz w:val="24"/>
                <w:szCs w:val="24"/>
                <w:highlight w:val="none"/>
              </w:rPr>
              <w:t>）要求，危险废物暂存间危废暂存间设置防风、防雨、防晒、防渗漏等措施，危险废物暂存间地面及裙脚进行重点防渗，渗透系数≤1×10</w:t>
            </w:r>
            <w:r>
              <w:rPr>
                <w:rFonts w:hint="eastAsia" w:ascii="Times New Roman" w:hAnsi="Times New Roman" w:cs="Times New Roman"/>
                <w:color w:val="auto"/>
                <w:sz w:val="24"/>
                <w:szCs w:val="24"/>
                <w:highlight w:val="none"/>
                <w:vertAlign w:val="superscript"/>
              </w:rPr>
              <w:t>-10</w:t>
            </w:r>
            <w:r>
              <w:rPr>
                <w:rFonts w:hint="eastAsia" w:ascii="Times New Roman" w:hAnsi="Times New Roman" w:cs="Times New Roman"/>
                <w:color w:val="auto"/>
                <w:sz w:val="24"/>
                <w:szCs w:val="24"/>
                <w:highlight w:val="none"/>
              </w:rPr>
              <w:t>cm/s。</w:t>
            </w:r>
            <w:r>
              <w:rPr>
                <w:rFonts w:hint="eastAsia" w:ascii="Times New Roman" w:hAnsi="Times New Roman" w:cs="Times New Roman"/>
                <w:color w:val="auto"/>
                <w:sz w:val="24"/>
                <w:szCs w:val="24"/>
                <w:highlight w:val="none"/>
                <w:lang w:val="en-US" w:eastAsia="zh-CN"/>
              </w:rPr>
              <w:t>并</w:t>
            </w:r>
            <w:r>
              <w:rPr>
                <w:rFonts w:hint="eastAsia" w:ascii="Times New Roman" w:hAnsi="Times New Roman" w:cs="Times New Roman"/>
                <w:color w:val="auto"/>
                <w:sz w:val="24"/>
                <w:szCs w:val="24"/>
                <w:highlight w:val="none"/>
              </w:rPr>
              <w:t>做好相应标识标牌、制度。</w:t>
            </w:r>
            <w:r>
              <w:rPr>
                <w:rFonts w:hint="eastAsia" w:ascii="Times New Roman" w:hAnsi="Times New Roman" w:cs="Times New Roman"/>
                <w:color w:val="auto"/>
                <w:sz w:val="24"/>
                <w:szCs w:val="24"/>
                <w:highlight w:val="none"/>
                <w:lang w:val="en-US" w:eastAsia="zh-CN"/>
              </w:rPr>
              <w:t>现有危废暂存间</w:t>
            </w:r>
            <w:r>
              <w:rPr>
                <w:rFonts w:hint="eastAsia"/>
                <w:color w:val="auto"/>
                <w:sz w:val="24"/>
                <w:szCs w:val="24"/>
                <w:highlight w:val="none"/>
                <w:vertAlign w:val="baseline"/>
                <w:lang w:val="en-US" w:eastAsia="zh-CN"/>
              </w:rPr>
              <w:t>位于现有烟花爆竹①号仓库北侧，地面进行防渗处理，</w:t>
            </w:r>
            <w:r>
              <w:rPr>
                <w:rFonts w:hint="eastAsia" w:ascii="Times New Roman" w:hAnsi="Times New Roman" w:cs="Times New Roman"/>
                <w:color w:val="auto"/>
                <w:sz w:val="24"/>
                <w:szCs w:val="24"/>
                <w:highlight w:val="none"/>
              </w:rPr>
              <w:t>渗透系数≤1×10</w:t>
            </w:r>
            <w:r>
              <w:rPr>
                <w:rFonts w:hint="eastAsia" w:ascii="Times New Roman" w:hAnsi="Times New Roman" w:cs="Times New Roman"/>
                <w:color w:val="auto"/>
                <w:sz w:val="24"/>
                <w:szCs w:val="24"/>
                <w:highlight w:val="none"/>
                <w:vertAlign w:val="superscript"/>
              </w:rPr>
              <w:t>-10</w:t>
            </w:r>
            <w:r>
              <w:rPr>
                <w:rFonts w:hint="eastAsia" w:ascii="Times New Roman" w:hAnsi="Times New Roman" w:cs="Times New Roman"/>
                <w:color w:val="auto"/>
                <w:sz w:val="24"/>
                <w:szCs w:val="24"/>
                <w:highlight w:val="none"/>
              </w:rPr>
              <w:t>cm/s。</w:t>
            </w:r>
            <w:r>
              <w:rPr>
                <w:rFonts w:hint="eastAsia" w:ascii="Times New Roman" w:hAnsi="Times New Roman" w:cs="Times New Roman"/>
                <w:color w:val="auto"/>
                <w:sz w:val="24"/>
                <w:szCs w:val="24"/>
                <w:highlight w:val="none"/>
                <w:lang w:val="en-US" w:eastAsia="zh-CN"/>
              </w:rPr>
              <w:t>并做好相应标识标牌，并记录台账。</w:t>
            </w:r>
          </w:p>
          <w:p w14:paraId="2A6510CA">
            <w:pPr>
              <w:pStyle w:val="3"/>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2"/>
                <w:sz w:val="24"/>
                <w:szCs w:val="24"/>
                <w:highlight w:val="none"/>
                <w:lang w:val="en-US" w:eastAsia="zh-CN" w:bidi="ar-SA"/>
              </w:rPr>
              <w:t>地块一过期或残损的烟花爆竹产生量为0.4t/a，现有项目过期或残损的烟花爆竹产生量为0.6t/a，现有危废暂存间最大存储量为</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t，0.4+0.6=1＜</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，现有危废暂存间能满足要求。</w:t>
            </w:r>
          </w:p>
          <w:p w14:paraId="6D7C7256">
            <w:pPr>
              <w:spacing w:line="360" w:lineRule="auto"/>
              <w:ind w:firstLine="482" w:firstLineChars="200"/>
              <w:rPr>
                <w:b/>
                <w:bCs/>
                <w:color w:val="auto"/>
                <w:sz w:val="24"/>
                <w:szCs w:val="24"/>
              </w:rPr>
            </w:pPr>
            <w:r>
              <w:rPr>
                <w:rFonts w:hint="eastAsia"/>
                <w:b/>
                <w:bCs/>
                <w:color w:val="auto"/>
                <w:sz w:val="24"/>
                <w:szCs w:val="24"/>
              </w:rPr>
              <w:t>（</w:t>
            </w:r>
            <w:r>
              <w:rPr>
                <w:rFonts w:hint="eastAsia"/>
                <w:b/>
                <w:bCs/>
                <w:color w:val="auto"/>
                <w:sz w:val="24"/>
                <w:szCs w:val="24"/>
                <w:lang w:val="en-US" w:eastAsia="zh-CN"/>
              </w:rPr>
              <w:t>2</w:t>
            </w:r>
            <w:r>
              <w:rPr>
                <w:rFonts w:hint="eastAsia"/>
                <w:b/>
                <w:bCs/>
                <w:color w:val="auto"/>
                <w:sz w:val="24"/>
                <w:szCs w:val="24"/>
              </w:rPr>
              <w:t>）</w:t>
            </w:r>
            <w:r>
              <w:rPr>
                <w:rFonts w:hint="eastAsia"/>
                <w:b/>
                <w:bCs/>
                <w:color w:val="auto"/>
                <w:sz w:val="24"/>
                <w:szCs w:val="24"/>
                <w:lang w:val="en-US" w:eastAsia="zh-CN"/>
              </w:rPr>
              <w:t>地块二</w:t>
            </w:r>
            <w:r>
              <w:rPr>
                <w:rFonts w:hint="eastAsia"/>
                <w:b/>
                <w:bCs/>
                <w:color w:val="auto"/>
                <w:sz w:val="24"/>
                <w:szCs w:val="24"/>
              </w:rPr>
              <w:t>危险废物暂存间选址及设计要求</w:t>
            </w:r>
          </w:p>
          <w:p w14:paraId="517B8454">
            <w:pPr>
              <w:spacing w:line="360" w:lineRule="auto"/>
              <w:ind w:firstLine="480" w:firstLineChars="200"/>
              <w:rPr>
                <w:color w:val="auto"/>
                <w:sz w:val="24"/>
                <w:szCs w:val="24"/>
              </w:rPr>
            </w:pPr>
            <w:r>
              <w:rPr>
                <w:rFonts w:hint="eastAsia"/>
                <w:color w:val="auto"/>
                <w:sz w:val="24"/>
                <w:szCs w:val="24"/>
              </w:rPr>
              <w:t>根据《危险废物贮存污染控制标准》（GB 18597-20</w:t>
            </w:r>
            <w:r>
              <w:rPr>
                <w:rFonts w:hint="eastAsia"/>
                <w:color w:val="auto"/>
                <w:sz w:val="24"/>
                <w:szCs w:val="24"/>
                <w:lang w:val="en-US" w:eastAsia="zh-CN"/>
              </w:rPr>
              <w:t>23</w:t>
            </w:r>
            <w:r>
              <w:rPr>
                <w:rFonts w:hint="eastAsia"/>
                <w:color w:val="auto"/>
                <w:sz w:val="24"/>
                <w:szCs w:val="24"/>
              </w:rPr>
              <w:t>）要求，危险废物暂存间的选址及设计应满足以下要求：</w:t>
            </w:r>
          </w:p>
          <w:p w14:paraId="5802AF08">
            <w:pPr>
              <w:spacing w:line="360" w:lineRule="auto"/>
              <w:ind w:firstLine="480" w:firstLineChars="200"/>
              <w:rPr>
                <w:color w:val="auto"/>
                <w:sz w:val="24"/>
                <w:szCs w:val="24"/>
              </w:rPr>
            </w:pPr>
            <w:r>
              <w:rPr>
                <w:rFonts w:hint="eastAsia"/>
                <w:color w:val="auto"/>
                <w:sz w:val="24"/>
                <w:szCs w:val="24"/>
              </w:rPr>
              <w:t>①对所有的危险废物应建造专用的危险废物贮存设施，贮存设施必须符合国家规定标准，配套防火器材。</w:t>
            </w:r>
          </w:p>
          <w:p w14:paraId="4A2AD7F1">
            <w:pPr>
              <w:spacing w:line="360" w:lineRule="auto"/>
              <w:ind w:firstLine="480" w:firstLineChars="200"/>
              <w:rPr>
                <w:color w:val="auto"/>
                <w:sz w:val="24"/>
                <w:szCs w:val="24"/>
              </w:rPr>
            </w:pPr>
            <w:r>
              <w:rPr>
                <w:rFonts w:hint="eastAsia"/>
                <w:color w:val="auto"/>
                <w:sz w:val="24"/>
                <w:szCs w:val="24"/>
              </w:rPr>
              <w:t>②危废暂存间均需要设置照明措施。</w:t>
            </w:r>
          </w:p>
          <w:p w14:paraId="12F331CF">
            <w:pPr>
              <w:spacing w:line="360" w:lineRule="auto"/>
              <w:ind w:firstLine="480" w:firstLineChars="200"/>
              <w:rPr>
                <w:color w:val="auto"/>
                <w:sz w:val="24"/>
                <w:szCs w:val="24"/>
              </w:rPr>
            </w:pPr>
            <w:r>
              <w:rPr>
                <w:rFonts w:hint="eastAsia"/>
                <w:color w:val="auto"/>
                <w:sz w:val="24"/>
                <w:szCs w:val="24"/>
              </w:rPr>
              <w:t>③危废暂存间地面必须进行硬化地面，且表面无裂痕。</w:t>
            </w:r>
          </w:p>
          <w:p w14:paraId="44B529AF">
            <w:pPr>
              <w:spacing w:line="360" w:lineRule="auto"/>
              <w:ind w:firstLine="480" w:firstLineChars="200"/>
              <w:rPr>
                <w:color w:val="auto"/>
                <w:sz w:val="24"/>
                <w:szCs w:val="24"/>
              </w:rPr>
            </w:pPr>
            <w:r>
              <w:rPr>
                <w:rFonts w:hint="eastAsia"/>
                <w:color w:val="auto"/>
                <w:sz w:val="24"/>
                <w:szCs w:val="24"/>
              </w:rPr>
              <w:t>④危废暂存间做好防雨措施，可在外围设置截排水沟、避免雨水涌入。</w:t>
            </w:r>
          </w:p>
          <w:p w14:paraId="39D547CA">
            <w:pPr>
              <w:spacing w:line="360" w:lineRule="auto"/>
              <w:ind w:firstLine="480" w:firstLineChars="200"/>
              <w:rPr>
                <w:color w:val="auto"/>
                <w:sz w:val="24"/>
                <w:szCs w:val="24"/>
              </w:rPr>
            </w:pPr>
            <w:r>
              <w:rPr>
                <w:rFonts w:hint="eastAsia"/>
                <w:color w:val="auto"/>
                <w:sz w:val="24"/>
                <w:szCs w:val="24"/>
              </w:rPr>
              <w:t>⑤危废暂存间应做好相应标识标牌、制度。</w:t>
            </w:r>
          </w:p>
          <w:p w14:paraId="2EA1F56E">
            <w:pPr>
              <w:spacing w:line="360" w:lineRule="auto"/>
              <w:ind w:firstLine="482" w:firstLineChars="200"/>
              <w:rPr>
                <w:b/>
                <w:bCs/>
                <w:color w:val="auto"/>
                <w:sz w:val="24"/>
                <w:szCs w:val="24"/>
              </w:rPr>
            </w:pPr>
            <w:r>
              <w:rPr>
                <w:rFonts w:hint="eastAsia"/>
                <w:b/>
                <w:bCs/>
                <w:color w:val="auto"/>
                <w:sz w:val="24"/>
                <w:szCs w:val="24"/>
              </w:rPr>
              <w:t>（</w:t>
            </w:r>
            <w:r>
              <w:rPr>
                <w:rFonts w:hint="eastAsia"/>
                <w:b/>
                <w:bCs/>
                <w:color w:val="auto"/>
                <w:sz w:val="24"/>
                <w:szCs w:val="24"/>
                <w:lang w:val="en-US" w:eastAsia="zh-CN"/>
              </w:rPr>
              <w:t>3</w:t>
            </w:r>
            <w:r>
              <w:rPr>
                <w:rFonts w:hint="eastAsia"/>
                <w:b/>
                <w:bCs/>
                <w:color w:val="auto"/>
                <w:sz w:val="24"/>
                <w:szCs w:val="24"/>
              </w:rPr>
              <w:t>）危险废物贮存容器的相关要求</w:t>
            </w:r>
          </w:p>
          <w:p w14:paraId="333C6E20">
            <w:pPr>
              <w:spacing w:line="360" w:lineRule="auto"/>
              <w:ind w:firstLine="480" w:firstLineChars="200"/>
              <w:rPr>
                <w:color w:val="auto"/>
                <w:sz w:val="24"/>
                <w:szCs w:val="24"/>
              </w:rPr>
            </w:pPr>
            <w:r>
              <w:rPr>
                <w:rFonts w:hint="eastAsia"/>
                <w:color w:val="auto"/>
                <w:sz w:val="24"/>
                <w:szCs w:val="24"/>
              </w:rPr>
              <w:t>①必须设置危险废物收集桶将危险废物分开存放，将危险废物装入容器内；</w:t>
            </w:r>
          </w:p>
          <w:p w14:paraId="7F665D8C">
            <w:pPr>
              <w:spacing w:line="360" w:lineRule="auto"/>
              <w:ind w:firstLine="480" w:firstLineChars="200"/>
              <w:rPr>
                <w:color w:val="auto"/>
                <w:sz w:val="24"/>
                <w:szCs w:val="24"/>
              </w:rPr>
            </w:pPr>
            <w:r>
              <w:rPr>
                <w:rFonts w:hint="eastAsia"/>
                <w:color w:val="auto"/>
                <w:sz w:val="24"/>
                <w:szCs w:val="24"/>
              </w:rPr>
              <w:t>②使用符合标准的容器盛装危险废物；</w:t>
            </w:r>
          </w:p>
          <w:p w14:paraId="0DB1FE31">
            <w:pPr>
              <w:spacing w:line="360" w:lineRule="auto"/>
              <w:ind w:firstLine="480" w:firstLineChars="200"/>
              <w:rPr>
                <w:color w:val="auto"/>
                <w:sz w:val="24"/>
                <w:szCs w:val="24"/>
              </w:rPr>
            </w:pPr>
            <w:r>
              <w:rPr>
                <w:rFonts w:hint="eastAsia"/>
                <w:color w:val="auto"/>
                <w:sz w:val="24"/>
                <w:szCs w:val="24"/>
              </w:rPr>
              <w:t>③装载危险废物的容器及材质要满足相应的强度要求；</w:t>
            </w:r>
          </w:p>
          <w:p w14:paraId="4ACBB9A9">
            <w:pPr>
              <w:spacing w:line="360" w:lineRule="auto"/>
              <w:ind w:firstLine="480" w:firstLineChars="200"/>
              <w:rPr>
                <w:color w:val="auto"/>
                <w:sz w:val="24"/>
                <w:szCs w:val="24"/>
              </w:rPr>
            </w:pPr>
            <w:r>
              <w:rPr>
                <w:rFonts w:hint="eastAsia"/>
                <w:color w:val="auto"/>
                <w:sz w:val="24"/>
                <w:szCs w:val="24"/>
              </w:rPr>
              <w:t>④装载危险废物的容器必须完好无损；</w:t>
            </w:r>
          </w:p>
          <w:p w14:paraId="4D19663D">
            <w:pPr>
              <w:spacing w:line="360" w:lineRule="auto"/>
              <w:ind w:firstLine="480" w:firstLineChars="200"/>
              <w:rPr>
                <w:color w:val="auto"/>
                <w:sz w:val="24"/>
                <w:szCs w:val="24"/>
              </w:rPr>
            </w:pPr>
            <w:r>
              <w:rPr>
                <w:rFonts w:hint="eastAsia"/>
                <w:color w:val="auto"/>
                <w:sz w:val="24"/>
                <w:szCs w:val="24"/>
              </w:rPr>
              <w:t>⑤盛装危险废物的容器材质和衬里要与危险废物相容（不相互反应）。</w:t>
            </w:r>
          </w:p>
          <w:p w14:paraId="4C516991">
            <w:pPr>
              <w:spacing w:line="360" w:lineRule="auto"/>
              <w:ind w:firstLine="482" w:firstLineChars="200"/>
              <w:rPr>
                <w:b/>
                <w:bCs/>
                <w:color w:val="auto"/>
                <w:sz w:val="24"/>
                <w:szCs w:val="24"/>
              </w:rPr>
            </w:pPr>
            <w:r>
              <w:rPr>
                <w:rFonts w:hint="eastAsia"/>
                <w:b/>
                <w:bCs/>
                <w:color w:val="auto"/>
                <w:sz w:val="24"/>
                <w:szCs w:val="24"/>
              </w:rPr>
              <w:t>（</w:t>
            </w:r>
            <w:r>
              <w:rPr>
                <w:rFonts w:hint="eastAsia"/>
                <w:b/>
                <w:bCs/>
                <w:color w:val="auto"/>
                <w:sz w:val="24"/>
                <w:szCs w:val="24"/>
                <w:lang w:val="en-US" w:eastAsia="zh-CN"/>
              </w:rPr>
              <w:t>4</w:t>
            </w:r>
            <w:r>
              <w:rPr>
                <w:rFonts w:hint="eastAsia"/>
                <w:b/>
                <w:bCs/>
                <w:color w:val="auto"/>
                <w:sz w:val="24"/>
                <w:szCs w:val="24"/>
              </w:rPr>
              <w:t>）危险废物贮存的管理要求</w:t>
            </w:r>
          </w:p>
          <w:p w14:paraId="60A43D9C">
            <w:pPr>
              <w:spacing w:line="360" w:lineRule="auto"/>
              <w:ind w:firstLine="480" w:firstLineChars="200"/>
              <w:rPr>
                <w:color w:val="auto"/>
                <w:sz w:val="24"/>
                <w:szCs w:val="24"/>
              </w:rPr>
            </w:pPr>
            <w:r>
              <w:rPr>
                <w:rFonts w:hint="eastAsia"/>
                <w:color w:val="auto"/>
                <w:sz w:val="24"/>
                <w:szCs w:val="24"/>
              </w:rPr>
              <w:t>①危险废物贮存前应进行检验，确保同预定接收的危险废物一致，并登记注册；</w:t>
            </w:r>
          </w:p>
          <w:p w14:paraId="46719862">
            <w:pPr>
              <w:spacing w:line="360" w:lineRule="auto"/>
              <w:ind w:firstLine="480" w:firstLineChars="200"/>
              <w:rPr>
                <w:color w:val="auto"/>
                <w:sz w:val="24"/>
                <w:szCs w:val="24"/>
              </w:rPr>
            </w:pPr>
            <w:r>
              <w:rPr>
                <w:rFonts w:hint="eastAsia"/>
                <w:color w:val="auto"/>
                <w:sz w:val="24"/>
                <w:szCs w:val="24"/>
              </w:rPr>
              <w:t>②不得将不相容的废物混合或合并存放；</w:t>
            </w:r>
          </w:p>
          <w:p w14:paraId="36B3AB3D">
            <w:pPr>
              <w:spacing w:line="360" w:lineRule="auto"/>
              <w:ind w:firstLine="480" w:firstLineChars="200"/>
              <w:rPr>
                <w:color w:val="auto"/>
                <w:sz w:val="24"/>
                <w:szCs w:val="24"/>
              </w:rPr>
            </w:pPr>
            <w:r>
              <w:rPr>
                <w:rFonts w:hint="eastAsia"/>
                <w:color w:val="auto"/>
                <w:sz w:val="24"/>
                <w:szCs w:val="24"/>
              </w:rPr>
              <w:t>③企业危险固废处置应安排专人负责，必须作好危险废物记录，记录上须注明危险废物的名称、来源、数量、特性和包装容器的类别、入库日期、存放库位、废物出库日期及接收单位名称；危险废物的记录和货单在危险废物回取后应继续保留三年，实行危险废物转移联单管理制度；</w:t>
            </w:r>
          </w:p>
          <w:p w14:paraId="76465305">
            <w:pPr>
              <w:spacing w:line="360" w:lineRule="auto"/>
              <w:ind w:firstLine="480" w:firstLineChars="200"/>
              <w:rPr>
                <w:color w:val="auto"/>
                <w:sz w:val="24"/>
                <w:szCs w:val="24"/>
              </w:rPr>
            </w:pPr>
            <w:r>
              <w:rPr>
                <w:rFonts w:hint="eastAsia"/>
                <w:color w:val="auto"/>
                <w:sz w:val="24"/>
                <w:szCs w:val="24"/>
              </w:rPr>
              <w:t>④盛装危险废物的容器上必须粘贴符合标准的标签，不得接收未粘贴上述规定的标签或标签填写不规范的危险废物；</w:t>
            </w:r>
          </w:p>
          <w:p w14:paraId="0817244F">
            <w:pPr>
              <w:spacing w:line="360" w:lineRule="auto"/>
              <w:ind w:firstLine="480" w:firstLineChars="200"/>
              <w:rPr>
                <w:color w:val="auto"/>
                <w:sz w:val="24"/>
                <w:szCs w:val="24"/>
              </w:rPr>
            </w:pPr>
            <w:r>
              <w:rPr>
                <w:rFonts w:hint="eastAsia"/>
                <w:color w:val="auto"/>
                <w:sz w:val="24"/>
                <w:szCs w:val="24"/>
              </w:rPr>
              <w:t>⑤必须定期对所贮存的危险废物包装容器及贮存设施进行检查，发现破损，应及时采取措施清理更换；</w:t>
            </w:r>
          </w:p>
          <w:p w14:paraId="12C00F5B">
            <w:pPr>
              <w:spacing w:line="360" w:lineRule="auto"/>
              <w:ind w:firstLine="480" w:firstLineChars="200"/>
              <w:rPr>
                <w:color w:val="auto"/>
                <w:sz w:val="24"/>
                <w:szCs w:val="24"/>
              </w:rPr>
            </w:pPr>
            <w:r>
              <w:rPr>
                <w:rFonts w:hint="eastAsia"/>
                <w:color w:val="auto"/>
                <w:sz w:val="24"/>
                <w:szCs w:val="24"/>
              </w:rPr>
              <w:t>⑥建设单位必须如实填写联单中产生单位栏目，加盖公章，经交付危险废物运输单位核实验收签字后，将联单第一联副联自留存档，将联单第二联交当地环境保护“行政主管部门，联单第一联正联及其余各联交付运输单位随危险废物转移运行。联单保存期限为五年，贮存危险废物的，其联单保存期限与危险废物贮存期限相同。</w:t>
            </w:r>
          </w:p>
          <w:p w14:paraId="27C2E3FE">
            <w:pPr>
              <w:spacing w:line="360" w:lineRule="auto"/>
              <w:ind w:firstLine="480" w:firstLineChars="200"/>
              <w:rPr>
                <w:color w:val="auto"/>
                <w:sz w:val="24"/>
                <w:szCs w:val="24"/>
              </w:rPr>
            </w:pPr>
            <w:r>
              <w:rPr>
                <w:rFonts w:hint="eastAsia"/>
                <w:color w:val="auto"/>
                <w:sz w:val="24"/>
                <w:szCs w:val="24"/>
              </w:rPr>
              <w:t>环评要求项目建设方必须按照危险废物暂存间选址及设计要求、危险废物贮存容器的相关要求和危险废物贮存设施的运行及管理要求来进行危险废物暂存间的设计、建设以及管理，以满足《危险废物贮存污染控制标准》（GB18597-20</w:t>
            </w:r>
            <w:r>
              <w:rPr>
                <w:rFonts w:hint="eastAsia"/>
                <w:color w:val="auto"/>
                <w:sz w:val="24"/>
                <w:szCs w:val="24"/>
                <w:lang w:val="en-US" w:eastAsia="zh-CN"/>
              </w:rPr>
              <w:t>23</w:t>
            </w:r>
            <w:r>
              <w:rPr>
                <w:rFonts w:hint="eastAsia"/>
                <w:color w:val="auto"/>
                <w:sz w:val="24"/>
                <w:szCs w:val="24"/>
              </w:rPr>
              <w:t>）中的相关规定。</w:t>
            </w:r>
          </w:p>
          <w:p w14:paraId="4739F24F">
            <w:pPr>
              <w:spacing w:line="360" w:lineRule="auto"/>
              <w:ind w:firstLine="480" w:firstLineChars="200"/>
              <w:rPr>
                <w:color w:val="auto"/>
                <w:sz w:val="24"/>
                <w:szCs w:val="24"/>
              </w:rPr>
            </w:pPr>
            <w:r>
              <w:rPr>
                <w:color w:val="auto"/>
                <w:sz w:val="24"/>
                <w:szCs w:val="24"/>
              </w:rPr>
              <w:t>综上所述，项目固废均可以得到妥善处置，固废处置率达100%，对周围环境影响不大。</w:t>
            </w:r>
          </w:p>
          <w:p w14:paraId="6CF34EF0">
            <w:pPr>
              <w:spacing w:line="360" w:lineRule="auto"/>
              <w:ind w:firstLine="482" w:firstLineChars="200"/>
              <w:rPr>
                <w:b/>
                <w:bCs/>
                <w:color w:val="auto"/>
                <w:sz w:val="24"/>
                <w:szCs w:val="24"/>
              </w:rPr>
            </w:pPr>
            <w:r>
              <w:rPr>
                <w:rFonts w:hint="eastAsia"/>
                <w:b/>
                <w:bCs/>
                <w:color w:val="auto"/>
                <w:sz w:val="24"/>
                <w:szCs w:val="24"/>
              </w:rPr>
              <w:t>五、地下水、土壤影响分析</w:t>
            </w:r>
          </w:p>
          <w:p w14:paraId="4AA86EFD">
            <w:pPr>
              <w:spacing w:line="360" w:lineRule="auto"/>
              <w:ind w:firstLine="480" w:firstLineChars="200"/>
              <w:rPr>
                <w:color w:val="auto"/>
                <w:sz w:val="24"/>
                <w:szCs w:val="24"/>
              </w:rPr>
            </w:pPr>
            <w:r>
              <w:rPr>
                <w:rFonts w:hint="eastAsia"/>
                <w:color w:val="auto"/>
                <w:sz w:val="24"/>
                <w:szCs w:val="24"/>
              </w:rPr>
              <w:t>根据《建设项目环境影响报告表编制技术指南（污染影响类）》中地下水、土壤环境。原则上不开展环境质量现状调查。建设项目存在土壤、地下水环境污染途径的，应结合污染源、保护目标分布情况开展现状调查以留作背景值。</w:t>
            </w:r>
          </w:p>
          <w:p w14:paraId="19D19BF3">
            <w:pPr>
              <w:spacing w:line="360" w:lineRule="auto"/>
              <w:ind w:firstLine="480" w:firstLineChars="200"/>
              <w:rPr>
                <w:color w:val="auto"/>
                <w:sz w:val="24"/>
                <w:szCs w:val="24"/>
              </w:rPr>
            </w:pPr>
            <w:r>
              <w:rPr>
                <w:rFonts w:hint="eastAsia"/>
                <w:color w:val="auto"/>
                <w:sz w:val="24"/>
                <w:szCs w:val="24"/>
              </w:rPr>
              <w:t>本项目仅对烟花爆竹等危险化学品进行仓储，不进行生产，烟花爆竹均为固体状，项目场地进行硬化，主要污染物为</w:t>
            </w:r>
            <w:r>
              <w:rPr>
                <w:color w:val="auto"/>
                <w:sz w:val="24"/>
                <w:szCs w:val="24"/>
              </w:rPr>
              <w:t>生活污水</w:t>
            </w:r>
            <w:r>
              <w:rPr>
                <w:rFonts w:hint="eastAsia"/>
                <w:color w:val="auto"/>
                <w:sz w:val="24"/>
                <w:szCs w:val="24"/>
              </w:rPr>
              <w:t>（生活污水水质较为简单不涉及重金属及持久性污染物，亦不涉及剧毒化学品）、生活垃圾、</w:t>
            </w:r>
            <w:r>
              <w:rPr>
                <w:color w:val="auto"/>
                <w:sz w:val="24"/>
                <w:szCs w:val="24"/>
              </w:rPr>
              <w:t>过期或残损的烟花爆竹</w:t>
            </w:r>
            <w:r>
              <w:rPr>
                <w:rFonts w:hint="eastAsia"/>
                <w:color w:val="auto"/>
                <w:sz w:val="24"/>
                <w:szCs w:val="24"/>
              </w:rPr>
              <w:t>，</w:t>
            </w:r>
            <w:r>
              <w:rPr>
                <w:color w:val="auto"/>
                <w:sz w:val="24"/>
                <w:szCs w:val="24"/>
              </w:rPr>
              <w:t>生活污水产生量为</w:t>
            </w:r>
            <w:r>
              <w:rPr>
                <w:rFonts w:hint="eastAsia"/>
                <w:color w:val="auto"/>
                <w:sz w:val="24"/>
                <w:szCs w:val="24"/>
                <w:lang w:val="en-US" w:eastAsia="zh-CN"/>
              </w:rPr>
              <w:t>362</w:t>
            </w:r>
            <w:r>
              <w:rPr>
                <w:color w:val="auto"/>
                <w:sz w:val="24"/>
                <w:szCs w:val="24"/>
              </w:rPr>
              <w:t>m</w:t>
            </w:r>
            <w:r>
              <w:rPr>
                <w:color w:val="auto"/>
                <w:sz w:val="24"/>
                <w:szCs w:val="24"/>
                <w:vertAlign w:val="superscript"/>
              </w:rPr>
              <w:t>3</w:t>
            </w:r>
            <w:r>
              <w:rPr>
                <w:color w:val="auto"/>
                <w:sz w:val="24"/>
                <w:szCs w:val="24"/>
              </w:rPr>
              <w:t>/a</w:t>
            </w:r>
            <w:r>
              <w:rPr>
                <w:rFonts w:hint="eastAsia"/>
                <w:color w:val="auto"/>
                <w:sz w:val="24"/>
                <w:szCs w:val="24"/>
              </w:rPr>
              <w:t>，</w:t>
            </w:r>
            <w:r>
              <w:rPr>
                <w:color w:val="auto"/>
                <w:sz w:val="24"/>
                <w:szCs w:val="24"/>
              </w:rPr>
              <w:t>生活垃圾产生量为</w:t>
            </w:r>
            <w:r>
              <w:rPr>
                <w:rFonts w:hint="eastAsia"/>
                <w:color w:val="auto"/>
                <w:sz w:val="24"/>
                <w:szCs w:val="24"/>
                <w:lang w:val="en-US" w:eastAsia="zh-CN"/>
              </w:rPr>
              <w:t>2.5</w:t>
            </w:r>
            <w:r>
              <w:rPr>
                <w:color w:val="auto"/>
                <w:sz w:val="24"/>
                <w:szCs w:val="24"/>
              </w:rPr>
              <w:t>t/a</w:t>
            </w:r>
            <w:r>
              <w:rPr>
                <w:rFonts w:hint="eastAsia"/>
                <w:color w:val="auto"/>
                <w:sz w:val="24"/>
                <w:szCs w:val="24"/>
              </w:rPr>
              <w:t>，</w:t>
            </w:r>
            <w:r>
              <w:rPr>
                <w:color w:val="auto"/>
                <w:sz w:val="24"/>
                <w:szCs w:val="24"/>
              </w:rPr>
              <w:t>过期或有残损的烟花爆竹约为0.</w:t>
            </w:r>
            <w:r>
              <w:rPr>
                <w:rFonts w:hint="eastAsia"/>
                <w:color w:val="auto"/>
                <w:sz w:val="24"/>
                <w:szCs w:val="24"/>
                <w:lang w:val="en-US" w:eastAsia="zh-CN"/>
              </w:rPr>
              <w:t>5</w:t>
            </w:r>
            <w:r>
              <w:rPr>
                <w:color w:val="auto"/>
                <w:sz w:val="24"/>
                <w:szCs w:val="24"/>
              </w:rPr>
              <w:t>t/a。项目</w:t>
            </w:r>
            <w:r>
              <w:rPr>
                <w:rFonts w:hint="eastAsia"/>
                <w:color w:val="auto"/>
                <w:sz w:val="24"/>
                <w:szCs w:val="24"/>
                <w:lang w:val="en-US" w:eastAsia="zh-CN"/>
              </w:rPr>
              <w:t>三</w:t>
            </w:r>
            <w:r>
              <w:rPr>
                <w:color w:val="auto"/>
                <w:sz w:val="24"/>
                <w:szCs w:val="24"/>
              </w:rPr>
              <w:t>设置一个容积为</w:t>
            </w:r>
            <w:r>
              <w:rPr>
                <w:rFonts w:hint="eastAsia"/>
                <w:color w:val="auto"/>
                <w:sz w:val="24"/>
                <w:szCs w:val="24"/>
                <w:lang w:val="en-US" w:eastAsia="zh-CN"/>
              </w:rPr>
              <w:t>25</w:t>
            </w:r>
            <w:r>
              <w:rPr>
                <w:color w:val="auto"/>
                <w:sz w:val="24"/>
                <w:szCs w:val="24"/>
              </w:rPr>
              <w:t>m</w:t>
            </w:r>
            <w:r>
              <w:rPr>
                <w:color w:val="auto"/>
                <w:sz w:val="24"/>
                <w:szCs w:val="24"/>
                <w:vertAlign w:val="superscript"/>
              </w:rPr>
              <w:t>3</w:t>
            </w:r>
            <w:r>
              <w:rPr>
                <w:color w:val="auto"/>
                <w:sz w:val="24"/>
                <w:szCs w:val="24"/>
              </w:rPr>
              <w:t>的化粪池，</w:t>
            </w:r>
            <w:r>
              <w:rPr>
                <w:rFonts w:hint="eastAsia"/>
                <w:color w:val="auto"/>
                <w:sz w:val="24"/>
                <w:szCs w:val="24"/>
                <w:lang w:val="en-US" w:eastAsia="zh-CN"/>
              </w:rPr>
              <w:t>生活区依托原有15m</w:t>
            </w:r>
            <w:r>
              <w:rPr>
                <w:rFonts w:hint="eastAsia"/>
                <w:color w:val="auto"/>
                <w:sz w:val="24"/>
                <w:szCs w:val="24"/>
                <w:vertAlign w:val="superscript"/>
                <w:lang w:val="en-US" w:eastAsia="zh-CN"/>
              </w:rPr>
              <w:t>3</w:t>
            </w:r>
            <w:r>
              <w:rPr>
                <w:rFonts w:hint="eastAsia"/>
                <w:color w:val="auto"/>
                <w:sz w:val="24"/>
                <w:szCs w:val="24"/>
                <w:lang w:val="en-US" w:eastAsia="zh-CN"/>
              </w:rPr>
              <w:t>化粪池，</w:t>
            </w:r>
            <w:r>
              <w:rPr>
                <w:color w:val="auto"/>
                <w:sz w:val="24"/>
                <w:szCs w:val="24"/>
              </w:rPr>
              <w:t>生活污水排入化粪池后委托</w:t>
            </w:r>
            <w:r>
              <w:rPr>
                <w:rFonts w:hint="eastAsia"/>
                <w:color w:val="auto"/>
                <w:sz w:val="24"/>
                <w:szCs w:val="24"/>
              </w:rPr>
              <w:t>寻甸县</w:t>
            </w:r>
            <w:r>
              <w:rPr>
                <w:color w:val="auto"/>
                <w:sz w:val="24"/>
                <w:szCs w:val="24"/>
              </w:rPr>
              <w:t>环卫部门</w:t>
            </w:r>
            <w:r>
              <w:rPr>
                <w:rFonts w:hint="eastAsia"/>
                <w:color w:val="auto"/>
                <w:sz w:val="24"/>
                <w:szCs w:val="24"/>
                <w:lang w:val="en-US" w:eastAsia="zh-CN"/>
              </w:rPr>
              <w:t>15天</w:t>
            </w:r>
            <w:r>
              <w:rPr>
                <w:color w:val="auto"/>
                <w:sz w:val="24"/>
                <w:szCs w:val="24"/>
              </w:rPr>
              <w:t>抽运一次，</w:t>
            </w:r>
            <w:r>
              <w:rPr>
                <w:rFonts w:hint="eastAsia"/>
                <w:color w:val="auto"/>
                <w:sz w:val="24"/>
                <w:szCs w:val="24"/>
              </w:rPr>
              <w:t>运至寻甸县污水处理厂处理，</w:t>
            </w:r>
            <w:r>
              <w:rPr>
                <w:color w:val="auto"/>
                <w:sz w:val="24"/>
                <w:szCs w:val="24"/>
              </w:rPr>
              <w:t>不外排</w:t>
            </w:r>
            <w:r>
              <w:rPr>
                <w:rFonts w:hint="eastAsia"/>
                <w:color w:val="auto"/>
                <w:sz w:val="24"/>
                <w:szCs w:val="24"/>
              </w:rPr>
              <w:t>；</w:t>
            </w:r>
            <w:r>
              <w:rPr>
                <w:color w:val="auto"/>
                <w:sz w:val="24"/>
                <w:szCs w:val="24"/>
              </w:rPr>
              <w:t>生活垃圾通过库区内设置的垃圾箱收集后定期运至寻甸县垃圾转载点处置</w:t>
            </w:r>
            <w:r>
              <w:rPr>
                <w:rFonts w:hint="eastAsia"/>
                <w:color w:val="auto"/>
                <w:sz w:val="24"/>
                <w:szCs w:val="24"/>
              </w:rPr>
              <w:t>；</w:t>
            </w:r>
            <w:r>
              <w:rPr>
                <w:color w:val="auto"/>
                <w:sz w:val="24"/>
                <w:szCs w:val="24"/>
              </w:rPr>
              <w:t>过期或残损的烟花爆竹</w:t>
            </w:r>
            <w:r>
              <w:rPr>
                <w:rFonts w:hint="eastAsia"/>
                <w:color w:val="auto"/>
                <w:sz w:val="24"/>
                <w:szCs w:val="24"/>
              </w:rPr>
              <w:t>收集暂存于危废暂存间后</w:t>
            </w:r>
            <w:r>
              <w:rPr>
                <w:color w:val="auto"/>
                <w:sz w:val="24"/>
                <w:szCs w:val="24"/>
              </w:rPr>
              <w:t>交由公安部门组织统一销毁、处置</w:t>
            </w:r>
            <w:r>
              <w:rPr>
                <w:rFonts w:hint="eastAsia"/>
                <w:color w:val="auto"/>
                <w:sz w:val="24"/>
                <w:szCs w:val="24"/>
              </w:rPr>
              <w:t>。</w:t>
            </w:r>
          </w:p>
          <w:p w14:paraId="5B854BB0">
            <w:pPr>
              <w:spacing w:line="360" w:lineRule="auto"/>
              <w:ind w:firstLine="480" w:firstLineChars="200"/>
              <w:rPr>
                <w:rFonts w:hint="eastAsia"/>
                <w:color w:val="auto"/>
                <w:sz w:val="24"/>
                <w:szCs w:val="24"/>
              </w:rPr>
            </w:pPr>
            <w:r>
              <w:rPr>
                <w:rFonts w:hint="eastAsia"/>
                <w:color w:val="auto"/>
                <w:sz w:val="24"/>
                <w:szCs w:val="24"/>
              </w:rPr>
              <w:t>对上述污染物做好相应措施后，项目无污染土壤及地下水环境影响途径，不会对土壤及地下水环境产生影响。</w:t>
            </w:r>
          </w:p>
          <w:p w14:paraId="1A75A16B">
            <w:pPr>
              <w:pStyle w:val="31"/>
              <w:ind w:firstLine="422"/>
              <w:rPr>
                <w:rFonts w:ascii="Times New Roman" w:hAnsi="Times New Roman" w:cs="Times New Roman" w:eastAsiaTheme="minorEastAsia"/>
                <w:b/>
                <w:bCs/>
                <w:color w:val="auto"/>
                <w:sz w:val="24"/>
                <w:szCs w:val="24"/>
              </w:rPr>
            </w:pPr>
            <w:r>
              <w:rPr>
                <w:rFonts w:hint="eastAsia" w:eastAsia="宋体"/>
                <w:b/>
                <w:bCs/>
                <w:color w:val="auto"/>
                <w:lang w:val="en-US" w:eastAsia="zh-CN"/>
              </w:rPr>
              <w:t>六、</w:t>
            </w:r>
            <w:r>
              <w:rPr>
                <w:rFonts w:hint="eastAsia" w:ascii="Times New Roman" w:hAnsi="Times New Roman" w:cs="Times New Roman" w:eastAsiaTheme="minorEastAsia"/>
                <w:b/>
                <w:bCs/>
                <w:color w:val="auto"/>
                <w:sz w:val="24"/>
                <w:szCs w:val="24"/>
              </w:rPr>
              <w:t>环境风险影响分析结论</w:t>
            </w:r>
          </w:p>
          <w:p w14:paraId="5A2EA13A">
            <w:pPr>
              <w:spacing w:line="360" w:lineRule="auto"/>
              <w:ind w:firstLine="480" w:firstLineChars="200"/>
              <w:rPr>
                <w:color w:val="auto"/>
              </w:rPr>
            </w:pPr>
            <w:r>
              <w:rPr>
                <w:rFonts w:hint="eastAsia"/>
                <w:color w:val="auto"/>
                <w:sz w:val="24"/>
                <w:szCs w:val="24"/>
              </w:rPr>
              <w:t>项目</w:t>
            </w:r>
            <w:r>
              <w:rPr>
                <w:rFonts w:hint="eastAsia"/>
                <w:color w:val="auto"/>
                <w:sz w:val="24"/>
                <w:szCs w:val="24"/>
                <w:lang w:val="en-US" w:eastAsia="zh-CN"/>
              </w:rPr>
              <w:t>存在</w:t>
            </w:r>
            <w:r>
              <w:rPr>
                <w:rFonts w:hint="eastAsia"/>
                <w:color w:val="auto"/>
                <w:sz w:val="24"/>
                <w:szCs w:val="24"/>
              </w:rPr>
              <w:t>危险源</w:t>
            </w:r>
            <w:r>
              <w:rPr>
                <w:rFonts w:hint="eastAsia"/>
                <w:color w:val="auto"/>
                <w:sz w:val="24"/>
                <w:szCs w:val="24"/>
                <w:lang w:val="en-US" w:eastAsia="zh-CN"/>
              </w:rPr>
              <w:t>为烟花爆竹，危险单元为</w:t>
            </w:r>
            <w:r>
              <w:rPr>
                <w:rFonts w:hint="eastAsia"/>
                <w:color w:val="auto"/>
                <w:sz w:val="24"/>
                <w:szCs w:val="24"/>
              </w:rPr>
              <w:t>为仓库</w:t>
            </w:r>
            <w:r>
              <w:rPr>
                <w:rFonts w:hint="eastAsia"/>
                <w:color w:val="auto"/>
                <w:sz w:val="24"/>
                <w:szCs w:val="24"/>
                <w:lang w:val="en-US" w:eastAsia="zh-CN"/>
              </w:rPr>
              <w:t>存储</w:t>
            </w:r>
            <w:r>
              <w:rPr>
                <w:rFonts w:hint="eastAsia"/>
                <w:color w:val="auto"/>
                <w:sz w:val="24"/>
                <w:szCs w:val="24"/>
              </w:rPr>
              <w:t>、运输</w:t>
            </w:r>
            <w:r>
              <w:rPr>
                <w:rFonts w:hint="eastAsia"/>
                <w:color w:val="auto"/>
                <w:sz w:val="24"/>
                <w:szCs w:val="24"/>
                <w:lang w:val="en-US" w:eastAsia="zh-CN"/>
              </w:rPr>
              <w:t>及装卸</w:t>
            </w:r>
            <w:r>
              <w:rPr>
                <w:rFonts w:hint="eastAsia"/>
                <w:color w:val="auto"/>
                <w:sz w:val="24"/>
                <w:szCs w:val="24"/>
              </w:rPr>
              <w:t>过程的烟花爆竹所造成的火灾及</w:t>
            </w:r>
            <w:r>
              <w:rPr>
                <w:rFonts w:hint="eastAsia"/>
                <w:color w:val="auto"/>
                <w:sz w:val="24"/>
                <w:szCs w:val="24"/>
                <w:lang w:val="en-US" w:eastAsia="zh-CN"/>
              </w:rPr>
              <w:t>爆炸</w:t>
            </w:r>
            <w:r>
              <w:rPr>
                <w:rFonts w:hint="eastAsia"/>
                <w:color w:val="auto"/>
                <w:sz w:val="24"/>
                <w:szCs w:val="24"/>
              </w:rPr>
              <w:t>风险。</w:t>
            </w:r>
            <w:r>
              <w:rPr>
                <w:rFonts w:hint="eastAsia"/>
                <w:color w:val="auto"/>
                <w:sz w:val="24"/>
                <w:szCs w:val="24"/>
                <w:lang w:val="en-US" w:eastAsia="zh-CN"/>
              </w:rPr>
              <w:t>火灾爆炸时会对周围居民的人身安全、财产安全产生不同程度的危害以及产生的有毒有害气体、事故废水对环境造成污染。</w:t>
            </w:r>
            <w:r>
              <w:rPr>
                <w:rFonts w:hint="eastAsia"/>
                <w:color w:val="auto"/>
                <w:sz w:val="24"/>
                <w:szCs w:val="24"/>
              </w:rPr>
              <w:t>建设单位应高度重视运营过程中存在的风险因素</w:t>
            </w:r>
            <w:r>
              <w:rPr>
                <w:rFonts w:hint="eastAsia"/>
                <w:color w:val="auto"/>
                <w:sz w:val="24"/>
                <w:szCs w:val="24"/>
                <w:lang w:eastAsia="zh-CN"/>
              </w:rPr>
              <w:t>，</w:t>
            </w:r>
            <w:r>
              <w:rPr>
                <w:rFonts w:hint="eastAsia"/>
                <w:color w:val="auto"/>
                <w:sz w:val="24"/>
                <w:szCs w:val="24"/>
              </w:rPr>
              <w:t>要加强风险管理，在项目建设过程中针对不同环节的事故风险，应从仓库</w:t>
            </w:r>
            <w:r>
              <w:rPr>
                <w:rFonts w:hint="eastAsia"/>
                <w:color w:val="auto"/>
                <w:sz w:val="24"/>
                <w:szCs w:val="24"/>
                <w:lang w:val="en-US" w:eastAsia="zh-CN"/>
              </w:rPr>
              <w:t>存储</w:t>
            </w:r>
            <w:r>
              <w:rPr>
                <w:rFonts w:hint="eastAsia"/>
                <w:color w:val="auto"/>
                <w:sz w:val="24"/>
                <w:szCs w:val="24"/>
              </w:rPr>
              <w:t>、运输</w:t>
            </w:r>
            <w:r>
              <w:rPr>
                <w:rFonts w:hint="eastAsia"/>
                <w:color w:val="auto"/>
                <w:sz w:val="24"/>
                <w:szCs w:val="24"/>
                <w:lang w:val="en-US" w:eastAsia="zh-CN"/>
              </w:rPr>
              <w:t>及装卸</w:t>
            </w:r>
            <w:r>
              <w:rPr>
                <w:rFonts w:hint="eastAsia"/>
                <w:color w:val="auto"/>
                <w:sz w:val="24"/>
                <w:szCs w:val="24"/>
              </w:rPr>
              <w:t>进行全面的风险管理和防范</w:t>
            </w:r>
            <w:r>
              <w:rPr>
                <w:rFonts w:hint="eastAsia"/>
                <w:color w:val="auto"/>
                <w:sz w:val="24"/>
                <w:szCs w:val="24"/>
                <w:lang w:eastAsia="zh-CN"/>
              </w:rPr>
              <w:t>，</w:t>
            </w:r>
            <w:r>
              <w:rPr>
                <w:rFonts w:hint="eastAsia"/>
                <w:color w:val="auto"/>
                <w:sz w:val="24"/>
                <w:szCs w:val="24"/>
              </w:rPr>
              <w:t>要备足、备全应急救援物资和设备</w:t>
            </w:r>
            <w:r>
              <w:rPr>
                <w:rFonts w:hint="eastAsia"/>
                <w:color w:val="auto"/>
                <w:sz w:val="24"/>
                <w:szCs w:val="24"/>
                <w:lang w:eastAsia="zh-CN"/>
              </w:rPr>
              <w:t>，</w:t>
            </w:r>
            <w:r>
              <w:rPr>
                <w:rFonts w:hint="eastAsia"/>
                <w:color w:val="auto"/>
                <w:sz w:val="24"/>
                <w:szCs w:val="24"/>
              </w:rPr>
              <w:t>通过相应的技术手段降低风险发生概率</w:t>
            </w:r>
            <w:r>
              <w:rPr>
                <w:rFonts w:hint="eastAsia"/>
                <w:color w:val="auto"/>
                <w:sz w:val="24"/>
                <w:szCs w:val="24"/>
                <w:lang w:eastAsia="zh-CN"/>
              </w:rPr>
              <w:t>，</w:t>
            </w:r>
            <w:r>
              <w:rPr>
                <w:rFonts w:hint="eastAsia"/>
                <w:color w:val="auto"/>
                <w:sz w:val="24"/>
                <w:szCs w:val="24"/>
              </w:rPr>
              <w:t>并在风险事故发生后，及时采取风险防范措施及应急预案，可以使风险事故对环境的危害得到有效控制，将事故风险控制在可以接受的范围内</w:t>
            </w:r>
            <w:r>
              <w:rPr>
                <w:rFonts w:hint="eastAsia"/>
                <w:color w:val="auto"/>
                <w:sz w:val="24"/>
                <w:szCs w:val="24"/>
                <w:lang w:eastAsia="zh-CN"/>
              </w:rPr>
              <w:t>，</w:t>
            </w:r>
            <w:r>
              <w:rPr>
                <w:rFonts w:hint="eastAsia"/>
                <w:color w:val="auto"/>
                <w:sz w:val="24"/>
                <w:szCs w:val="24"/>
              </w:rPr>
              <w:t>。采取上述措施之后，本项目的环境风险是可接受的。</w:t>
            </w:r>
          </w:p>
          <w:p w14:paraId="4E7C677D">
            <w:pPr>
              <w:spacing w:line="360" w:lineRule="auto"/>
              <w:ind w:firstLine="482" w:firstLineChars="200"/>
              <w:rPr>
                <w:b/>
                <w:bCs/>
                <w:color w:val="auto"/>
                <w:sz w:val="24"/>
                <w:szCs w:val="24"/>
              </w:rPr>
            </w:pPr>
            <w:r>
              <w:rPr>
                <w:rFonts w:hint="eastAsia"/>
                <w:b/>
                <w:bCs/>
                <w:color w:val="auto"/>
                <w:sz w:val="24"/>
                <w:szCs w:val="24"/>
                <w:lang w:val="en-US" w:eastAsia="zh-CN"/>
              </w:rPr>
              <w:t>七</w:t>
            </w:r>
            <w:r>
              <w:rPr>
                <w:rFonts w:hint="eastAsia"/>
                <w:b/>
                <w:bCs/>
                <w:color w:val="auto"/>
                <w:sz w:val="24"/>
                <w:szCs w:val="24"/>
              </w:rPr>
              <w:t>、“三同时”制度</w:t>
            </w:r>
          </w:p>
          <w:p w14:paraId="42691294">
            <w:pPr>
              <w:spacing w:line="360" w:lineRule="auto"/>
              <w:ind w:firstLine="480" w:firstLineChars="200"/>
              <w:rPr>
                <w:rFonts w:hint="eastAsia"/>
                <w:color w:val="auto"/>
                <w:sz w:val="24"/>
                <w:szCs w:val="24"/>
              </w:rPr>
            </w:pPr>
            <w:r>
              <w:rPr>
                <w:rFonts w:hint="eastAsia"/>
                <w:color w:val="auto"/>
                <w:sz w:val="24"/>
                <w:szCs w:val="24"/>
              </w:rPr>
              <w:t>根据《建设项目竣工环境保护验收管理办法》中“三同时”原则，在项目建设过程中，环境污染防治设施应与主体工程同时设计、同时施工、同时投入使用，项目建成运行时应对环保设施按规定进行自主验收。</w:t>
            </w:r>
          </w:p>
          <w:p w14:paraId="4ADA96ED">
            <w:pPr>
              <w:pageBreakBefore w:val="0"/>
              <w:widowControl/>
              <w:kinsoku/>
              <w:overflowPunct/>
              <w:topLinePunct w:val="0"/>
              <w:bidi w:val="0"/>
              <w:spacing w:line="360" w:lineRule="auto"/>
              <w:ind w:firstLine="482" w:firstLineChars="200"/>
              <w:rPr>
                <w:rFonts w:hint="default" w:ascii="Times New Roman" w:hAnsi="Times New Roman" w:eastAsia="宋体" w:cs="Times New Roman"/>
                <w:b/>
                <w:bCs/>
                <w:color w:val="auto"/>
                <w:kern w:val="0"/>
                <w:sz w:val="24"/>
                <w:lang w:bidi="ar"/>
              </w:rPr>
            </w:pPr>
            <w:r>
              <w:rPr>
                <w:rFonts w:hint="eastAsia" w:cs="Times New Roman"/>
                <w:b/>
                <w:bCs/>
                <w:color w:val="auto"/>
                <w:kern w:val="0"/>
                <w:sz w:val="24"/>
                <w:lang w:val="en-US" w:eastAsia="zh-CN" w:bidi="ar"/>
              </w:rPr>
              <w:t>八</w:t>
            </w:r>
            <w:r>
              <w:rPr>
                <w:rFonts w:hint="default" w:ascii="Times New Roman" w:hAnsi="Times New Roman" w:eastAsia="宋体" w:cs="Times New Roman"/>
                <w:b/>
                <w:bCs/>
                <w:color w:val="auto"/>
                <w:kern w:val="0"/>
                <w:sz w:val="24"/>
                <w:lang w:bidi="ar"/>
              </w:rPr>
              <w:t>、项目“三本账”核算</w:t>
            </w:r>
          </w:p>
          <w:p w14:paraId="39CFEC0E">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改扩建后对现有工程污染物产排无影响，</w:t>
            </w: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z w:val="24"/>
                <w:szCs w:val="24"/>
                <w:lang w:val="en-US" w:eastAsia="zh-CN"/>
              </w:rPr>
              <w:t>改扩建</w:t>
            </w:r>
            <w:r>
              <w:rPr>
                <w:rFonts w:hint="default" w:ascii="Times New Roman" w:hAnsi="Times New Roman" w:eastAsia="宋体" w:cs="Times New Roman"/>
                <w:color w:val="auto"/>
                <w:sz w:val="24"/>
                <w:szCs w:val="24"/>
              </w:rPr>
              <w:t>后，“三本帐”情况详见表4-</w:t>
            </w:r>
            <w:r>
              <w:rPr>
                <w:rFonts w:hint="eastAsia" w:cs="Times New Roman"/>
                <w:color w:val="auto"/>
                <w:sz w:val="24"/>
                <w:szCs w:val="24"/>
                <w:lang w:val="en-US" w:eastAsia="zh-CN"/>
              </w:rPr>
              <w:t>8</w:t>
            </w:r>
            <w:r>
              <w:rPr>
                <w:rFonts w:hint="default" w:ascii="Times New Roman" w:hAnsi="Times New Roman" w:eastAsia="宋体" w:cs="Times New Roman"/>
                <w:color w:val="auto"/>
                <w:sz w:val="24"/>
                <w:szCs w:val="24"/>
              </w:rPr>
              <w:t>。</w:t>
            </w:r>
          </w:p>
          <w:p w14:paraId="4AF2BC3E">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 xml:space="preserve">  项目改扩建前后“三本帐”一览表</w:t>
            </w:r>
          </w:p>
          <w:tbl>
            <w:tblPr>
              <w:tblStyle w:val="23"/>
              <w:tblW w:w="0" w:type="auto"/>
              <w:tblInd w:w="-8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21"/>
              <w:gridCol w:w="1004"/>
              <w:gridCol w:w="757"/>
              <w:gridCol w:w="802"/>
              <w:gridCol w:w="1020"/>
              <w:gridCol w:w="863"/>
              <w:gridCol w:w="1020"/>
              <w:gridCol w:w="1170"/>
            </w:tblGrid>
            <w:tr w14:paraId="2F057E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33" w:type="dxa"/>
                  <w:tcBorders>
                    <w:tl2br w:val="single" w:color="auto" w:sz="4" w:space="0"/>
                  </w:tcBorders>
                  <w:noWrap w:val="0"/>
                  <w:tcMar>
                    <w:left w:w="28" w:type="dxa"/>
                    <w:right w:w="28" w:type="dxa"/>
                  </w:tcMar>
                  <w:vAlign w:val="center"/>
                </w:tcPr>
                <w:p w14:paraId="359714AB">
                  <w:pPr>
                    <w:pStyle w:val="44"/>
                    <w:pageBreakBefore w:val="0"/>
                    <w:kinsoku/>
                    <w:overflowPunct/>
                    <w:topLinePunct w:val="0"/>
                    <w:bidi w:val="0"/>
                    <w:spacing w:beforeLines="0" w:afterLines="0" w:line="240" w:lineRule="auto"/>
                    <w:jc w:val="right"/>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项目</w:t>
                  </w:r>
                </w:p>
                <w:p w14:paraId="24B8C6CE">
                  <w:pPr>
                    <w:pStyle w:val="44"/>
                    <w:pageBreakBefore w:val="0"/>
                    <w:kinsoku/>
                    <w:overflowPunct/>
                    <w:topLinePunct w:val="0"/>
                    <w:bidi w:val="0"/>
                    <w:spacing w:beforeLines="0" w:afterLines="0" w:line="240" w:lineRule="auto"/>
                    <w:jc w:val="left"/>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分类</w:t>
                  </w:r>
                </w:p>
              </w:tc>
              <w:tc>
                <w:tcPr>
                  <w:tcW w:w="1021" w:type="dxa"/>
                  <w:noWrap w:val="0"/>
                  <w:tcMar>
                    <w:left w:w="28" w:type="dxa"/>
                    <w:right w:w="28" w:type="dxa"/>
                  </w:tcMar>
                  <w:vAlign w:val="center"/>
                </w:tcPr>
                <w:p w14:paraId="297DC5BB">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污染物名称</w:t>
                  </w:r>
                </w:p>
              </w:tc>
              <w:tc>
                <w:tcPr>
                  <w:tcW w:w="1004" w:type="dxa"/>
                  <w:noWrap w:val="0"/>
                  <w:tcMar>
                    <w:left w:w="28" w:type="dxa"/>
                    <w:right w:w="28" w:type="dxa"/>
                  </w:tcMar>
                  <w:vAlign w:val="center"/>
                </w:tcPr>
                <w:p w14:paraId="1C8AD483">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1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①</w:t>
                  </w:r>
                  <w:r>
                    <w:rPr>
                      <w:rFonts w:hint="default" w:ascii="Times New Roman" w:hAnsi="Times New Roman" w:eastAsia="宋体" w:cs="Times New Roman"/>
                      <w:snapToGrid w:val="0"/>
                      <w:color w:val="auto"/>
                      <w:spacing w:val="-6"/>
                      <w:kern w:val="21"/>
                      <w:sz w:val="21"/>
                      <w:szCs w:val="21"/>
                    </w:rPr>
                    <w:fldChar w:fldCharType="end"/>
                  </w:r>
                </w:p>
              </w:tc>
              <w:tc>
                <w:tcPr>
                  <w:tcW w:w="757" w:type="dxa"/>
                  <w:noWrap w:val="0"/>
                  <w:tcMar>
                    <w:left w:w="28" w:type="dxa"/>
                    <w:right w:w="28" w:type="dxa"/>
                  </w:tcMar>
                  <w:vAlign w:val="center"/>
                </w:tcPr>
                <w:p w14:paraId="68DE0890">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现有工程许可排放量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2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snapToGrid w:val="0"/>
                      <w:color w:val="auto"/>
                      <w:spacing w:val="-6"/>
                      <w:kern w:val="21"/>
                      <w:sz w:val="21"/>
                      <w:szCs w:val="21"/>
                    </w:rPr>
                    <w:t>②</w:t>
                  </w:r>
                  <w:r>
                    <w:rPr>
                      <w:rFonts w:hint="default" w:ascii="Times New Roman" w:hAnsi="Times New Roman" w:eastAsia="宋体" w:cs="Times New Roman"/>
                      <w:snapToGrid w:val="0"/>
                      <w:color w:val="auto"/>
                      <w:spacing w:val="-6"/>
                      <w:kern w:val="21"/>
                      <w:sz w:val="21"/>
                      <w:szCs w:val="21"/>
                    </w:rPr>
                    <w:fldChar w:fldCharType="end"/>
                  </w:r>
                </w:p>
              </w:tc>
              <w:tc>
                <w:tcPr>
                  <w:tcW w:w="802" w:type="dxa"/>
                  <w:noWrap w:val="0"/>
                  <w:tcMar>
                    <w:left w:w="28" w:type="dxa"/>
                    <w:right w:w="28" w:type="dxa"/>
                  </w:tcMar>
                  <w:vAlign w:val="center"/>
                </w:tcPr>
                <w:p w14:paraId="657F3988">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在建工程排放量（固体废物产生量）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3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③</w:t>
                  </w:r>
                  <w:r>
                    <w:rPr>
                      <w:rFonts w:hint="default" w:ascii="Times New Roman" w:hAnsi="Times New Roman" w:eastAsia="宋体" w:cs="Times New Roman"/>
                      <w:snapToGrid w:val="0"/>
                      <w:color w:val="auto"/>
                      <w:spacing w:val="-6"/>
                      <w:kern w:val="21"/>
                      <w:sz w:val="21"/>
                      <w:szCs w:val="21"/>
                    </w:rPr>
                    <w:fldChar w:fldCharType="end"/>
                  </w:r>
                </w:p>
              </w:tc>
              <w:tc>
                <w:tcPr>
                  <w:tcW w:w="1020" w:type="dxa"/>
                  <w:noWrap w:val="0"/>
                  <w:tcMar>
                    <w:left w:w="28" w:type="dxa"/>
                    <w:right w:w="28" w:type="dxa"/>
                  </w:tcMar>
                  <w:vAlign w:val="center"/>
                </w:tcPr>
                <w:p w14:paraId="767E4BCB">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本项目排放量（固体废物产生量）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4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④</w:t>
                  </w:r>
                  <w:r>
                    <w:rPr>
                      <w:rFonts w:hint="default" w:ascii="Times New Roman" w:hAnsi="Times New Roman" w:eastAsia="宋体" w:cs="Times New Roman"/>
                      <w:snapToGrid w:val="0"/>
                      <w:color w:val="auto"/>
                      <w:spacing w:val="-6"/>
                      <w:kern w:val="21"/>
                      <w:sz w:val="21"/>
                      <w:szCs w:val="21"/>
                    </w:rPr>
                    <w:fldChar w:fldCharType="end"/>
                  </w:r>
                </w:p>
              </w:tc>
              <w:tc>
                <w:tcPr>
                  <w:tcW w:w="863" w:type="dxa"/>
                  <w:noWrap w:val="0"/>
                  <w:tcMar>
                    <w:left w:w="28" w:type="dxa"/>
                    <w:right w:w="28" w:type="dxa"/>
                  </w:tcMar>
                  <w:vAlign w:val="center"/>
                </w:tcPr>
                <w:p w14:paraId="7432694A">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以新带老削减量（新建项目不填）</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5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⑤</w:t>
                  </w:r>
                  <w:r>
                    <w:rPr>
                      <w:rFonts w:hint="default" w:ascii="Times New Roman" w:hAnsi="Times New Roman" w:eastAsia="宋体" w:cs="Times New Roman"/>
                      <w:snapToGrid w:val="0"/>
                      <w:color w:val="auto"/>
                      <w:spacing w:val="-16"/>
                      <w:kern w:val="21"/>
                      <w:sz w:val="21"/>
                      <w:szCs w:val="21"/>
                    </w:rPr>
                    <w:fldChar w:fldCharType="end"/>
                  </w:r>
                </w:p>
              </w:tc>
              <w:tc>
                <w:tcPr>
                  <w:tcW w:w="1020" w:type="dxa"/>
                  <w:noWrap w:val="0"/>
                  <w:tcMar>
                    <w:left w:w="28" w:type="dxa"/>
                    <w:right w:w="28" w:type="dxa"/>
                  </w:tcMar>
                  <w:vAlign w:val="center"/>
                </w:tcPr>
                <w:p w14:paraId="22D81714">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本项目建成后全厂排放量（固体废物产生量）</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6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⑥</w:t>
                  </w:r>
                  <w:r>
                    <w:rPr>
                      <w:rFonts w:hint="default" w:ascii="Times New Roman" w:hAnsi="Times New Roman" w:eastAsia="宋体" w:cs="Times New Roman"/>
                      <w:snapToGrid w:val="0"/>
                      <w:color w:val="auto"/>
                      <w:spacing w:val="-16"/>
                      <w:kern w:val="21"/>
                      <w:sz w:val="21"/>
                      <w:szCs w:val="21"/>
                    </w:rPr>
                    <w:fldChar w:fldCharType="end"/>
                  </w:r>
                </w:p>
              </w:tc>
              <w:tc>
                <w:tcPr>
                  <w:tcW w:w="1170" w:type="dxa"/>
                  <w:noWrap w:val="0"/>
                  <w:tcMar>
                    <w:left w:w="28" w:type="dxa"/>
                    <w:right w:w="28" w:type="dxa"/>
                  </w:tcMar>
                  <w:vAlign w:val="center"/>
                </w:tcPr>
                <w:p w14:paraId="2F831AE7">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变化量</w:t>
                  </w:r>
                </w:p>
                <w:p w14:paraId="7C4E6A23">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7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⑦</w:t>
                  </w:r>
                  <w:r>
                    <w:rPr>
                      <w:rFonts w:hint="default" w:ascii="Times New Roman" w:hAnsi="Times New Roman" w:eastAsia="宋体" w:cs="Times New Roman"/>
                      <w:snapToGrid w:val="0"/>
                      <w:color w:val="auto"/>
                      <w:spacing w:val="-6"/>
                      <w:kern w:val="21"/>
                      <w:sz w:val="21"/>
                      <w:szCs w:val="21"/>
                    </w:rPr>
                    <w:fldChar w:fldCharType="end"/>
                  </w:r>
                </w:p>
              </w:tc>
            </w:tr>
            <w:tr w14:paraId="63F33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33" w:type="dxa"/>
                  <w:vMerge w:val="restart"/>
                  <w:noWrap w:val="0"/>
                  <w:vAlign w:val="center"/>
                </w:tcPr>
                <w:p w14:paraId="18DF3BBF">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废水</w:t>
                  </w:r>
                </w:p>
              </w:tc>
              <w:tc>
                <w:tcPr>
                  <w:tcW w:w="1021" w:type="dxa"/>
                  <w:noWrap w:val="0"/>
                  <w:vAlign w:val="center"/>
                </w:tcPr>
                <w:p w14:paraId="5C354CB3">
                  <w:pPr>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color w:val="auto"/>
                      <w:sz w:val="21"/>
                      <w:szCs w:val="21"/>
                    </w:rPr>
                    <w:t>废水量</w:t>
                  </w:r>
                  <w:r>
                    <w:rPr>
                      <w:rFonts w:hint="eastAsia" w:eastAsia="宋体" w:cs="Times New Roman"/>
                      <w:color w:val="auto"/>
                      <w:sz w:val="21"/>
                      <w:szCs w:val="21"/>
                      <w:lang w:val="en-US" w:eastAsia="zh-CN"/>
                    </w:rPr>
                    <w:t>m</w:t>
                  </w:r>
                  <w:r>
                    <w:rPr>
                      <w:rFonts w:hint="eastAsia"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rPr>
                    <w:t>/a</w:t>
                  </w:r>
                </w:p>
              </w:tc>
              <w:tc>
                <w:tcPr>
                  <w:tcW w:w="1004" w:type="dxa"/>
                  <w:noWrap w:val="0"/>
                  <w:vAlign w:val="center"/>
                </w:tcPr>
                <w:p w14:paraId="04D37CD8">
                  <w:pPr>
                    <w:jc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宋体" w:cs="Times New Roman"/>
                      <w:i w:val="0"/>
                      <w:iCs w:val="0"/>
                      <w:color w:val="auto"/>
                      <w:kern w:val="2"/>
                      <w:sz w:val="21"/>
                      <w:szCs w:val="21"/>
                      <w:u w:val="none"/>
                      <w:lang w:val="en-US" w:eastAsia="zh-CN" w:bidi="ar-SA"/>
                    </w:rPr>
                    <w:t>110</w:t>
                  </w:r>
                </w:p>
              </w:tc>
              <w:tc>
                <w:tcPr>
                  <w:tcW w:w="757" w:type="dxa"/>
                  <w:noWrap w:val="0"/>
                  <w:vAlign w:val="center"/>
                </w:tcPr>
                <w:p w14:paraId="6BD4A31E">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lang w:eastAsia="zh-CN"/>
                    </w:rPr>
                  </w:pPr>
                  <w:r>
                    <w:rPr>
                      <w:rFonts w:hint="default" w:ascii="Times New Roman" w:hAnsi="Times New Roman" w:eastAsia="宋体" w:cs="Times New Roman"/>
                      <w:snapToGrid w:val="0"/>
                      <w:color w:val="auto"/>
                      <w:kern w:val="21"/>
                      <w:sz w:val="21"/>
                      <w:szCs w:val="21"/>
                      <w:lang w:val="en-US" w:eastAsia="zh-CN"/>
                    </w:rPr>
                    <w:t>/</w:t>
                  </w:r>
                </w:p>
              </w:tc>
              <w:tc>
                <w:tcPr>
                  <w:tcW w:w="802" w:type="dxa"/>
                  <w:noWrap w:val="0"/>
                  <w:vAlign w:val="center"/>
                </w:tcPr>
                <w:p w14:paraId="6324447F">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0</w:t>
                  </w:r>
                </w:p>
              </w:tc>
              <w:tc>
                <w:tcPr>
                  <w:tcW w:w="1020" w:type="dxa"/>
                  <w:noWrap w:val="0"/>
                  <w:vAlign w:val="center"/>
                </w:tcPr>
                <w:p w14:paraId="6FD0674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362</w:t>
                  </w:r>
                </w:p>
              </w:tc>
              <w:tc>
                <w:tcPr>
                  <w:tcW w:w="863" w:type="dxa"/>
                  <w:noWrap w:val="0"/>
                  <w:vAlign w:val="center"/>
                </w:tcPr>
                <w:p w14:paraId="4AD4DD3A">
                  <w:pPr>
                    <w:pStyle w:val="44"/>
                    <w:pageBreakBefore w:val="0"/>
                    <w:kinsoku/>
                    <w:overflowPunct/>
                    <w:topLinePunct w:val="0"/>
                    <w:bidi w:val="0"/>
                    <w:spacing w:beforeLines="0" w:afterLines="0" w:line="240" w:lineRule="auto"/>
                    <w:ind w:left="0" w:leftChars="0"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7C5EF85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472</w:t>
                  </w:r>
                </w:p>
              </w:tc>
              <w:tc>
                <w:tcPr>
                  <w:tcW w:w="1170" w:type="dxa"/>
                  <w:noWrap w:val="0"/>
                  <w:vAlign w:val="center"/>
                </w:tcPr>
                <w:p w14:paraId="2E92FB95">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rPr>
                  </w:pPr>
                  <w:r>
                    <w:rPr>
                      <w:rFonts w:hint="eastAsia" w:cs="Times New Roman"/>
                      <w:i w:val="0"/>
                      <w:iCs w:val="0"/>
                      <w:color w:val="auto"/>
                      <w:kern w:val="2"/>
                      <w:sz w:val="21"/>
                      <w:szCs w:val="21"/>
                      <w:u w:val="none"/>
                      <w:lang w:val="en-US" w:eastAsia="zh-CN" w:bidi="ar-SA"/>
                    </w:rPr>
                    <w:t>+362</w:t>
                  </w:r>
                </w:p>
              </w:tc>
            </w:tr>
            <w:tr w14:paraId="43627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33" w:type="dxa"/>
                  <w:vMerge w:val="continue"/>
                  <w:noWrap w:val="0"/>
                  <w:vAlign w:val="center"/>
                </w:tcPr>
                <w:p w14:paraId="39491B22">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rPr>
                  </w:pPr>
                </w:p>
              </w:tc>
              <w:tc>
                <w:tcPr>
                  <w:tcW w:w="1021" w:type="dxa"/>
                  <w:noWrap w:val="0"/>
                  <w:vAlign w:val="center"/>
                </w:tcPr>
                <w:p w14:paraId="1B776897">
                  <w:pPr>
                    <w:jc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color w:val="auto"/>
                      <w:sz w:val="21"/>
                      <w:szCs w:val="21"/>
                    </w:rPr>
                    <w:t>化学需氧量t/a</w:t>
                  </w:r>
                </w:p>
              </w:tc>
              <w:tc>
                <w:tcPr>
                  <w:tcW w:w="1004" w:type="dxa"/>
                  <w:noWrap w:val="0"/>
                  <w:vAlign w:val="center"/>
                </w:tcPr>
                <w:p w14:paraId="700614D8">
                  <w:pPr>
                    <w:jc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0.013</w:t>
                  </w:r>
                </w:p>
              </w:tc>
              <w:tc>
                <w:tcPr>
                  <w:tcW w:w="757" w:type="dxa"/>
                  <w:noWrap w:val="0"/>
                  <w:vAlign w:val="center"/>
                </w:tcPr>
                <w:p w14:paraId="0035D120">
                  <w:pPr>
                    <w:pStyle w:val="44"/>
                    <w:pageBreakBefore w:val="0"/>
                    <w:kinsoku/>
                    <w:overflowPunct/>
                    <w:topLinePunct w:val="0"/>
                    <w:bidi w:val="0"/>
                    <w:spacing w:beforeLines="0" w:afterLines="0" w:line="240" w:lineRule="auto"/>
                    <w:ind w:left="0" w:leftChars="0"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802" w:type="dxa"/>
                  <w:noWrap w:val="0"/>
                  <w:vAlign w:val="center"/>
                </w:tcPr>
                <w:p w14:paraId="01A72B9E">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0</w:t>
                  </w:r>
                </w:p>
              </w:tc>
              <w:tc>
                <w:tcPr>
                  <w:tcW w:w="1020" w:type="dxa"/>
                  <w:noWrap w:val="0"/>
                  <w:vAlign w:val="center"/>
                </w:tcPr>
                <w:p w14:paraId="2ADF5A01">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0.1615</w:t>
                  </w:r>
                </w:p>
              </w:tc>
              <w:tc>
                <w:tcPr>
                  <w:tcW w:w="863" w:type="dxa"/>
                  <w:noWrap w:val="0"/>
                  <w:vAlign w:val="center"/>
                </w:tcPr>
                <w:p w14:paraId="7223846D">
                  <w:pPr>
                    <w:pStyle w:val="44"/>
                    <w:pageBreakBefore w:val="0"/>
                    <w:kinsoku/>
                    <w:overflowPunct/>
                    <w:topLinePunct w:val="0"/>
                    <w:bidi w:val="0"/>
                    <w:spacing w:beforeLines="0" w:afterLines="0" w:line="240" w:lineRule="auto"/>
                    <w:ind w:left="0" w:leftChars="0"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45274AF3">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cs="Times New Roman"/>
                      <w:i w:val="0"/>
                      <w:iCs w:val="0"/>
                      <w:color w:val="auto"/>
                      <w:kern w:val="0"/>
                      <w:sz w:val="21"/>
                      <w:szCs w:val="21"/>
                      <w:u w:val="none"/>
                      <w:lang w:val="en-US" w:eastAsia="zh-CN" w:bidi="ar"/>
                    </w:rPr>
                    <w:t>745</w:t>
                  </w:r>
                </w:p>
              </w:tc>
              <w:tc>
                <w:tcPr>
                  <w:tcW w:w="1170" w:type="dxa"/>
                  <w:noWrap w:val="0"/>
                  <w:vAlign w:val="center"/>
                </w:tcPr>
                <w:p w14:paraId="4BDEC783">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rPr>
                  </w:pPr>
                  <w:r>
                    <w:rPr>
                      <w:rFonts w:hint="eastAsia" w:cs="Times New Roman"/>
                      <w:snapToGrid w:val="0"/>
                      <w:color w:val="auto"/>
                      <w:kern w:val="21"/>
                      <w:sz w:val="21"/>
                      <w:szCs w:val="21"/>
                      <w:lang w:val="en-US" w:eastAsia="zh-CN"/>
                    </w:rPr>
                    <w:t>+0.1615</w:t>
                  </w:r>
                </w:p>
              </w:tc>
            </w:tr>
            <w:tr w14:paraId="206A2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33" w:type="dxa"/>
                  <w:vMerge w:val="continue"/>
                  <w:noWrap w:val="0"/>
                  <w:vAlign w:val="center"/>
                </w:tcPr>
                <w:p w14:paraId="60B55C45">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rPr>
                  </w:pPr>
                </w:p>
              </w:tc>
              <w:tc>
                <w:tcPr>
                  <w:tcW w:w="1021" w:type="dxa"/>
                  <w:noWrap w:val="0"/>
                  <w:vAlign w:val="center"/>
                </w:tcPr>
                <w:p w14:paraId="4B5667DA">
                  <w:pPr>
                    <w:jc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color w:val="auto"/>
                      <w:sz w:val="21"/>
                      <w:szCs w:val="21"/>
                    </w:rPr>
                    <w:t>氨氮t/a</w:t>
                  </w:r>
                </w:p>
              </w:tc>
              <w:tc>
                <w:tcPr>
                  <w:tcW w:w="1004" w:type="dxa"/>
                  <w:noWrap w:val="0"/>
                  <w:vAlign w:val="center"/>
                </w:tcPr>
                <w:p w14:paraId="540861B7">
                  <w:pPr>
                    <w:jc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0.0019</w:t>
                  </w:r>
                </w:p>
              </w:tc>
              <w:tc>
                <w:tcPr>
                  <w:tcW w:w="757" w:type="dxa"/>
                  <w:noWrap w:val="0"/>
                  <w:vAlign w:val="center"/>
                </w:tcPr>
                <w:p w14:paraId="20385615">
                  <w:pPr>
                    <w:pStyle w:val="44"/>
                    <w:pageBreakBefore w:val="0"/>
                    <w:kinsoku/>
                    <w:overflowPunct/>
                    <w:topLinePunct w:val="0"/>
                    <w:bidi w:val="0"/>
                    <w:spacing w:beforeLines="0" w:afterLines="0" w:line="240" w:lineRule="auto"/>
                    <w:ind w:left="0" w:leftChars="0"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802" w:type="dxa"/>
                  <w:noWrap w:val="0"/>
                  <w:vAlign w:val="center"/>
                </w:tcPr>
                <w:p w14:paraId="465C3B14">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020" w:type="dxa"/>
                  <w:noWrap w:val="0"/>
                  <w:vAlign w:val="center"/>
                </w:tcPr>
                <w:p w14:paraId="75CF56A0">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0.0</w:t>
                  </w:r>
                  <w:r>
                    <w:rPr>
                      <w:rFonts w:hint="eastAsia" w:cs="Times New Roman"/>
                      <w:snapToGrid w:val="0"/>
                      <w:color w:val="auto"/>
                      <w:kern w:val="21"/>
                      <w:sz w:val="21"/>
                      <w:szCs w:val="21"/>
                      <w:lang w:val="en-US" w:eastAsia="zh-CN"/>
                    </w:rPr>
                    <w:t>138</w:t>
                  </w:r>
                </w:p>
              </w:tc>
              <w:tc>
                <w:tcPr>
                  <w:tcW w:w="863" w:type="dxa"/>
                  <w:noWrap w:val="0"/>
                  <w:vAlign w:val="center"/>
                </w:tcPr>
                <w:p w14:paraId="55517776">
                  <w:pPr>
                    <w:pStyle w:val="44"/>
                    <w:pageBreakBefore w:val="0"/>
                    <w:kinsoku/>
                    <w:overflowPunct/>
                    <w:topLinePunct w:val="0"/>
                    <w:bidi w:val="0"/>
                    <w:spacing w:beforeLines="0" w:afterLines="0" w:line="240" w:lineRule="auto"/>
                    <w:ind w:left="0" w:leftChars="0"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209C5C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w:t>
                  </w:r>
                  <w:r>
                    <w:rPr>
                      <w:rFonts w:hint="eastAsia" w:cs="Times New Roman"/>
                      <w:i w:val="0"/>
                      <w:iCs w:val="0"/>
                      <w:color w:val="auto"/>
                      <w:kern w:val="0"/>
                      <w:sz w:val="21"/>
                      <w:szCs w:val="21"/>
                      <w:u w:val="none"/>
                      <w:lang w:val="en-US" w:eastAsia="zh-CN" w:bidi="ar"/>
                    </w:rPr>
                    <w:t>57</w:t>
                  </w:r>
                </w:p>
              </w:tc>
              <w:tc>
                <w:tcPr>
                  <w:tcW w:w="1170" w:type="dxa"/>
                  <w:noWrap w:val="0"/>
                  <w:vAlign w:val="center"/>
                </w:tcPr>
                <w:p w14:paraId="4F5E8759">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w:t>
                  </w:r>
                  <w:r>
                    <w:rPr>
                      <w:rFonts w:hint="eastAsia" w:eastAsia="宋体" w:cs="Times New Roman"/>
                      <w:snapToGrid w:val="0"/>
                      <w:color w:val="auto"/>
                      <w:kern w:val="21"/>
                      <w:sz w:val="21"/>
                      <w:szCs w:val="21"/>
                      <w:lang w:val="en-US" w:eastAsia="zh-CN"/>
                    </w:rPr>
                    <w:t>0.0</w:t>
                  </w:r>
                  <w:r>
                    <w:rPr>
                      <w:rFonts w:hint="eastAsia" w:cs="Times New Roman"/>
                      <w:snapToGrid w:val="0"/>
                      <w:color w:val="auto"/>
                      <w:kern w:val="21"/>
                      <w:sz w:val="21"/>
                      <w:szCs w:val="21"/>
                      <w:lang w:val="en-US" w:eastAsia="zh-CN"/>
                    </w:rPr>
                    <w:t>138</w:t>
                  </w:r>
                </w:p>
              </w:tc>
            </w:tr>
            <w:tr w14:paraId="4F178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33" w:type="dxa"/>
                  <w:vMerge w:val="continue"/>
                  <w:noWrap w:val="0"/>
                  <w:vAlign w:val="center"/>
                </w:tcPr>
                <w:p w14:paraId="201C3229">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rPr>
                  </w:pPr>
                </w:p>
              </w:tc>
              <w:tc>
                <w:tcPr>
                  <w:tcW w:w="1021" w:type="dxa"/>
                  <w:noWrap w:val="0"/>
                  <w:vAlign w:val="center"/>
                </w:tcPr>
                <w:p w14:paraId="2D42A4E1">
                  <w:pPr>
                    <w:jc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color w:val="auto"/>
                      <w:sz w:val="21"/>
                      <w:szCs w:val="21"/>
                    </w:rPr>
                    <w:t>总磷</w:t>
                  </w:r>
                </w:p>
              </w:tc>
              <w:tc>
                <w:tcPr>
                  <w:tcW w:w="1004" w:type="dxa"/>
                  <w:noWrap w:val="0"/>
                  <w:vAlign w:val="center"/>
                </w:tcPr>
                <w:p w14:paraId="2BDA7CA3">
                  <w:pPr>
                    <w:jc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0.0003</w:t>
                  </w:r>
                </w:p>
              </w:tc>
              <w:tc>
                <w:tcPr>
                  <w:tcW w:w="757" w:type="dxa"/>
                  <w:noWrap w:val="0"/>
                  <w:vAlign w:val="center"/>
                </w:tcPr>
                <w:p w14:paraId="62F512B5">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802" w:type="dxa"/>
                  <w:noWrap w:val="0"/>
                  <w:vAlign w:val="center"/>
                </w:tcPr>
                <w:p w14:paraId="6BAF49DD">
                  <w:pPr>
                    <w:pStyle w:val="44"/>
                    <w:pageBreakBefore w:val="0"/>
                    <w:kinsoku/>
                    <w:overflowPunct/>
                    <w:topLinePunct w:val="0"/>
                    <w:bidi w:val="0"/>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020" w:type="dxa"/>
                  <w:noWrap w:val="0"/>
                  <w:vAlign w:val="center"/>
                </w:tcPr>
                <w:p w14:paraId="4F3FB327">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0.001</w:t>
                  </w:r>
                  <w:r>
                    <w:rPr>
                      <w:rFonts w:hint="eastAsia" w:cs="Times New Roman"/>
                      <w:snapToGrid w:val="0"/>
                      <w:color w:val="auto"/>
                      <w:kern w:val="21"/>
                      <w:sz w:val="21"/>
                      <w:szCs w:val="21"/>
                      <w:lang w:val="en-US" w:eastAsia="zh-CN"/>
                    </w:rPr>
                    <w:t>5</w:t>
                  </w:r>
                </w:p>
              </w:tc>
              <w:tc>
                <w:tcPr>
                  <w:tcW w:w="863" w:type="dxa"/>
                  <w:noWrap w:val="0"/>
                  <w:vAlign w:val="center"/>
                </w:tcPr>
                <w:p w14:paraId="6D800EE6">
                  <w:pPr>
                    <w:pStyle w:val="44"/>
                    <w:pageBreakBefore w:val="0"/>
                    <w:kinsoku/>
                    <w:overflowPunct/>
                    <w:topLinePunct w:val="0"/>
                    <w:bidi w:val="0"/>
                    <w:spacing w:beforeLines="0" w:afterLines="0" w:line="240" w:lineRule="auto"/>
                    <w:ind w:left="0" w:leftChars="0"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55291A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0.0018</w:t>
                  </w:r>
                </w:p>
              </w:tc>
              <w:tc>
                <w:tcPr>
                  <w:tcW w:w="1170" w:type="dxa"/>
                  <w:noWrap w:val="0"/>
                  <w:vAlign w:val="center"/>
                </w:tcPr>
                <w:p w14:paraId="70978A6B">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w:t>
                  </w:r>
                  <w:r>
                    <w:rPr>
                      <w:rFonts w:hint="eastAsia" w:eastAsia="宋体" w:cs="Times New Roman"/>
                      <w:snapToGrid w:val="0"/>
                      <w:color w:val="auto"/>
                      <w:kern w:val="21"/>
                      <w:sz w:val="21"/>
                      <w:szCs w:val="21"/>
                      <w:lang w:val="en-US" w:eastAsia="zh-CN"/>
                    </w:rPr>
                    <w:t>0.001</w:t>
                  </w:r>
                  <w:r>
                    <w:rPr>
                      <w:rFonts w:hint="eastAsia" w:cs="Times New Roman"/>
                      <w:snapToGrid w:val="0"/>
                      <w:color w:val="auto"/>
                      <w:kern w:val="21"/>
                      <w:sz w:val="21"/>
                      <w:szCs w:val="21"/>
                      <w:lang w:val="en-US" w:eastAsia="zh-CN"/>
                    </w:rPr>
                    <w:t>5</w:t>
                  </w:r>
                </w:p>
              </w:tc>
            </w:tr>
            <w:tr w14:paraId="2D888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33" w:type="dxa"/>
                  <w:noWrap w:val="0"/>
                  <w:vAlign w:val="center"/>
                </w:tcPr>
                <w:p w14:paraId="05E45913">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生产固废</w:t>
                  </w:r>
                </w:p>
              </w:tc>
              <w:tc>
                <w:tcPr>
                  <w:tcW w:w="1021" w:type="dxa"/>
                  <w:noWrap w:val="0"/>
                  <w:vAlign w:val="center"/>
                </w:tcPr>
                <w:p w14:paraId="56F54678">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rPr>
                    <w:t>危险废物</w:t>
                  </w:r>
                  <w:r>
                    <w:rPr>
                      <w:rFonts w:hint="default" w:ascii="Times New Roman" w:hAnsi="Times New Roman" w:eastAsia="宋体" w:cs="Times New Roman"/>
                      <w:snapToGrid w:val="0"/>
                      <w:color w:val="auto"/>
                      <w:kern w:val="21"/>
                      <w:sz w:val="21"/>
                      <w:szCs w:val="21"/>
                      <w:lang w:eastAsia="zh-CN"/>
                    </w:rPr>
                    <w:t>（</w:t>
                  </w:r>
                  <w:r>
                    <w:rPr>
                      <w:rFonts w:hint="default" w:ascii="Times New Roman" w:hAnsi="Times New Roman" w:eastAsia="宋体" w:cs="Times New Roman"/>
                      <w:snapToGrid w:val="0"/>
                      <w:color w:val="auto"/>
                      <w:kern w:val="21"/>
                      <w:sz w:val="21"/>
                      <w:szCs w:val="21"/>
                      <w:lang w:val="en-US" w:eastAsia="zh-CN"/>
                    </w:rPr>
                    <w:t>t/a</w:t>
                  </w:r>
                  <w:r>
                    <w:rPr>
                      <w:rFonts w:hint="default" w:ascii="Times New Roman" w:hAnsi="Times New Roman" w:eastAsia="宋体" w:cs="Times New Roman"/>
                      <w:snapToGrid w:val="0"/>
                      <w:color w:val="auto"/>
                      <w:kern w:val="21"/>
                      <w:sz w:val="21"/>
                      <w:szCs w:val="21"/>
                      <w:lang w:eastAsia="zh-CN"/>
                    </w:rPr>
                    <w:t>）</w:t>
                  </w:r>
                </w:p>
              </w:tc>
              <w:tc>
                <w:tcPr>
                  <w:tcW w:w="1004" w:type="dxa"/>
                  <w:noWrap w:val="0"/>
                  <w:vAlign w:val="center"/>
                </w:tcPr>
                <w:p w14:paraId="40BC8826">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0.6</w:t>
                  </w:r>
                </w:p>
              </w:tc>
              <w:tc>
                <w:tcPr>
                  <w:tcW w:w="757" w:type="dxa"/>
                  <w:noWrap w:val="0"/>
                  <w:vAlign w:val="center"/>
                </w:tcPr>
                <w:p w14:paraId="19D3B5E4">
                  <w:pPr>
                    <w:keepNext w:val="0"/>
                    <w:keepLines w:val="0"/>
                    <w:pageBreakBefore w:val="0"/>
                    <w:widowControl/>
                    <w:suppressLineNumbers w:val="0"/>
                    <w:kinsoku/>
                    <w:overflowPunct/>
                    <w:topLinePunct w:val="0"/>
                    <w:bidi w:val="0"/>
                    <w:jc w:val="center"/>
                    <w:textAlignment w:val="center"/>
                    <w:rPr>
                      <w:rFonts w:hint="eastAsia"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w:t>
                  </w:r>
                </w:p>
              </w:tc>
              <w:tc>
                <w:tcPr>
                  <w:tcW w:w="802" w:type="dxa"/>
                  <w:noWrap w:val="0"/>
                  <w:vAlign w:val="center"/>
                </w:tcPr>
                <w:p w14:paraId="50199014">
                  <w:pPr>
                    <w:pStyle w:val="44"/>
                    <w:pageBreakBefore w:val="0"/>
                    <w:kinsoku/>
                    <w:overflowPunct/>
                    <w:topLinePunct w:val="0"/>
                    <w:bidi w:val="0"/>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0</w:t>
                  </w:r>
                </w:p>
              </w:tc>
              <w:tc>
                <w:tcPr>
                  <w:tcW w:w="1020" w:type="dxa"/>
                  <w:noWrap w:val="0"/>
                  <w:vAlign w:val="center"/>
                </w:tcPr>
                <w:p w14:paraId="0DCE6B13">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0.5</w:t>
                  </w:r>
                </w:p>
              </w:tc>
              <w:tc>
                <w:tcPr>
                  <w:tcW w:w="863" w:type="dxa"/>
                  <w:noWrap w:val="0"/>
                  <w:vAlign w:val="center"/>
                </w:tcPr>
                <w:p w14:paraId="0606743B">
                  <w:pPr>
                    <w:pStyle w:val="44"/>
                    <w:pageBreakBefore w:val="0"/>
                    <w:kinsoku/>
                    <w:overflowPunct/>
                    <w:topLinePunct w:val="0"/>
                    <w:bidi w:val="0"/>
                    <w:spacing w:beforeLines="0" w:afterLines="0" w:line="240" w:lineRule="auto"/>
                    <w:ind w:left="0" w:leftChars="0"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398C8237">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1.1</w:t>
                  </w:r>
                </w:p>
              </w:tc>
              <w:tc>
                <w:tcPr>
                  <w:tcW w:w="1170" w:type="dxa"/>
                  <w:noWrap w:val="0"/>
                  <w:vAlign w:val="center"/>
                </w:tcPr>
                <w:p w14:paraId="269B7E99">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+0.5</w:t>
                  </w:r>
                </w:p>
              </w:tc>
            </w:tr>
            <w:tr w14:paraId="6C99D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3" w:type="dxa"/>
                  <w:noWrap w:val="0"/>
                  <w:vAlign w:val="center"/>
                </w:tcPr>
                <w:p w14:paraId="4516B420">
                  <w:pPr>
                    <w:pStyle w:val="44"/>
                    <w:pageBreakBefore w:val="0"/>
                    <w:kinsoku/>
                    <w:overflowPunct/>
                    <w:topLinePunct w:val="0"/>
                    <w:bidi w:val="0"/>
                    <w:spacing w:beforeLines="0" w:afterLines="0" w:line="240" w:lineRule="auto"/>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生活垃圾</w:t>
                  </w:r>
                </w:p>
              </w:tc>
              <w:tc>
                <w:tcPr>
                  <w:tcW w:w="1021" w:type="dxa"/>
                  <w:noWrap w:val="0"/>
                  <w:vAlign w:val="center"/>
                </w:tcPr>
                <w:p w14:paraId="2D761B48">
                  <w:pPr>
                    <w:pStyle w:val="44"/>
                    <w:pageBreakBefore w:val="0"/>
                    <w:kinsoku/>
                    <w:overflowPunct/>
                    <w:topLinePunct w:val="0"/>
                    <w:bidi w:val="0"/>
                    <w:spacing w:beforeLines="0" w:afterLines="0"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员工生活</w:t>
                  </w:r>
                  <w:r>
                    <w:rPr>
                      <w:rFonts w:hint="default" w:ascii="Times New Roman" w:hAnsi="Times New Roman" w:eastAsia="宋体" w:cs="Times New Roman"/>
                      <w:snapToGrid w:val="0"/>
                      <w:color w:val="auto"/>
                      <w:kern w:val="21"/>
                      <w:sz w:val="21"/>
                      <w:szCs w:val="21"/>
                      <w:lang w:eastAsia="zh-CN"/>
                    </w:rPr>
                    <w:t>（</w:t>
                  </w:r>
                  <w:r>
                    <w:rPr>
                      <w:rFonts w:hint="default" w:ascii="Times New Roman" w:hAnsi="Times New Roman" w:eastAsia="宋体" w:cs="Times New Roman"/>
                      <w:snapToGrid w:val="0"/>
                      <w:color w:val="auto"/>
                      <w:kern w:val="21"/>
                      <w:sz w:val="21"/>
                      <w:szCs w:val="21"/>
                      <w:lang w:val="en-US" w:eastAsia="zh-CN"/>
                    </w:rPr>
                    <w:t>t/a</w:t>
                  </w:r>
                  <w:r>
                    <w:rPr>
                      <w:rFonts w:hint="default" w:ascii="Times New Roman" w:hAnsi="Times New Roman" w:eastAsia="宋体" w:cs="Times New Roman"/>
                      <w:snapToGrid w:val="0"/>
                      <w:color w:val="auto"/>
                      <w:kern w:val="21"/>
                      <w:sz w:val="21"/>
                      <w:szCs w:val="21"/>
                      <w:lang w:eastAsia="zh-CN"/>
                    </w:rPr>
                    <w:t>）</w:t>
                  </w:r>
                </w:p>
              </w:tc>
              <w:tc>
                <w:tcPr>
                  <w:tcW w:w="1004" w:type="dxa"/>
                  <w:noWrap w:val="0"/>
                  <w:vAlign w:val="center"/>
                </w:tcPr>
                <w:p w14:paraId="32D5C4ED">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1.25</w:t>
                  </w:r>
                </w:p>
              </w:tc>
              <w:tc>
                <w:tcPr>
                  <w:tcW w:w="757" w:type="dxa"/>
                  <w:noWrap w:val="0"/>
                  <w:vAlign w:val="center"/>
                </w:tcPr>
                <w:p w14:paraId="23564CEA">
                  <w:pPr>
                    <w:pStyle w:val="44"/>
                    <w:pageBreakBefore w:val="0"/>
                    <w:kinsoku/>
                    <w:overflowPunct/>
                    <w:topLinePunct w:val="0"/>
                    <w:bidi w:val="0"/>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802" w:type="dxa"/>
                  <w:noWrap w:val="0"/>
                  <w:vAlign w:val="center"/>
                </w:tcPr>
                <w:p w14:paraId="4E1B0F58">
                  <w:pPr>
                    <w:pStyle w:val="44"/>
                    <w:pageBreakBefore w:val="0"/>
                    <w:kinsoku/>
                    <w:overflowPunct/>
                    <w:topLinePunct w:val="0"/>
                    <w:bidi w:val="0"/>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0</w:t>
                  </w:r>
                </w:p>
              </w:tc>
              <w:tc>
                <w:tcPr>
                  <w:tcW w:w="1020" w:type="dxa"/>
                  <w:noWrap w:val="0"/>
                  <w:vAlign w:val="center"/>
                </w:tcPr>
                <w:p w14:paraId="3A4E20AC">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2.5</w:t>
                  </w:r>
                </w:p>
              </w:tc>
              <w:tc>
                <w:tcPr>
                  <w:tcW w:w="863" w:type="dxa"/>
                  <w:noWrap w:val="0"/>
                  <w:vAlign w:val="center"/>
                </w:tcPr>
                <w:p w14:paraId="1A1378F4">
                  <w:pPr>
                    <w:pStyle w:val="44"/>
                    <w:pageBreakBefore w:val="0"/>
                    <w:kinsoku/>
                    <w:overflowPunct/>
                    <w:topLinePunct w:val="0"/>
                    <w:bidi w:val="0"/>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lang w:val="en-US" w:eastAsia="zh-CN"/>
                    </w:rPr>
                  </w:pPr>
                  <w:r>
                    <w:rPr>
                      <w:rFonts w:hint="eastAsia" w:ascii="Times New Roman" w:eastAsia="宋体" w:cs="Times New Roman"/>
                      <w:snapToGrid w:val="0"/>
                      <w:color w:val="auto"/>
                      <w:kern w:val="21"/>
                      <w:sz w:val="21"/>
                      <w:szCs w:val="21"/>
                      <w:lang w:val="en-US" w:eastAsia="zh-CN"/>
                    </w:rPr>
                    <w:t>/</w:t>
                  </w:r>
                </w:p>
              </w:tc>
              <w:tc>
                <w:tcPr>
                  <w:tcW w:w="1020" w:type="dxa"/>
                  <w:noWrap w:val="0"/>
                  <w:vAlign w:val="center"/>
                </w:tcPr>
                <w:p w14:paraId="12CF0BE4">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3.75</w:t>
                  </w:r>
                </w:p>
              </w:tc>
              <w:tc>
                <w:tcPr>
                  <w:tcW w:w="1170" w:type="dxa"/>
                  <w:noWrap w:val="0"/>
                  <w:vAlign w:val="center"/>
                </w:tcPr>
                <w:p w14:paraId="334F5FB6">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eastAsia="宋体" w:cs="Times New Roman"/>
                      <w:snapToGrid w:val="0"/>
                      <w:color w:val="auto"/>
                      <w:kern w:val="21"/>
                      <w:sz w:val="21"/>
                      <w:szCs w:val="21"/>
                      <w:lang w:val="en-US" w:eastAsia="zh-CN"/>
                    </w:rPr>
                    <w:t>+2.5</w:t>
                  </w:r>
                </w:p>
              </w:tc>
            </w:tr>
          </w:tbl>
          <w:p w14:paraId="75A12715">
            <w:pPr>
              <w:pStyle w:val="3"/>
              <w:rPr>
                <w:color w:val="auto"/>
              </w:rPr>
            </w:pPr>
          </w:p>
        </w:tc>
      </w:tr>
    </w:tbl>
    <w:p w14:paraId="316329E8">
      <w:pPr>
        <w:rPr>
          <w:rFonts w:eastAsia="宋体"/>
          <w:color w:val="auto"/>
        </w:rPr>
      </w:pPr>
      <w:bookmarkStart w:id="53" w:name="_Toc18351"/>
      <w:bookmarkStart w:id="54" w:name="_Toc6431"/>
      <w:bookmarkStart w:id="55" w:name="_Toc23538"/>
      <w:r>
        <w:rPr>
          <w:rFonts w:eastAsia="宋体"/>
          <w:color w:val="auto"/>
        </w:rPr>
        <w:br w:type="page"/>
      </w:r>
    </w:p>
    <w:bookmarkEnd w:id="53"/>
    <w:bookmarkEnd w:id="54"/>
    <w:bookmarkEnd w:id="55"/>
    <w:p w14:paraId="632559C4">
      <w:pPr>
        <w:pStyle w:val="4"/>
        <w:rPr>
          <w:rFonts w:eastAsia="宋体"/>
          <w:color w:val="auto"/>
        </w:rPr>
      </w:pPr>
      <w:bookmarkStart w:id="56" w:name="_Toc7771"/>
      <w:bookmarkStart w:id="57" w:name="_Toc27799"/>
      <w:bookmarkStart w:id="58" w:name="_Toc24012"/>
      <w:r>
        <w:rPr>
          <w:rFonts w:eastAsia="宋体"/>
          <w:color w:val="auto"/>
        </w:rPr>
        <w:t>五、</w:t>
      </w:r>
      <w:bookmarkStart w:id="59" w:name="_Hlk54167917"/>
      <w:r>
        <w:rPr>
          <w:rFonts w:eastAsia="宋体"/>
          <w:color w:val="auto"/>
        </w:rPr>
        <w:t>环境保护措施监督检查清单</w:t>
      </w:r>
      <w:bookmarkEnd w:id="59"/>
    </w:p>
    <w:tbl>
      <w:tblPr>
        <w:tblStyle w:val="23"/>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1536"/>
        <w:gridCol w:w="1562"/>
        <w:gridCol w:w="2249"/>
        <w:gridCol w:w="2062"/>
      </w:tblGrid>
      <w:tr w14:paraId="15A6F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 w:type="pct"/>
            <w:tcBorders>
              <w:tl2br w:val="single" w:color="auto" w:sz="4" w:space="0"/>
            </w:tcBorders>
            <w:vAlign w:val="center"/>
          </w:tcPr>
          <w:p w14:paraId="179D943E">
            <w:pPr>
              <w:spacing w:line="360" w:lineRule="auto"/>
              <w:jc w:val="right"/>
              <w:rPr>
                <w:b/>
                <w:bCs/>
                <w:color w:val="auto"/>
                <w:sz w:val="21"/>
                <w:szCs w:val="21"/>
              </w:rPr>
            </w:pPr>
            <w:r>
              <w:rPr>
                <w:b/>
                <w:bCs/>
                <w:color w:val="auto"/>
                <w:sz w:val="21"/>
                <w:szCs w:val="21"/>
              </w:rPr>
              <w:t>内容</w:t>
            </w:r>
          </w:p>
          <w:p w14:paraId="2A86FD3E">
            <w:pPr>
              <w:spacing w:line="360" w:lineRule="auto"/>
              <w:jc w:val="left"/>
              <w:rPr>
                <w:b/>
                <w:bCs/>
                <w:color w:val="auto"/>
                <w:sz w:val="21"/>
                <w:szCs w:val="21"/>
              </w:rPr>
            </w:pPr>
            <w:r>
              <w:rPr>
                <w:b/>
                <w:bCs/>
                <w:color w:val="auto"/>
                <w:sz w:val="21"/>
                <w:szCs w:val="21"/>
              </w:rPr>
              <w:t>要素</w:t>
            </w:r>
          </w:p>
        </w:tc>
        <w:tc>
          <w:tcPr>
            <w:tcW w:w="881" w:type="pct"/>
            <w:vAlign w:val="center"/>
          </w:tcPr>
          <w:p w14:paraId="555CFB94">
            <w:pPr>
              <w:spacing w:line="360" w:lineRule="auto"/>
              <w:jc w:val="center"/>
              <w:rPr>
                <w:b/>
                <w:bCs/>
                <w:color w:val="auto"/>
                <w:sz w:val="21"/>
                <w:szCs w:val="21"/>
              </w:rPr>
            </w:pPr>
            <w:r>
              <w:rPr>
                <w:b/>
                <w:bCs/>
                <w:color w:val="auto"/>
                <w:sz w:val="21"/>
                <w:szCs w:val="21"/>
              </w:rPr>
              <w:t>排放口(编号、名称)/污染源</w:t>
            </w:r>
          </w:p>
        </w:tc>
        <w:tc>
          <w:tcPr>
            <w:tcW w:w="896" w:type="pct"/>
            <w:vAlign w:val="center"/>
          </w:tcPr>
          <w:p w14:paraId="6F7A6238">
            <w:pPr>
              <w:spacing w:line="360" w:lineRule="auto"/>
              <w:jc w:val="center"/>
              <w:rPr>
                <w:b/>
                <w:bCs/>
                <w:color w:val="auto"/>
                <w:sz w:val="21"/>
                <w:szCs w:val="21"/>
              </w:rPr>
            </w:pPr>
            <w:r>
              <w:rPr>
                <w:b/>
                <w:bCs/>
                <w:color w:val="auto"/>
                <w:sz w:val="21"/>
                <w:szCs w:val="21"/>
              </w:rPr>
              <w:t>污染物项目</w:t>
            </w:r>
          </w:p>
        </w:tc>
        <w:tc>
          <w:tcPr>
            <w:tcW w:w="1290" w:type="pct"/>
            <w:vAlign w:val="center"/>
          </w:tcPr>
          <w:p w14:paraId="70097475">
            <w:pPr>
              <w:spacing w:line="360" w:lineRule="auto"/>
              <w:jc w:val="center"/>
              <w:rPr>
                <w:b/>
                <w:bCs/>
                <w:color w:val="auto"/>
                <w:sz w:val="21"/>
                <w:szCs w:val="21"/>
              </w:rPr>
            </w:pPr>
            <w:r>
              <w:rPr>
                <w:b/>
                <w:bCs/>
                <w:color w:val="auto"/>
                <w:sz w:val="21"/>
                <w:szCs w:val="21"/>
              </w:rPr>
              <w:t>环境保护措施</w:t>
            </w:r>
          </w:p>
        </w:tc>
        <w:tc>
          <w:tcPr>
            <w:tcW w:w="1181" w:type="pct"/>
            <w:vAlign w:val="center"/>
          </w:tcPr>
          <w:p w14:paraId="5FBAAA2C">
            <w:pPr>
              <w:spacing w:line="360" w:lineRule="auto"/>
              <w:jc w:val="center"/>
              <w:rPr>
                <w:b/>
                <w:bCs/>
                <w:color w:val="auto"/>
                <w:sz w:val="21"/>
                <w:szCs w:val="21"/>
              </w:rPr>
            </w:pPr>
            <w:r>
              <w:rPr>
                <w:b/>
                <w:bCs/>
                <w:color w:val="auto"/>
                <w:sz w:val="21"/>
                <w:szCs w:val="21"/>
              </w:rPr>
              <w:t>执行标准</w:t>
            </w:r>
          </w:p>
        </w:tc>
      </w:tr>
      <w:tr w14:paraId="78E52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 w:type="pct"/>
            <w:vAlign w:val="center"/>
          </w:tcPr>
          <w:p w14:paraId="70580F73">
            <w:pPr>
              <w:spacing w:line="360" w:lineRule="auto"/>
              <w:jc w:val="center"/>
              <w:rPr>
                <w:color w:val="auto"/>
                <w:sz w:val="21"/>
                <w:szCs w:val="21"/>
              </w:rPr>
            </w:pPr>
            <w:r>
              <w:rPr>
                <w:color w:val="auto"/>
                <w:sz w:val="21"/>
                <w:szCs w:val="21"/>
              </w:rPr>
              <w:t>大气环境</w:t>
            </w:r>
          </w:p>
        </w:tc>
        <w:tc>
          <w:tcPr>
            <w:tcW w:w="881" w:type="pct"/>
            <w:vAlign w:val="center"/>
          </w:tcPr>
          <w:p w14:paraId="69E086BD">
            <w:pPr>
              <w:spacing w:line="360" w:lineRule="auto"/>
              <w:jc w:val="center"/>
              <w:rPr>
                <w:color w:val="auto"/>
                <w:sz w:val="21"/>
                <w:szCs w:val="21"/>
              </w:rPr>
            </w:pPr>
            <w:r>
              <w:rPr>
                <w:color w:val="auto"/>
                <w:sz w:val="21"/>
                <w:szCs w:val="21"/>
              </w:rPr>
              <w:t>运输车辆</w:t>
            </w:r>
          </w:p>
        </w:tc>
        <w:tc>
          <w:tcPr>
            <w:tcW w:w="896" w:type="pct"/>
            <w:vAlign w:val="center"/>
          </w:tcPr>
          <w:p w14:paraId="19C06C69">
            <w:pPr>
              <w:spacing w:line="360" w:lineRule="auto"/>
              <w:jc w:val="center"/>
              <w:rPr>
                <w:color w:val="auto"/>
                <w:sz w:val="21"/>
                <w:szCs w:val="21"/>
              </w:rPr>
            </w:pPr>
            <w:r>
              <w:rPr>
                <w:color w:val="auto"/>
                <w:sz w:val="21"/>
                <w:szCs w:val="21"/>
              </w:rPr>
              <w:t>车辆尾气及行驶过程扬尘</w:t>
            </w:r>
          </w:p>
        </w:tc>
        <w:tc>
          <w:tcPr>
            <w:tcW w:w="1290" w:type="pct"/>
            <w:vAlign w:val="center"/>
          </w:tcPr>
          <w:p w14:paraId="455BBAB2">
            <w:pPr>
              <w:spacing w:line="360" w:lineRule="auto"/>
              <w:jc w:val="center"/>
              <w:rPr>
                <w:color w:val="auto"/>
                <w:sz w:val="21"/>
                <w:szCs w:val="21"/>
              </w:rPr>
            </w:pPr>
            <w:r>
              <w:rPr>
                <w:color w:val="auto"/>
                <w:sz w:val="21"/>
                <w:szCs w:val="21"/>
              </w:rPr>
              <w:t>对车辆进场道路及时清扫，以降低道路地面扬尘；对运输道路进行定时洒水降尘；在库区四周设置绿化带，并以种植阔叶树为主</w:t>
            </w:r>
          </w:p>
        </w:tc>
        <w:tc>
          <w:tcPr>
            <w:tcW w:w="1181" w:type="pct"/>
            <w:vAlign w:val="center"/>
          </w:tcPr>
          <w:p w14:paraId="050B7F46">
            <w:pPr>
              <w:spacing w:line="360" w:lineRule="auto"/>
              <w:jc w:val="center"/>
              <w:rPr>
                <w:color w:val="auto"/>
                <w:sz w:val="21"/>
                <w:szCs w:val="21"/>
              </w:rPr>
            </w:pPr>
            <w:r>
              <w:rPr>
                <w:color w:val="auto"/>
                <w:sz w:val="21"/>
                <w:szCs w:val="21"/>
              </w:rPr>
              <w:t>《大气污染物综合排放标准》（GB16297-1996）中表2中无组织排放监控浓度限值，即颗粒物，≤1.0mg/m</w:t>
            </w:r>
            <w:r>
              <w:rPr>
                <w:color w:val="auto"/>
                <w:sz w:val="21"/>
                <w:szCs w:val="21"/>
                <w:vertAlign w:val="superscript"/>
              </w:rPr>
              <w:t>3</w:t>
            </w:r>
          </w:p>
        </w:tc>
      </w:tr>
      <w:tr w14:paraId="179C3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 w:type="pct"/>
            <w:vAlign w:val="center"/>
          </w:tcPr>
          <w:p w14:paraId="4738E62D">
            <w:pPr>
              <w:spacing w:line="360" w:lineRule="auto"/>
              <w:jc w:val="center"/>
              <w:rPr>
                <w:color w:val="auto"/>
                <w:sz w:val="21"/>
                <w:szCs w:val="21"/>
              </w:rPr>
            </w:pPr>
            <w:r>
              <w:rPr>
                <w:color w:val="auto"/>
                <w:sz w:val="21"/>
                <w:szCs w:val="21"/>
              </w:rPr>
              <w:t>地表水环境</w:t>
            </w:r>
          </w:p>
        </w:tc>
        <w:tc>
          <w:tcPr>
            <w:tcW w:w="881" w:type="pct"/>
            <w:vAlign w:val="center"/>
          </w:tcPr>
          <w:p w14:paraId="342CEF57">
            <w:pPr>
              <w:spacing w:line="360" w:lineRule="auto"/>
              <w:jc w:val="center"/>
              <w:rPr>
                <w:color w:val="auto"/>
                <w:sz w:val="21"/>
                <w:szCs w:val="21"/>
              </w:rPr>
            </w:pPr>
            <w:r>
              <w:rPr>
                <w:color w:val="auto"/>
                <w:sz w:val="21"/>
                <w:szCs w:val="21"/>
              </w:rPr>
              <w:t>员工办公生活</w:t>
            </w:r>
          </w:p>
        </w:tc>
        <w:tc>
          <w:tcPr>
            <w:tcW w:w="896" w:type="pct"/>
            <w:vAlign w:val="center"/>
          </w:tcPr>
          <w:p w14:paraId="674B15C8">
            <w:pPr>
              <w:spacing w:line="360" w:lineRule="auto"/>
              <w:jc w:val="center"/>
              <w:rPr>
                <w:color w:val="auto"/>
                <w:sz w:val="21"/>
                <w:szCs w:val="21"/>
              </w:rPr>
            </w:pPr>
            <w:r>
              <w:rPr>
                <w:color w:val="auto"/>
                <w:sz w:val="21"/>
                <w:szCs w:val="21"/>
              </w:rPr>
              <w:t>生活废水</w:t>
            </w:r>
          </w:p>
        </w:tc>
        <w:tc>
          <w:tcPr>
            <w:tcW w:w="1290" w:type="pct"/>
            <w:vAlign w:val="center"/>
          </w:tcPr>
          <w:p w14:paraId="6E71AC31">
            <w:pPr>
              <w:spacing w:line="360" w:lineRule="auto"/>
              <w:jc w:val="center"/>
              <w:rPr>
                <w:color w:val="auto"/>
                <w:sz w:val="21"/>
                <w:szCs w:val="21"/>
              </w:rPr>
            </w:pPr>
            <w:r>
              <w:rPr>
                <w:color w:val="auto"/>
                <w:sz w:val="21"/>
                <w:szCs w:val="21"/>
              </w:rPr>
              <w:t>排入化粪池后委托</w:t>
            </w:r>
            <w:r>
              <w:rPr>
                <w:rFonts w:hint="eastAsia"/>
                <w:color w:val="auto"/>
                <w:sz w:val="21"/>
                <w:szCs w:val="21"/>
              </w:rPr>
              <w:t>寻甸县</w:t>
            </w:r>
            <w:r>
              <w:rPr>
                <w:color w:val="auto"/>
                <w:sz w:val="21"/>
                <w:szCs w:val="21"/>
              </w:rPr>
              <w:t>环卫部门</w:t>
            </w:r>
            <w:r>
              <w:rPr>
                <w:rFonts w:hint="eastAsia"/>
                <w:color w:val="auto"/>
                <w:sz w:val="21"/>
                <w:szCs w:val="21"/>
                <w:lang w:val="en-US" w:eastAsia="zh-CN"/>
              </w:rPr>
              <w:t>15天</w:t>
            </w:r>
            <w:r>
              <w:rPr>
                <w:color w:val="auto"/>
                <w:sz w:val="21"/>
                <w:szCs w:val="21"/>
              </w:rPr>
              <w:t>抽运一次</w:t>
            </w:r>
            <w:r>
              <w:rPr>
                <w:rFonts w:hint="eastAsia"/>
                <w:color w:val="auto"/>
                <w:sz w:val="21"/>
                <w:szCs w:val="21"/>
              </w:rPr>
              <w:t>，运至寻甸县污水处理厂处理，不外排</w:t>
            </w:r>
          </w:p>
        </w:tc>
        <w:tc>
          <w:tcPr>
            <w:tcW w:w="1181" w:type="pct"/>
            <w:vAlign w:val="center"/>
          </w:tcPr>
          <w:p w14:paraId="1A85E71D">
            <w:pPr>
              <w:spacing w:line="360" w:lineRule="auto"/>
              <w:jc w:val="center"/>
              <w:rPr>
                <w:color w:val="auto"/>
                <w:sz w:val="21"/>
                <w:szCs w:val="21"/>
              </w:rPr>
            </w:pP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污水综合排放标准</w:t>
            </w:r>
            <w:r>
              <w:rPr>
                <w:rFonts w:hint="default" w:ascii="Times New Roman" w:hAnsi="Times New Roman" w:eastAsia="宋体" w:cs="Times New Roman"/>
                <w:color w:val="auto"/>
                <w:sz w:val="21"/>
                <w:szCs w:val="21"/>
              </w:rPr>
              <w:t>》(GB</w:t>
            </w:r>
            <w:r>
              <w:rPr>
                <w:rFonts w:hint="eastAsia" w:ascii="Times New Roman" w:hAnsi="Times New Roman" w:eastAsia="宋体" w:cs="Times New Roman"/>
                <w:color w:val="auto"/>
                <w:sz w:val="21"/>
                <w:szCs w:val="21"/>
                <w:lang w:val="en-US" w:eastAsia="zh-CN"/>
              </w:rPr>
              <w:t>8978</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1996</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三级标准</w:t>
            </w:r>
          </w:p>
        </w:tc>
      </w:tr>
      <w:tr w14:paraId="754EC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 w:type="pct"/>
            <w:vAlign w:val="center"/>
          </w:tcPr>
          <w:p w14:paraId="0813F948">
            <w:pPr>
              <w:spacing w:line="360" w:lineRule="auto"/>
              <w:jc w:val="center"/>
              <w:rPr>
                <w:color w:val="auto"/>
                <w:sz w:val="21"/>
                <w:szCs w:val="21"/>
              </w:rPr>
            </w:pPr>
            <w:r>
              <w:rPr>
                <w:color w:val="auto"/>
                <w:sz w:val="21"/>
                <w:szCs w:val="21"/>
              </w:rPr>
              <w:t>声环境</w:t>
            </w:r>
          </w:p>
        </w:tc>
        <w:tc>
          <w:tcPr>
            <w:tcW w:w="881" w:type="pct"/>
            <w:vAlign w:val="center"/>
          </w:tcPr>
          <w:p w14:paraId="2F905741">
            <w:pPr>
              <w:spacing w:line="360" w:lineRule="auto"/>
              <w:jc w:val="center"/>
              <w:rPr>
                <w:color w:val="auto"/>
                <w:sz w:val="21"/>
                <w:szCs w:val="21"/>
              </w:rPr>
            </w:pPr>
            <w:r>
              <w:rPr>
                <w:color w:val="auto"/>
                <w:sz w:val="21"/>
                <w:szCs w:val="21"/>
              </w:rPr>
              <w:t>运输车辆</w:t>
            </w:r>
          </w:p>
        </w:tc>
        <w:tc>
          <w:tcPr>
            <w:tcW w:w="896" w:type="pct"/>
            <w:vAlign w:val="center"/>
          </w:tcPr>
          <w:p w14:paraId="159F28D3">
            <w:pPr>
              <w:spacing w:line="360" w:lineRule="auto"/>
              <w:jc w:val="center"/>
              <w:rPr>
                <w:color w:val="auto"/>
                <w:sz w:val="21"/>
                <w:szCs w:val="21"/>
              </w:rPr>
            </w:pPr>
            <w:r>
              <w:rPr>
                <w:color w:val="auto"/>
                <w:sz w:val="21"/>
                <w:szCs w:val="21"/>
              </w:rPr>
              <w:t>噪声，75~85dB(A)</w:t>
            </w:r>
          </w:p>
        </w:tc>
        <w:tc>
          <w:tcPr>
            <w:tcW w:w="1290" w:type="pct"/>
            <w:vAlign w:val="center"/>
          </w:tcPr>
          <w:p w14:paraId="0E48E7F1">
            <w:pPr>
              <w:spacing w:line="360" w:lineRule="auto"/>
              <w:rPr>
                <w:color w:val="auto"/>
                <w:sz w:val="21"/>
                <w:szCs w:val="21"/>
              </w:rPr>
            </w:pPr>
            <w:r>
              <w:rPr>
                <w:color w:val="auto"/>
                <w:sz w:val="21"/>
                <w:szCs w:val="21"/>
              </w:rPr>
              <w:t>控制运输车辆进出场的车速，防止因车子怠速、车速过快等产生高噪声。</w:t>
            </w:r>
            <w:r>
              <w:rPr>
                <w:rFonts w:hint="eastAsia"/>
                <w:color w:val="auto"/>
                <w:sz w:val="21"/>
                <w:szCs w:val="21"/>
              </w:rPr>
              <w:t>站内设“限速”、“禁鸣”标识，</w:t>
            </w:r>
            <w:r>
              <w:rPr>
                <w:color w:val="auto"/>
                <w:sz w:val="21"/>
                <w:szCs w:val="21"/>
              </w:rPr>
              <w:t>禁止运输车辆在场内鸣笛</w:t>
            </w:r>
            <w:r>
              <w:rPr>
                <w:rFonts w:hint="eastAsia"/>
                <w:color w:val="auto"/>
                <w:sz w:val="21"/>
                <w:szCs w:val="21"/>
                <w:lang w:eastAsia="zh-CN"/>
              </w:rPr>
              <w:t>，</w:t>
            </w:r>
            <w:r>
              <w:rPr>
                <w:rFonts w:hint="eastAsia"/>
                <w:color w:val="auto"/>
                <w:sz w:val="21"/>
                <w:szCs w:val="21"/>
                <w:lang w:val="en-US" w:eastAsia="zh-CN"/>
              </w:rPr>
              <w:t>合理安排运输车辆路线和运输时间</w:t>
            </w:r>
            <w:r>
              <w:rPr>
                <w:color w:val="auto"/>
                <w:sz w:val="21"/>
                <w:szCs w:val="21"/>
              </w:rPr>
              <w:t>；</w:t>
            </w:r>
          </w:p>
        </w:tc>
        <w:tc>
          <w:tcPr>
            <w:tcW w:w="1181" w:type="pct"/>
            <w:vAlign w:val="center"/>
          </w:tcPr>
          <w:p w14:paraId="51289E69">
            <w:pPr>
              <w:spacing w:line="360" w:lineRule="auto"/>
              <w:jc w:val="center"/>
              <w:rPr>
                <w:color w:val="auto"/>
                <w:sz w:val="21"/>
                <w:szCs w:val="21"/>
              </w:rPr>
            </w:pPr>
            <w:r>
              <w:rPr>
                <w:color w:val="auto"/>
                <w:sz w:val="21"/>
                <w:szCs w:val="21"/>
              </w:rPr>
              <w:t>《工业企业厂界环境噪声排放标准》（GB12348-20</w:t>
            </w:r>
            <w:r>
              <w:rPr>
                <w:rFonts w:hint="eastAsia"/>
                <w:color w:val="auto"/>
                <w:sz w:val="21"/>
                <w:szCs w:val="21"/>
                <w:lang w:val="en-US" w:eastAsia="zh-CN"/>
              </w:rPr>
              <w:t>08</w:t>
            </w:r>
            <w:r>
              <w:rPr>
                <w:color w:val="auto"/>
                <w:sz w:val="21"/>
                <w:szCs w:val="21"/>
              </w:rPr>
              <w:t>）中2类标准，即：昼间 ≤60dB（A），夜间≤50dB（A）</w:t>
            </w:r>
          </w:p>
        </w:tc>
      </w:tr>
      <w:tr w14:paraId="24C72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 w:type="pct"/>
            <w:vAlign w:val="center"/>
          </w:tcPr>
          <w:p w14:paraId="192296C2">
            <w:pPr>
              <w:spacing w:line="360" w:lineRule="auto"/>
              <w:jc w:val="center"/>
              <w:rPr>
                <w:color w:val="auto"/>
                <w:sz w:val="21"/>
                <w:szCs w:val="21"/>
              </w:rPr>
            </w:pPr>
            <w:r>
              <w:rPr>
                <w:color w:val="auto"/>
                <w:sz w:val="21"/>
                <w:szCs w:val="21"/>
              </w:rPr>
              <w:t>电磁辐射</w:t>
            </w:r>
          </w:p>
        </w:tc>
        <w:tc>
          <w:tcPr>
            <w:tcW w:w="881" w:type="pct"/>
            <w:vAlign w:val="center"/>
          </w:tcPr>
          <w:p w14:paraId="0C8D0CB6">
            <w:pPr>
              <w:spacing w:line="360" w:lineRule="auto"/>
              <w:jc w:val="center"/>
              <w:rPr>
                <w:color w:val="auto"/>
                <w:sz w:val="21"/>
                <w:szCs w:val="21"/>
              </w:rPr>
            </w:pPr>
            <w:r>
              <w:rPr>
                <w:color w:val="auto"/>
                <w:sz w:val="21"/>
                <w:szCs w:val="21"/>
              </w:rPr>
              <w:t>无</w:t>
            </w:r>
          </w:p>
        </w:tc>
        <w:tc>
          <w:tcPr>
            <w:tcW w:w="896" w:type="pct"/>
            <w:vAlign w:val="center"/>
          </w:tcPr>
          <w:p w14:paraId="26B96E72">
            <w:pPr>
              <w:spacing w:line="360" w:lineRule="auto"/>
              <w:jc w:val="center"/>
              <w:rPr>
                <w:color w:val="auto"/>
                <w:sz w:val="21"/>
                <w:szCs w:val="21"/>
              </w:rPr>
            </w:pPr>
            <w:r>
              <w:rPr>
                <w:color w:val="auto"/>
                <w:sz w:val="21"/>
                <w:szCs w:val="21"/>
              </w:rPr>
              <w:t>无</w:t>
            </w:r>
          </w:p>
        </w:tc>
        <w:tc>
          <w:tcPr>
            <w:tcW w:w="1290" w:type="pct"/>
            <w:vAlign w:val="center"/>
          </w:tcPr>
          <w:p w14:paraId="5A4659A9">
            <w:pPr>
              <w:spacing w:line="360" w:lineRule="auto"/>
              <w:jc w:val="center"/>
              <w:rPr>
                <w:color w:val="auto"/>
                <w:sz w:val="21"/>
                <w:szCs w:val="21"/>
              </w:rPr>
            </w:pPr>
            <w:r>
              <w:rPr>
                <w:color w:val="auto"/>
                <w:sz w:val="21"/>
                <w:szCs w:val="21"/>
              </w:rPr>
              <w:t>无</w:t>
            </w:r>
          </w:p>
        </w:tc>
        <w:tc>
          <w:tcPr>
            <w:tcW w:w="1181" w:type="pct"/>
            <w:vAlign w:val="center"/>
          </w:tcPr>
          <w:p w14:paraId="567E568A">
            <w:pPr>
              <w:spacing w:line="360" w:lineRule="auto"/>
              <w:jc w:val="center"/>
              <w:rPr>
                <w:color w:val="auto"/>
                <w:sz w:val="21"/>
                <w:szCs w:val="21"/>
              </w:rPr>
            </w:pPr>
            <w:r>
              <w:rPr>
                <w:color w:val="auto"/>
                <w:sz w:val="21"/>
                <w:szCs w:val="21"/>
              </w:rPr>
              <w:t>无</w:t>
            </w:r>
          </w:p>
        </w:tc>
      </w:tr>
      <w:tr w14:paraId="6EED1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749" w:type="pct"/>
            <w:vMerge w:val="restart"/>
            <w:vAlign w:val="center"/>
          </w:tcPr>
          <w:p w14:paraId="77EB53E4">
            <w:pPr>
              <w:spacing w:line="360" w:lineRule="auto"/>
              <w:jc w:val="center"/>
              <w:rPr>
                <w:color w:val="auto"/>
                <w:sz w:val="21"/>
                <w:szCs w:val="21"/>
              </w:rPr>
            </w:pPr>
            <w:r>
              <w:rPr>
                <w:color w:val="auto"/>
                <w:sz w:val="21"/>
                <w:szCs w:val="21"/>
              </w:rPr>
              <w:t>固废</w:t>
            </w:r>
          </w:p>
        </w:tc>
        <w:tc>
          <w:tcPr>
            <w:tcW w:w="881" w:type="pct"/>
            <w:vAlign w:val="center"/>
          </w:tcPr>
          <w:p w14:paraId="07AE7DFC">
            <w:pPr>
              <w:spacing w:line="360" w:lineRule="auto"/>
              <w:jc w:val="center"/>
              <w:rPr>
                <w:color w:val="auto"/>
                <w:sz w:val="21"/>
                <w:szCs w:val="21"/>
              </w:rPr>
            </w:pPr>
            <w:r>
              <w:rPr>
                <w:color w:val="auto"/>
                <w:sz w:val="21"/>
                <w:szCs w:val="21"/>
              </w:rPr>
              <w:t>员工办公生活</w:t>
            </w:r>
          </w:p>
        </w:tc>
        <w:tc>
          <w:tcPr>
            <w:tcW w:w="896" w:type="pct"/>
            <w:vAlign w:val="center"/>
          </w:tcPr>
          <w:p w14:paraId="59B28508">
            <w:pPr>
              <w:spacing w:line="360" w:lineRule="auto"/>
              <w:jc w:val="center"/>
              <w:rPr>
                <w:color w:val="auto"/>
                <w:sz w:val="21"/>
                <w:szCs w:val="21"/>
              </w:rPr>
            </w:pPr>
            <w:r>
              <w:rPr>
                <w:color w:val="auto"/>
                <w:sz w:val="21"/>
                <w:szCs w:val="21"/>
              </w:rPr>
              <w:t>生活垃圾</w:t>
            </w:r>
          </w:p>
        </w:tc>
        <w:tc>
          <w:tcPr>
            <w:tcW w:w="1290" w:type="pct"/>
            <w:vAlign w:val="center"/>
          </w:tcPr>
          <w:p w14:paraId="6C2F3B74">
            <w:pPr>
              <w:spacing w:line="360" w:lineRule="auto"/>
              <w:jc w:val="center"/>
              <w:rPr>
                <w:color w:val="auto"/>
                <w:sz w:val="21"/>
                <w:szCs w:val="21"/>
              </w:rPr>
            </w:pPr>
            <w:r>
              <w:rPr>
                <w:color w:val="auto"/>
                <w:sz w:val="21"/>
                <w:szCs w:val="21"/>
              </w:rPr>
              <w:t>经垃圾桶统一收集后定期运至寻甸县垃圾转载点处置</w:t>
            </w:r>
          </w:p>
        </w:tc>
        <w:tc>
          <w:tcPr>
            <w:tcW w:w="1181" w:type="pct"/>
            <w:vAlign w:val="center"/>
          </w:tcPr>
          <w:p w14:paraId="6B8357B3">
            <w:pPr>
              <w:spacing w:line="360" w:lineRule="auto"/>
              <w:jc w:val="center"/>
              <w:rPr>
                <w:rFonts w:hint="default" w:eastAsia="宋体"/>
                <w:color w:val="auto"/>
                <w:sz w:val="21"/>
                <w:szCs w:val="21"/>
                <w:lang w:val="en-US" w:eastAsia="zh-CN"/>
              </w:rPr>
            </w:pPr>
            <w:r>
              <w:rPr>
                <w:rFonts w:hint="eastAsia"/>
                <w:color w:val="auto"/>
                <w:sz w:val="21"/>
                <w:szCs w:val="21"/>
                <w:lang w:val="en-US" w:eastAsia="zh-CN"/>
              </w:rPr>
              <w:t>处置率100%</w:t>
            </w:r>
          </w:p>
        </w:tc>
      </w:tr>
      <w:tr w14:paraId="7112D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49" w:type="pct"/>
            <w:vMerge w:val="continue"/>
            <w:vAlign w:val="center"/>
          </w:tcPr>
          <w:p w14:paraId="6362914D">
            <w:pPr>
              <w:spacing w:line="360" w:lineRule="auto"/>
              <w:jc w:val="center"/>
              <w:rPr>
                <w:color w:val="auto"/>
                <w:sz w:val="21"/>
                <w:szCs w:val="21"/>
              </w:rPr>
            </w:pPr>
          </w:p>
        </w:tc>
        <w:tc>
          <w:tcPr>
            <w:tcW w:w="881" w:type="pct"/>
            <w:vAlign w:val="center"/>
          </w:tcPr>
          <w:p w14:paraId="0761B6A9">
            <w:pPr>
              <w:spacing w:line="360" w:lineRule="auto"/>
              <w:jc w:val="center"/>
              <w:rPr>
                <w:color w:val="auto"/>
                <w:sz w:val="21"/>
                <w:szCs w:val="21"/>
              </w:rPr>
            </w:pPr>
            <w:r>
              <w:rPr>
                <w:color w:val="auto"/>
                <w:sz w:val="21"/>
                <w:szCs w:val="21"/>
              </w:rPr>
              <w:t>存储过程</w:t>
            </w:r>
          </w:p>
        </w:tc>
        <w:tc>
          <w:tcPr>
            <w:tcW w:w="896" w:type="pct"/>
            <w:vAlign w:val="center"/>
          </w:tcPr>
          <w:p w14:paraId="31163BD6">
            <w:pPr>
              <w:spacing w:line="360" w:lineRule="auto"/>
              <w:jc w:val="center"/>
              <w:rPr>
                <w:color w:val="auto"/>
                <w:sz w:val="21"/>
                <w:szCs w:val="21"/>
              </w:rPr>
            </w:pPr>
            <w:r>
              <w:rPr>
                <w:color w:val="auto"/>
                <w:sz w:val="21"/>
                <w:szCs w:val="21"/>
              </w:rPr>
              <w:t>过期或残损的烟花爆竹</w:t>
            </w:r>
          </w:p>
        </w:tc>
        <w:tc>
          <w:tcPr>
            <w:tcW w:w="1290" w:type="pct"/>
            <w:vAlign w:val="center"/>
          </w:tcPr>
          <w:p w14:paraId="170F168E">
            <w:pPr>
              <w:spacing w:line="360" w:lineRule="auto"/>
              <w:jc w:val="center"/>
              <w:rPr>
                <w:color w:val="auto"/>
                <w:sz w:val="21"/>
                <w:szCs w:val="21"/>
              </w:rPr>
            </w:pPr>
            <w:r>
              <w:rPr>
                <w:rFonts w:hint="eastAsia"/>
                <w:color w:val="auto"/>
                <w:sz w:val="21"/>
                <w:szCs w:val="21"/>
              </w:rPr>
              <w:t>收集于危废暂存间后</w:t>
            </w:r>
            <w:r>
              <w:rPr>
                <w:color w:val="auto"/>
                <w:sz w:val="21"/>
                <w:szCs w:val="21"/>
              </w:rPr>
              <w:t>交由公安部门组织统一销毁、处置</w:t>
            </w:r>
          </w:p>
        </w:tc>
        <w:tc>
          <w:tcPr>
            <w:tcW w:w="1181" w:type="pct"/>
            <w:vAlign w:val="center"/>
          </w:tcPr>
          <w:p w14:paraId="5CD2E4CF">
            <w:pPr>
              <w:spacing w:line="360" w:lineRule="auto"/>
              <w:jc w:val="center"/>
              <w:rPr>
                <w:color w:val="auto"/>
                <w:sz w:val="21"/>
                <w:szCs w:val="21"/>
              </w:rPr>
            </w:pPr>
            <w:r>
              <w:rPr>
                <w:rFonts w:hint="eastAsia"/>
                <w:color w:val="auto"/>
                <w:sz w:val="21"/>
                <w:szCs w:val="21"/>
              </w:rPr>
              <w:t>《危险废物贮存污染控制标准》（GB18597-20</w:t>
            </w:r>
            <w:r>
              <w:rPr>
                <w:rFonts w:hint="eastAsia"/>
                <w:color w:val="auto"/>
                <w:sz w:val="21"/>
                <w:szCs w:val="21"/>
                <w:lang w:val="en-US" w:eastAsia="zh-CN"/>
              </w:rPr>
              <w:t>23</w:t>
            </w:r>
            <w:r>
              <w:rPr>
                <w:rFonts w:hint="eastAsia"/>
                <w:color w:val="auto"/>
                <w:sz w:val="21"/>
                <w:szCs w:val="21"/>
              </w:rPr>
              <w:t>）的有关规定。</w:t>
            </w:r>
          </w:p>
        </w:tc>
      </w:tr>
      <w:tr w14:paraId="33300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49" w:type="pct"/>
            <w:vAlign w:val="center"/>
          </w:tcPr>
          <w:p w14:paraId="725D6729">
            <w:pPr>
              <w:spacing w:line="360" w:lineRule="auto"/>
              <w:jc w:val="center"/>
              <w:rPr>
                <w:color w:val="auto"/>
                <w:sz w:val="21"/>
                <w:szCs w:val="21"/>
              </w:rPr>
            </w:pPr>
            <w:r>
              <w:rPr>
                <w:color w:val="auto"/>
                <w:sz w:val="21"/>
                <w:szCs w:val="21"/>
              </w:rPr>
              <w:t>生态保护措施</w:t>
            </w:r>
          </w:p>
        </w:tc>
        <w:tc>
          <w:tcPr>
            <w:tcW w:w="4250" w:type="pct"/>
            <w:gridSpan w:val="4"/>
            <w:vAlign w:val="center"/>
          </w:tcPr>
          <w:p w14:paraId="0726EDD2">
            <w:pPr>
              <w:spacing w:line="360" w:lineRule="auto"/>
              <w:rPr>
                <w:rFonts w:hint="eastAsia" w:eastAsia="宋体"/>
                <w:color w:val="auto"/>
                <w:sz w:val="21"/>
                <w:szCs w:val="21"/>
                <w:lang w:eastAsia="zh-CN"/>
              </w:rPr>
            </w:pPr>
            <w:r>
              <w:rPr>
                <w:color w:val="auto"/>
                <w:sz w:val="21"/>
                <w:szCs w:val="21"/>
              </w:rPr>
              <w:t>项目运营期绿化面积</w:t>
            </w:r>
            <w:r>
              <w:rPr>
                <w:rFonts w:hint="eastAsia"/>
                <w:color w:val="auto"/>
                <w:sz w:val="21"/>
                <w:szCs w:val="21"/>
                <w:lang w:val="en-US" w:eastAsia="zh-CN"/>
              </w:rPr>
              <w:t>1262</w:t>
            </w:r>
            <w:r>
              <w:rPr>
                <w:color w:val="auto"/>
                <w:sz w:val="21"/>
                <w:szCs w:val="21"/>
              </w:rPr>
              <w:t>m</w:t>
            </w:r>
            <w:r>
              <w:rPr>
                <w:color w:val="auto"/>
                <w:sz w:val="21"/>
                <w:szCs w:val="21"/>
                <w:vertAlign w:val="superscript"/>
              </w:rPr>
              <w:t>2</w:t>
            </w:r>
            <w:r>
              <w:rPr>
                <w:color w:val="auto"/>
                <w:sz w:val="21"/>
                <w:szCs w:val="21"/>
              </w:rPr>
              <w:t>，在运营期，项目区进行了硬化、绿化处理，减少了水土流失的进一步恶化</w:t>
            </w:r>
            <w:r>
              <w:rPr>
                <w:rFonts w:hint="eastAsia"/>
                <w:color w:val="auto"/>
                <w:sz w:val="21"/>
                <w:szCs w:val="21"/>
                <w:lang w:eastAsia="zh-CN"/>
              </w:rPr>
              <w:t>。</w:t>
            </w:r>
          </w:p>
        </w:tc>
      </w:tr>
      <w:tr w14:paraId="395AD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49" w:type="pct"/>
            <w:vAlign w:val="center"/>
          </w:tcPr>
          <w:p w14:paraId="5BCF94C8">
            <w:pPr>
              <w:spacing w:line="360" w:lineRule="auto"/>
              <w:jc w:val="center"/>
              <w:rPr>
                <w:color w:val="auto"/>
                <w:sz w:val="21"/>
                <w:szCs w:val="21"/>
              </w:rPr>
            </w:pPr>
            <w:r>
              <w:rPr>
                <w:color w:val="auto"/>
                <w:sz w:val="21"/>
                <w:szCs w:val="21"/>
              </w:rPr>
              <w:t>环境风险</w:t>
            </w:r>
          </w:p>
          <w:p w14:paraId="506040B8">
            <w:pPr>
              <w:spacing w:line="360" w:lineRule="auto"/>
              <w:jc w:val="center"/>
              <w:rPr>
                <w:color w:val="auto"/>
                <w:sz w:val="21"/>
                <w:szCs w:val="21"/>
              </w:rPr>
            </w:pPr>
            <w:r>
              <w:rPr>
                <w:color w:val="auto"/>
                <w:sz w:val="21"/>
                <w:szCs w:val="21"/>
              </w:rPr>
              <w:t>防范措施</w:t>
            </w:r>
          </w:p>
        </w:tc>
        <w:tc>
          <w:tcPr>
            <w:tcW w:w="4250" w:type="pct"/>
            <w:gridSpan w:val="4"/>
            <w:vAlign w:val="center"/>
          </w:tcPr>
          <w:p w14:paraId="09DB1E85">
            <w:pPr>
              <w:pStyle w:val="3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1.运输过程中的事故风险防范措施</w:t>
            </w:r>
          </w:p>
          <w:p w14:paraId="468B1578">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（1）烟花爆竹运输车辆应采用带有防火罩的汽车运输，运输道路的主干道纵坡不宜大</w:t>
            </w:r>
            <w:r>
              <w:rPr>
                <w:rFonts w:hint="eastAsia" w:ascii="Times New Roman" w:hAnsi="Times New Roman" w:eastAsia="宋体" w:cs="Times New Roman"/>
                <w:color w:val="auto"/>
                <w:kern w:val="2"/>
                <w:sz w:val="21"/>
                <w:szCs w:val="21"/>
                <w:highlight w:val="none"/>
                <w:lang w:val="en-US" w:eastAsia="zh-CN" w:bidi="ar-SA"/>
              </w:rPr>
              <w:t>于6%，车辆在A、C级建筑物门前装卸作业时，应打开相应的安全出口，机动车应熄火平稳停靠在仓库门前2.5m 以外。</w:t>
            </w:r>
          </w:p>
          <w:p w14:paraId="201BB8EA">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物品装运应做到定人、定车，随车携带《烟花爆竹道路运输许可证》。定人就是装卸烟花爆竹成品进入库房定员，不应有无关人员靠近。定车就是要把装运的车辆相对固定，专车专用。担负长途运输烟花爆竹等的汽车，途中不得停车住宿，如果途中因气候恶劣、运输工具严重故障等原因不能按《烟花爆竹道路运输许可证》准许时间内达到目的地时，必须在准运时间内途中向所在地（市、区）公安报告，由公安机关指定临时停靠站或暂存库，并凭《烟花爆竹道路运输许可证》到当地公安机关签到延期证明。</w:t>
            </w:r>
          </w:p>
          <w:p w14:paraId="7CE8BA46">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（3）装载烟花爆竹的车厢不得载人，运输车辆限速行驶，途中经停必须有专人看守。</w:t>
            </w:r>
          </w:p>
          <w:p w14:paraId="4BA1C10B">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（4）要选择气候较好的时间运输烟花爆竹，以防遇险；如中途遇暴风雨或雷电时，要将车辆停在远离建筑物的空旷地方。</w:t>
            </w:r>
          </w:p>
          <w:p w14:paraId="4653ACDB">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在烟花爆竹运输过程中，一旦发生意外，在采取应急处理的同时，迅速报告公安机关和环保等有关部门，疏散群众，防止事态进一步扩大，并积极协助前来救助的公安交通和消防人员抢救伤者和物资，使损失降低到最小范围。</w:t>
            </w:r>
          </w:p>
          <w:p w14:paraId="45A0C7D7">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禁止运输烟花爆竹的车辆在集镇、闹市、人员集中的地方、交叉路口桥梁上、下或火源附近停放。当车辆经过铁路道口时，应注意铁路信号和加强观察，遇有火车通过或即将通过时，车辆应停放在停车线以外或至少距铁路路基 5m 以外，严禁抢道行驶。</w:t>
            </w:r>
          </w:p>
          <w:p w14:paraId="67D40D16">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（7）在暴雨和雷电等恶劣天气情况下，不准装货出入库，运输途中遇风沙大雾气能见度在 10m 以内时，应停止行驶。遇暴雷天气时，应将运输车停放在空旷地区，并距人口稠密区边缘不少于 250m，距高大树林（木）不少于 200m，除押运员留守外，其他人员撤至 200m 外。</w:t>
            </w:r>
          </w:p>
          <w:p w14:paraId="1EF18AC0">
            <w:pPr>
              <w:pStyle w:val="3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此外，为保证运输的安全，应注意驾驶员应由熟悉危险化学品性质，具有三年以上安全驾驶经验的司机驾驶。车身必须符合装载危险化学品的各项要求，被装运的烟花爆竹必须在其外包装的明显部位按《危险货物包装标志》（GB190-2009）规定的危险物品标志，包装标志要粘牢固、正确，以便一旦发生问题，可以进行多种防护。出车前要对车辆各系统进行检查，严禁带故障出车，车上要有危险标志，配备灭火器、报警设备，修车工具要齐全，尾气管防火帽。烟花爆竹采购进货由厂方承运，厂区自备配送车，为用户单位配送运输服务。白天行车时速不应超过 40km；雷雨、夜间或雾天时尽量不出车，如必须出车，速度不得超过 20km，并要开灯行驶。运输过程与前车车71距不应小于 50m，上下坡时不应小于 300m。尤其在乡镇道路路况较差情况下更应注意时速和车距。行车过程中不准在车上开启烟花爆竹，也不准进入加油站加油，驾驶室内严禁吸烟。在雪冻道路上行驶时，必须采取防滑措施，加挂防滑链，夜间行车，车辆前后要打开有标志危险的信号灯。出车前要对车辆各系统进行检查，严禁带故障出车。</w:t>
            </w:r>
          </w:p>
          <w:p w14:paraId="4A4E1DEB">
            <w:pPr>
              <w:pStyle w:val="32"/>
              <w:rPr>
                <w:rFonts w:hint="eastAsia"/>
                <w:color w:val="auto"/>
                <w:sz w:val="21"/>
                <w:szCs w:val="21"/>
                <w:highlight w:val="none"/>
                <w:lang w:val="en-US" w:eastAsia="zh-CN"/>
              </w:rPr>
            </w:pPr>
            <w:r>
              <w:rPr>
                <w:rFonts w:hint="eastAsia"/>
                <w:color w:val="auto"/>
                <w:sz w:val="21"/>
                <w:szCs w:val="21"/>
                <w:highlight w:val="none"/>
                <w:lang w:val="en-US" w:eastAsia="zh-CN"/>
              </w:rPr>
              <w:t>2.装卸过程中的事故风险防范措施</w:t>
            </w:r>
          </w:p>
          <w:p w14:paraId="3D7799CD">
            <w:pPr>
              <w:pStyle w:val="32"/>
              <w:rPr>
                <w:rFonts w:hint="eastAsia"/>
                <w:color w:val="auto"/>
                <w:sz w:val="21"/>
                <w:szCs w:val="21"/>
                <w:highlight w:val="none"/>
                <w:lang w:val="en-US" w:eastAsia="zh-CN"/>
              </w:rPr>
            </w:pPr>
            <w:r>
              <w:rPr>
                <w:rFonts w:hint="eastAsia"/>
                <w:color w:val="auto"/>
                <w:sz w:val="21"/>
                <w:szCs w:val="21"/>
                <w:highlight w:val="none"/>
                <w:lang w:val="en-US" w:eastAsia="zh-CN"/>
              </w:rPr>
              <w:t>（1）装卸作业宜在白天进行，夜间作业应有足够的照明。天气条件恶劣时，如遇雷雨、强风时应停止作业。</w:t>
            </w:r>
          </w:p>
          <w:p w14:paraId="6C2C237C">
            <w:pPr>
              <w:pStyle w:val="32"/>
              <w:rPr>
                <w:rFonts w:hint="eastAsia"/>
                <w:color w:val="auto"/>
                <w:sz w:val="21"/>
                <w:szCs w:val="21"/>
                <w:highlight w:val="none"/>
                <w:lang w:val="en-US" w:eastAsia="zh-CN"/>
              </w:rPr>
            </w:pPr>
            <w:r>
              <w:rPr>
                <w:rFonts w:hint="eastAsia"/>
                <w:color w:val="auto"/>
                <w:sz w:val="21"/>
                <w:szCs w:val="21"/>
                <w:highlight w:val="none"/>
                <w:lang w:val="en-US" w:eastAsia="zh-CN"/>
              </w:rPr>
              <w:t>（2）人工搬运时一人一次只允许搬一件，如采用专用手推车转运时一次只允许转运五件，并有防止坠落的措施。作业时应注意轻取轻放，稳步行走，防止碰撞或掉箱，严禁拖拽、翻滚、抛送、摔放、撞击、敲打、脚踏、坐卧、震动、倒置包装件，严禁相互在手中直接传递包装件，注意作业过程中的防雨、防晒。</w:t>
            </w:r>
          </w:p>
          <w:p w14:paraId="235DAE9F">
            <w:pPr>
              <w:pStyle w:val="32"/>
              <w:rPr>
                <w:rFonts w:hint="eastAsia"/>
                <w:color w:val="auto"/>
                <w:sz w:val="21"/>
                <w:szCs w:val="21"/>
                <w:highlight w:val="none"/>
                <w:lang w:val="en-US" w:eastAsia="zh-CN"/>
              </w:rPr>
            </w:pPr>
            <w:r>
              <w:rPr>
                <w:rFonts w:hint="eastAsia"/>
                <w:color w:val="auto"/>
                <w:sz w:val="21"/>
                <w:szCs w:val="21"/>
                <w:highlight w:val="none"/>
                <w:lang w:val="en-US" w:eastAsia="zh-CN"/>
              </w:rPr>
              <w:t>（3）应在距仓库门不小于 2.5m 处进行装卸作业，严禁车辆抵近库门装卸货物。仓库装卸平台应有防止车辆碰撞的措施。</w:t>
            </w:r>
          </w:p>
          <w:p w14:paraId="38469E9B">
            <w:pPr>
              <w:pStyle w:val="32"/>
              <w:rPr>
                <w:rFonts w:hint="eastAsia"/>
                <w:color w:val="auto"/>
                <w:sz w:val="21"/>
                <w:szCs w:val="21"/>
                <w:highlight w:val="none"/>
                <w:lang w:val="en-US" w:eastAsia="zh-CN"/>
              </w:rPr>
            </w:pPr>
            <w:r>
              <w:rPr>
                <w:rFonts w:hint="eastAsia"/>
                <w:color w:val="auto"/>
                <w:sz w:val="21"/>
                <w:szCs w:val="21"/>
                <w:highlight w:val="none"/>
                <w:lang w:val="en-US" w:eastAsia="zh-CN"/>
              </w:rPr>
              <w:t>（4）对于装卸同类烟花爆竹应逐车装卸，不得在同一装卸点同时对两车或两车以上进行交叉作业，必须按照“卸货优先、轻车让重车”的原则安排烟花爆竹的装卸工作。</w:t>
            </w:r>
          </w:p>
          <w:p w14:paraId="0E257969">
            <w:pPr>
              <w:pStyle w:val="32"/>
              <w:rPr>
                <w:rFonts w:hint="eastAsia"/>
                <w:color w:val="auto"/>
                <w:sz w:val="21"/>
                <w:szCs w:val="21"/>
                <w:highlight w:val="none"/>
                <w:lang w:val="en-US" w:eastAsia="zh-CN"/>
              </w:rPr>
            </w:pPr>
            <w:r>
              <w:rPr>
                <w:rFonts w:hint="eastAsia"/>
                <w:color w:val="auto"/>
                <w:sz w:val="21"/>
                <w:szCs w:val="21"/>
                <w:highlight w:val="none"/>
                <w:lang w:val="en-US" w:eastAsia="zh-CN"/>
              </w:rPr>
              <w:t>（5）当装卸点有车辆正在作业时，待装卸的车辆应停放在距装卸点 30m 外或在防护土堤的保护范围内。</w:t>
            </w:r>
          </w:p>
          <w:p w14:paraId="5E2DF61E">
            <w:pPr>
              <w:pStyle w:val="32"/>
              <w:rPr>
                <w:rFonts w:hint="eastAsia"/>
                <w:color w:val="auto"/>
                <w:sz w:val="21"/>
                <w:szCs w:val="21"/>
                <w:highlight w:val="none"/>
                <w:lang w:val="en-US" w:eastAsia="zh-CN"/>
              </w:rPr>
            </w:pPr>
            <w:r>
              <w:rPr>
                <w:rFonts w:hint="eastAsia"/>
                <w:color w:val="auto"/>
                <w:sz w:val="21"/>
                <w:szCs w:val="21"/>
                <w:highlight w:val="none"/>
                <w:lang w:val="en-US" w:eastAsia="zh-CN"/>
              </w:rPr>
              <w:t>（6）装车时，烟花爆竹装量不得超过车辆规定的装载量，不得倒置或侧放包装箱。普通汽车（已采取了防盗、防火措施的车辆）装卸烟花爆竹时，装箱高度要低于车厢边帮的 1/3，烟花爆竹纸箱高度不宜超过五个箱高且超出边帮的高度不应超过包装箱高度的 1/3，车厢内不应留有空隙，应采取防止箱体移动产生碰撞的措施。检查无误后盖好篷布，并将其捆绑牢固，再关锁好后车门。</w:t>
            </w:r>
          </w:p>
          <w:p w14:paraId="6D6215B4">
            <w:pPr>
              <w:pStyle w:val="32"/>
              <w:rPr>
                <w:rFonts w:hint="eastAsia"/>
                <w:color w:val="auto"/>
                <w:sz w:val="21"/>
                <w:szCs w:val="21"/>
                <w:highlight w:val="none"/>
                <w:lang w:val="en-US" w:eastAsia="zh-CN"/>
              </w:rPr>
            </w:pPr>
            <w:r>
              <w:rPr>
                <w:rFonts w:hint="eastAsia"/>
                <w:color w:val="auto"/>
                <w:sz w:val="21"/>
                <w:szCs w:val="21"/>
                <w:highlight w:val="none"/>
                <w:lang w:val="en-US" w:eastAsia="zh-CN"/>
              </w:rPr>
              <w:t>（7）在装卸现场设置警戒，禁止无关人员进入。</w:t>
            </w:r>
          </w:p>
          <w:p w14:paraId="23D82CBA">
            <w:pPr>
              <w:pStyle w:val="32"/>
              <w:rPr>
                <w:rFonts w:hint="eastAsia"/>
                <w:color w:val="auto"/>
                <w:sz w:val="21"/>
                <w:szCs w:val="21"/>
                <w:highlight w:val="none"/>
                <w:lang w:val="en-US" w:eastAsia="zh-CN"/>
              </w:rPr>
            </w:pPr>
            <w:r>
              <w:rPr>
                <w:rFonts w:hint="eastAsia"/>
                <w:color w:val="auto"/>
                <w:sz w:val="21"/>
                <w:szCs w:val="21"/>
                <w:highlight w:val="none"/>
                <w:lang w:val="en-US" w:eastAsia="zh-CN"/>
              </w:rPr>
              <w:t>（8）烟花爆竹装、卸完成后，库管员应和押运员共同清点发出或收到货物的数量，按规定履行提货或接货手续。</w:t>
            </w:r>
          </w:p>
          <w:p w14:paraId="266136AC">
            <w:pPr>
              <w:pStyle w:val="30"/>
              <w:keepNext w:val="0"/>
              <w:keepLines w:val="0"/>
              <w:pageBreakBefore w:val="0"/>
              <w:numPr>
                <w:ilvl w:val="0"/>
                <w:numId w:val="0"/>
              </w:numPr>
              <w:kinsoku/>
              <w:wordWrap/>
              <w:overflowPunct/>
              <w:topLinePunct w:val="0"/>
              <w:autoSpaceDE/>
              <w:autoSpaceDN/>
              <w:bidi w:val="0"/>
              <w:adjustRightInd/>
              <w:snapToGrid w:val="0"/>
              <w:ind w:firstLine="420" w:firstLineChars="200"/>
              <w:jc w:val="both"/>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仓库贮存管理风险防范措施</w:t>
            </w:r>
          </w:p>
          <w:p w14:paraId="0F7C636B">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w:t>
            </w:r>
            <w:r>
              <w:rPr>
                <w:rFonts w:hint="eastAsia"/>
                <w:color w:val="auto"/>
                <w:sz w:val="21"/>
                <w:szCs w:val="21"/>
                <w:highlight w:val="none"/>
              </w:rPr>
              <w:t>项目区按照《建筑灭火器配置设计规范》（GB50140-20</w:t>
            </w:r>
            <w:r>
              <w:rPr>
                <w:rFonts w:hint="eastAsia"/>
                <w:color w:val="auto"/>
                <w:sz w:val="21"/>
                <w:szCs w:val="21"/>
                <w:highlight w:val="none"/>
                <w:lang w:val="en-US" w:eastAsia="zh-CN"/>
              </w:rPr>
              <w:t>05</w:t>
            </w:r>
            <w:r>
              <w:rPr>
                <w:rFonts w:hint="eastAsia"/>
                <w:color w:val="auto"/>
                <w:sz w:val="21"/>
                <w:szCs w:val="21"/>
                <w:highlight w:val="none"/>
              </w:rPr>
              <w:t>）的要求设置消防设施及灭火器材，灭火器材应放在明显、易取的地方，应定期对消防设施及灭火器材进行检查、维护。</w:t>
            </w:r>
          </w:p>
          <w:p w14:paraId="177408F6">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rFonts w:hint="eastAsia"/>
                <w:color w:val="auto"/>
                <w:sz w:val="21"/>
                <w:szCs w:val="21"/>
                <w:highlight w:val="none"/>
              </w:rPr>
              <w:t>项目区杜绝各种非生产性明火存在。</w:t>
            </w:r>
          </w:p>
          <w:p w14:paraId="113042D3">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rFonts w:hint="eastAsia"/>
                <w:color w:val="auto"/>
                <w:sz w:val="21"/>
                <w:szCs w:val="21"/>
                <w:highlight w:val="none"/>
              </w:rPr>
              <w:t>按规定设置安全警示标志和消防安全标志。</w:t>
            </w:r>
          </w:p>
          <w:p w14:paraId="38DAEE75">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4</w:t>
            </w:r>
            <w:r>
              <w:rPr>
                <w:rFonts w:hint="eastAsia"/>
                <w:color w:val="auto"/>
                <w:sz w:val="21"/>
                <w:szCs w:val="21"/>
                <w:highlight w:val="none"/>
                <w:lang w:eastAsia="zh-CN"/>
              </w:rPr>
              <w:t>）</w:t>
            </w:r>
            <w:r>
              <w:rPr>
                <w:rFonts w:hint="eastAsia"/>
                <w:color w:val="auto"/>
                <w:sz w:val="21"/>
                <w:szCs w:val="21"/>
                <w:highlight w:val="none"/>
              </w:rPr>
              <w:t>烟花爆竹仓库的建筑危险等级为 1.3 级。需满足《烟花爆竹工程设计安全规范》(GB50161-20</w:t>
            </w:r>
            <w:r>
              <w:rPr>
                <w:rFonts w:hint="eastAsia"/>
                <w:color w:val="auto"/>
                <w:sz w:val="21"/>
                <w:szCs w:val="21"/>
                <w:highlight w:val="none"/>
                <w:lang w:val="en-US" w:eastAsia="zh-CN"/>
              </w:rPr>
              <w:t>22</w:t>
            </w:r>
            <w:r>
              <w:rPr>
                <w:rFonts w:hint="eastAsia"/>
                <w:color w:val="auto"/>
                <w:sz w:val="21"/>
                <w:szCs w:val="21"/>
                <w:highlight w:val="none"/>
              </w:rPr>
              <w:t>)及《建筑设计防火规范》(GB50016-2014)的相关规定中相关要求。</w:t>
            </w:r>
          </w:p>
          <w:p w14:paraId="278D929F">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防雷及防静电措施</w:t>
            </w:r>
          </w:p>
          <w:p w14:paraId="318A79F1">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w:t>
            </w:r>
            <w:r>
              <w:rPr>
                <w:rFonts w:hint="eastAsia"/>
                <w:color w:val="auto"/>
                <w:sz w:val="21"/>
                <w:szCs w:val="21"/>
                <w:highlight w:val="none"/>
              </w:rPr>
              <w:t>防雷设计应符合《建筑物防雷设计规范》现行版本的要求。</w:t>
            </w:r>
          </w:p>
          <w:p w14:paraId="3D7EA270">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rFonts w:hint="eastAsia"/>
                <w:color w:val="auto"/>
                <w:sz w:val="21"/>
                <w:szCs w:val="21"/>
                <w:highlight w:val="none"/>
              </w:rPr>
              <w:t>施工方应按照相关规范的要求及设计中提出的要求对防雷接地设施进行施工安装，并做好检测记录。装置运行过程，应按规定对防雷接地设施进行定期检测，对损坏或不符合要求的防雷接地设施应进行更换。</w:t>
            </w:r>
          </w:p>
          <w:p w14:paraId="4A36DA72">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rFonts w:hint="eastAsia"/>
                <w:color w:val="auto"/>
                <w:sz w:val="21"/>
                <w:szCs w:val="21"/>
                <w:highlight w:val="none"/>
              </w:rPr>
              <w:t>贮存烟花爆竹的仓库，均应采取静电接地措施。每组专设的静电接地电阻值，宜小于 10 欧姆。</w:t>
            </w:r>
          </w:p>
          <w:p w14:paraId="344D9D12">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4</w:t>
            </w:r>
            <w:r>
              <w:rPr>
                <w:rFonts w:hint="eastAsia"/>
                <w:color w:val="auto"/>
                <w:sz w:val="21"/>
                <w:szCs w:val="21"/>
                <w:highlight w:val="none"/>
                <w:lang w:eastAsia="zh-CN"/>
              </w:rPr>
              <w:t>）</w:t>
            </w:r>
            <w:r>
              <w:rPr>
                <w:rFonts w:hint="eastAsia"/>
                <w:color w:val="auto"/>
                <w:sz w:val="21"/>
                <w:szCs w:val="21"/>
                <w:highlight w:val="none"/>
              </w:rPr>
              <w:t>静电接地设施安装完毕后，必须按规范要求对其进行测试，以检测其是否能满足规范规定的电阻值的要求。运行中，也应加强对静电接地设施的定期检测。</w:t>
            </w:r>
          </w:p>
          <w:p w14:paraId="70111A7A">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val="en-US" w:eastAsia="zh-CN"/>
              </w:rPr>
              <w:t>5.</w:t>
            </w:r>
            <w:r>
              <w:rPr>
                <w:rFonts w:hint="eastAsia"/>
                <w:color w:val="auto"/>
                <w:sz w:val="21"/>
                <w:szCs w:val="21"/>
              </w:rPr>
              <w:t>消防设施</w:t>
            </w:r>
            <w:r>
              <w:rPr>
                <w:rFonts w:hint="eastAsia"/>
                <w:color w:val="auto"/>
                <w:sz w:val="21"/>
                <w:szCs w:val="21"/>
                <w:lang w:val="en-US" w:eastAsia="zh-CN"/>
              </w:rPr>
              <w:t>管理</w:t>
            </w:r>
            <w:r>
              <w:rPr>
                <w:rFonts w:hint="eastAsia"/>
                <w:color w:val="auto"/>
                <w:sz w:val="21"/>
                <w:szCs w:val="21"/>
              </w:rPr>
              <w:t>对策措施</w:t>
            </w:r>
          </w:p>
          <w:p w14:paraId="12C01D38">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eastAsia="zh-CN"/>
              </w:rPr>
              <w:t>（</w:t>
            </w:r>
            <w:r>
              <w:rPr>
                <w:rFonts w:hint="eastAsia"/>
                <w:color w:val="auto"/>
                <w:sz w:val="21"/>
                <w:szCs w:val="21"/>
                <w:lang w:val="en-US" w:eastAsia="zh-CN"/>
              </w:rPr>
              <w:t>1</w:t>
            </w:r>
            <w:r>
              <w:rPr>
                <w:rFonts w:hint="eastAsia"/>
                <w:color w:val="auto"/>
                <w:sz w:val="21"/>
                <w:szCs w:val="21"/>
                <w:lang w:eastAsia="zh-CN"/>
              </w:rPr>
              <w:t>）</w:t>
            </w:r>
            <w:r>
              <w:rPr>
                <w:rFonts w:hint="eastAsia"/>
                <w:color w:val="auto"/>
                <w:sz w:val="21"/>
                <w:szCs w:val="21"/>
                <w:lang w:val="en-US" w:eastAsia="zh-CN"/>
              </w:rPr>
              <w:t>项目配置消防栓、灭火器、报警器、消防水带等设施</w:t>
            </w:r>
            <w:r>
              <w:rPr>
                <w:rFonts w:hint="eastAsia"/>
                <w:color w:val="auto"/>
                <w:sz w:val="21"/>
                <w:szCs w:val="21"/>
              </w:rPr>
              <w:t>要经常检修，保证其性能良好和使用的可靠性。</w:t>
            </w:r>
          </w:p>
          <w:p w14:paraId="6DD735B1">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val="en-US" w:eastAsia="zh-CN"/>
              </w:rPr>
              <w:t>6.</w:t>
            </w:r>
            <w:r>
              <w:rPr>
                <w:rFonts w:hint="eastAsia"/>
                <w:color w:val="auto"/>
                <w:sz w:val="21"/>
                <w:szCs w:val="21"/>
              </w:rPr>
              <w:t>加强“施工”管理</w:t>
            </w:r>
          </w:p>
          <w:p w14:paraId="2C19FDDB">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eastAsia="zh-CN"/>
              </w:rPr>
              <w:t>（</w:t>
            </w:r>
            <w:r>
              <w:rPr>
                <w:rFonts w:hint="eastAsia"/>
                <w:color w:val="auto"/>
                <w:sz w:val="21"/>
                <w:szCs w:val="21"/>
                <w:lang w:val="en-US" w:eastAsia="zh-CN"/>
              </w:rPr>
              <w:t>1</w:t>
            </w:r>
            <w:r>
              <w:rPr>
                <w:rFonts w:hint="eastAsia"/>
                <w:color w:val="auto"/>
                <w:sz w:val="21"/>
                <w:szCs w:val="21"/>
                <w:lang w:eastAsia="zh-CN"/>
              </w:rPr>
              <w:t>）</w:t>
            </w:r>
            <w:r>
              <w:rPr>
                <w:rFonts w:hint="eastAsia"/>
                <w:color w:val="auto"/>
                <w:sz w:val="21"/>
                <w:szCs w:val="21"/>
              </w:rPr>
              <w:t>在主体工程施工的同时，必须同时进行安全、工业卫生、环保、消防设施的施工，确保配套设施完善。</w:t>
            </w:r>
          </w:p>
          <w:p w14:paraId="3895361B">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eastAsia="zh-CN"/>
              </w:rPr>
              <w:t>（</w:t>
            </w:r>
            <w:r>
              <w:rPr>
                <w:rFonts w:hint="eastAsia"/>
                <w:color w:val="auto"/>
                <w:sz w:val="21"/>
                <w:szCs w:val="21"/>
                <w:lang w:val="en-US" w:eastAsia="zh-CN"/>
              </w:rPr>
              <w:t>2</w:t>
            </w:r>
            <w:r>
              <w:rPr>
                <w:rFonts w:hint="eastAsia"/>
                <w:color w:val="auto"/>
                <w:sz w:val="21"/>
                <w:szCs w:val="21"/>
                <w:lang w:eastAsia="zh-CN"/>
              </w:rPr>
              <w:t>）</w:t>
            </w:r>
            <w:r>
              <w:rPr>
                <w:rFonts w:hint="eastAsia"/>
                <w:color w:val="auto"/>
                <w:sz w:val="21"/>
                <w:szCs w:val="21"/>
              </w:rPr>
              <w:t>在施工过程中，应有人负责安全、卫生、环保、消防设施的施工监督检查，及时纠正施工中的缺陷。</w:t>
            </w:r>
          </w:p>
          <w:p w14:paraId="3D574529">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eastAsia="zh-CN"/>
              </w:rPr>
              <w:t>（</w:t>
            </w:r>
            <w:r>
              <w:rPr>
                <w:rFonts w:hint="eastAsia"/>
                <w:color w:val="auto"/>
                <w:sz w:val="21"/>
                <w:szCs w:val="21"/>
                <w:lang w:val="en-US" w:eastAsia="zh-CN"/>
              </w:rPr>
              <w:t>3</w:t>
            </w:r>
            <w:r>
              <w:rPr>
                <w:rFonts w:hint="eastAsia"/>
                <w:color w:val="auto"/>
                <w:sz w:val="21"/>
                <w:szCs w:val="21"/>
                <w:lang w:eastAsia="zh-CN"/>
              </w:rPr>
              <w:t>）</w:t>
            </w:r>
            <w:r>
              <w:rPr>
                <w:rFonts w:hint="eastAsia"/>
                <w:color w:val="auto"/>
                <w:sz w:val="21"/>
                <w:szCs w:val="21"/>
              </w:rPr>
              <w:t>竣工验收工作应有安全、卫生、环保、消防设施的组织参加。凡安全、卫生、环保、消防设施没有与主体工程同时建成，经考核达不到原设计要求的，均不能验收。</w:t>
            </w:r>
          </w:p>
          <w:p w14:paraId="3C2FA2FE">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val="en-US" w:eastAsia="zh-CN"/>
              </w:rPr>
              <w:t>7.</w:t>
            </w:r>
            <w:r>
              <w:rPr>
                <w:rFonts w:hint="eastAsia"/>
                <w:color w:val="auto"/>
                <w:sz w:val="21"/>
                <w:szCs w:val="21"/>
              </w:rPr>
              <w:t>重大事故应急对策措施</w:t>
            </w:r>
          </w:p>
          <w:p w14:paraId="27CC5C67">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rPr>
              <w:t>企业应制定重大事故应急措施预案，并定期组织操作人员学习、熟悉事故预案，提高企业职工的事故应急处理能力。同时加强对企业周围居民的安全教育，提高他们自我防护意识。适当时，应组织事故演习，以检验事故预案的可行性和可操作性。</w:t>
            </w:r>
          </w:p>
          <w:p w14:paraId="74417286">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val="en-US" w:eastAsia="zh-CN"/>
              </w:rPr>
              <w:t>8.</w:t>
            </w:r>
            <w:r>
              <w:rPr>
                <w:rFonts w:hint="eastAsia"/>
                <w:color w:val="auto"/>
                <w:sz w:val="21"/>
                <w:szCs w:val="21"/>
              </w:rPr>
              <w:t>烟花爆竹储存的技术要求措施</w:t>
            </w:r>
          </w:p>
          <w:p w14:paraId="02861AB9">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eastAsia"/>
                <w:color w:val="auto"/>
                <w:sz w:val="21"/>
                <w:szCs w:val="21"/>
              </w:rPr>
            </w:pPr>
            <w:r>
              <w:rPr>
                <w:rFonts w:hint="eastAsia"/>
                <w:color w:val="auto"/>
                <w:sz w:val="21"/>
                <w:szCs w:val="21"/>
                <w:lang w:eastAsia="zh-CN"/>
              </w:rPr>
              <w:t>（</w:t>
            </w:r>
            <w:r>
              <w:rPr>
                <w:rFonts w:hint="eastAsia"/>
                <w:color w:val="auto"/>
                <w:sz w:val="21"/>
                <w:szCs w:val="21"/>
                <w:lang w:val="en-US" w:eastAsia="zh-CN"/>
              </w:rPr>
              <w:t>1</w:t>
            </w:r>
            <w:r>
              <w:rPr>
                <w:rFonts w:hint="eastAsia"/>
                <w:color w:val="auto"/>
                <w:sz w:val="21"/>
                <w:szCs w:val="21"/>
                <w:lang w:eastAsia="zh-CN"/>
              </w:rPr>
              <w:t>）</w:t>
            </w:r>
            <w:r>
              <w:rPr>
                <w:rFonts w:hint="eastAsia"/>
                <w:color w:val="auto"/>
                <w:sz w:val="21"/>
                <w:szCs w:val="21"/>
              </w:rPr>
              <w:t>烟花爆竹应储存于阴凉、通风仓间内。远离火种、热源。仓内温度不宜超过30℃。防止阳光直射。保持容器密封。应与氧化剂分开存放。储存区内的照明、通风等设施应采用防爆型。要有防火防爆技术措施。禁止使用易产生火花的机械设备和工具。</w:t>
            </w:r>
          </w:p>
          <w:p w14:paraId="1710C6AC">
            <w:pPr>
              <w:pStyle w:val="32"/>
              <w:keepNext w:val="0"/>
              <w:keepLines w:val="0"/>
              <w:pageBreakBefore w:val="0"/>
              <w:numPr>
                <w:ilvl w:val="0"/>
                <w:numId w:val="0"/>
              </w:numPr>
              <w:kinsoku/>
              <w:wordWrap/>
              <w:overflowPunct/>
              <w:topLinePunct w:val="0"/>
              <w:autoSpaceDE/>
              <w:autoSpaceDN/>
              <w:bidi w:val="0"/>
              <w:adjustRightInd/>
              <w:snapToGrid w:val="0"/>
              <w:ind w:firstLine="436" w:firstLineChars="200"/>
              <w:textAlignment w:val="auto"/>
              <w:rPr>
                <w:rFonts w:hint="default" w:eastAsia="宋体"/>
                <w:color w:val="auto"/>
                <w:sz w:val="21"/>
                <w:szCs w:val="21"/>
                <w:lang w:val="en-US" w:eastAsia="zh-CN"/>
              </w:rPr>
            </w:pPr>
            <w:r>
              <w:rPr>
                <w:rFonts w:hint="eastAsia"/>
                <w:color w:val="auto"/>
                <w:sz w:val="21"/>
                <w:szCs w:val="21"/>
                <w:lang w:val="en-US" w:eastAsia="zh-CN"/>
              </w:rPr>
              <w:t>9.火灾爆炸预防措施</w:t>
            </w:r>
          </w:p>
          <w:p w14:paraId="233F98F1">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1</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严格执行火种管理规定，严禁携带火种进入仓库区，禁止在仓库区吸烟等；</w:t>
            </w:r>
          </w:p>
          <w:p w14:paraId="4BD5EB3D">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2</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在有爆炸和火灾危险的环境内，应选用防爆的电气设施，电线、电缆应选用阻燃型，严禁使用黑色金属工具：</w:t>
            </w:r>
          </w:p>
          <w:p w14:paraId="29C4B32D">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3</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定期检查供电设施、防雷设施、防静电设施，保证设施完好。加强导静电设施的巡视检查及危险工房相对湿度监测，防止静电积聚：</w:t>
            </w:r>
          </w:p>
          <w:p w14:paraId="2C656743">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4</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定期检查供电线路完好情况，及时清除线路周围树障，保证供电线路正常运行：</w:t>
            </w:r>
          </w:p>
          <w:p w14:paraId="763742A4">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5</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干燥季节危险品仓库周围不得有杂草：</w:t>
            </w:r>
          </w:p>
          <w:p w14:paraId="33DD25CA">
            <w:pPr>
              <w:spacing w:line="360" w:lineRule="auto"/>
              <w:ind w:firstLine="436" w:firstLineChars="200"/>
              <w:rPr>
                <w:rFonts w:hint="eastAsia" w:ascii="Times New Roman" w:hAnsi="Times New Roman" w:eastAsia="宋体"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6</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zh-CN" w:eastAsia="zh-CN" w:bidi="ar-SA"/>
              </w:rPr>
              <w:t>进入仓库区的车辆应熄火，进入仓库区人员禁止使用手机，不应穿带有铁钉的工作鞋和易产生静电的工作服：</w:t>
            </w:r>
          </w:p>
          <w:p w14:paraId="676E6B98">
            <w:pPr>
              <w:spacing w:line="360" w:lineRule="auto"/>
              <w:ind w:firstLine="436" w:firstLineChars="200"/>
              <w:rPr>
                <w:rFonts w:hint="eastAsia" w:cs="Times New Roman"/>
                <w:color w:val="auto"/>
                <w:spacing w:val="4"/>
                <w:kern w:val="24"/>
                <w:sz w:val="21"/>
                <w:szCs w:val="21"/>
                <w:lang w:val="zh-CN" w:eastAsia="zh-CN" w:bidi="ar-SA"/>
              </w:rPr>
            </w:pPr>
            <w:r>
              <w:rPr>
                <w:rFonts w:hint="eastAsia" w:cs="Times New Roman"/>
                <w:color w:val="auto"/>
                <w:spacing w:val="4"/>
                <w:kern w:val="24"/>
                <w:sz w:val="21"/>
                <w:szCs w:val="21"/>
                <w:lang w:val="zh-CN" w:eastAsia="zh-CN" w:bidi="ar-SA"/>
              </w:rPr>
              <w:t>（</w:t>
            </w:r>
            <w:r>
              <w:rPr>
                <w:rFonts w:hint="eastAsia" w:cs="Times New Roman"/>
                <w:color w:val="auto"/>
                <w:spacing w:val="4"/>
                <w:kern w:val="24"/>
                <w:sz w:val="21"/>
                <w:szCs w:val="21"/>
                <w:lang w:val="en-US" w:eastAsia="zh-CN" w:bidi="ar-SA"/>
              </w:rPr>
              <w:t>7</w:t>
            </w:r>
            <w:r>
              <w:rPr>
                <w:rFonts w:hint="eastAsia"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en-US" w:eastAsia="zh-CN" w:bidi="ar-SA"/>
              </w:rPr>
              <w:t>消防设施齐全，定期检查，</w:t>
            </w:r>
            <w:r>
              <w:rPr>
                <w:rFonts w:hint="eastAsia" w:ascii="Times New Roman" w:hAnsi="Times New Roman" w:eastAsia="宋体" w:cs="Times New Roman"/>
                <w:color w:val="auto"/>
                <w:spacing w:val="4"/>
                <w:kern w:val="24"/>
                <w:sz w:val="21"/>
                <w:szCs w:val="21"/>
                <w:lang w:val="zh-CN" w:eastAsia="zh-CN" w:bidi="ar-SA"/>
              </w:rPr>
              <w:t>保证消防水源充足</w:t>
            </w:r>
            <w:r>
              <w:rPr>
                <w:rFonts w:hint="eastAsia" w:cs="Times New Roman"/>
                <w:color w:val="auto"/>
                <w:spacing w:val="4"/>
                <w:kern w:val="24"/>
                <w:sz w:val="21"/>
                <w:szCs w:val="21"/>
                <w:lang w:val="zh-CN" w:eastAsia="zh-CN" w:bidi="ar-SA"/>
              </w:rPr>
              <w:t>。</w:t>
            </w:r>
          </w:p>
          <w:p w14:paraId="45C721E2">
            <w:pPr>
              <w:pStyle w:val="30"/>
              <w:jc w:val="both"/>
              <w:rPr>
                <w:color w:val="auto"/>
                <w:sz w:val="21"/>
                <w:szCs w:val="21"/>
              </w:rPr>
            </w:pPr>
            <w:r>
              <w:rPr>
                <w:rFonts w:hint="eastAsia" w:ascii="Times New Roman" w:hAnsi="Times New Roman" w:eastAsia="宋体" w:cs="Times New Roman"/>
                <w:color w:val="auto"/>
                <w:spacing w:val="4"/>
                <w:kern w:val="24"/>
                <w:sz w:val="21"/>
                <w:szCs w:val="21"/>
                <w:lang w:val="zh-CN" w:eastAsia="zh-CN" w:bidi="ar-SA"/>
              </w:rPr>
              <w:t>（</w:t>
            </w:r>
            <w:r>
              <w:rPr>
                <w:rFonts w:hint="eastAsia" w:ascii="Times New Roman" w:hAnsi="Times New Roman" w:eastAsia="宋体" w:cs="Times New Roman"/>
                <w:color w:val="auto"/>
                <w:spacing w:val="4"/>
                <w:kern w:val="24"/>
                <w:sz w:val="21"/>
                <w:szCs w:val="21"/>
                <w:lang w:val="en-US" w:eastAsia="zh-CN" w:bidi="ar-SA"/>
              </w:rPr>
              <w:t>8</w:t>
            </w:r>
            <w:r>
              <w:rPr>
                <w:rFonts w:hint="eastAsia" w:ascii="Times New Roman" w:hAnsi="Times New Roman" w:eastAsia="宋体" w:cs="Times New Roman"/>
                <w:color w:val="auto"/>
                <w:spacing w:val="4"/>
                <w:kern w:val="24"/>
                <w:sz w:val="21"/>
                <w:szCs w:val="21"/>
                <w:lang w:val="zh-CN" w:eastAsia="zh-CN" w:bidi="ar-SA"/>
              </w:rPr>
              <w:t>）若发生火灾爆炸事故，会产生消防废水，消防废水禁止外排，经检测后委托有资质单位进行处置。</w:t>
            </w:r>
          </w:p>
        </w:tc>
      </w:tr>
      <w:tr w14:paraId="2B729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49" w:type="pct"/>
            <w:vAlign w:val="center"/>
          </w:tcPr>
          <w:p w14:paraId="3E0D5C95">
            <w:pPr>
              <w:spacing w:line="360" w:lineRule="auto"/>
              <w:jc w:val="center"/>
              <w:rPr>
                <w:color w:val="auto"/>
                <w:sz w:val="21"/>
                <w:szCs w:val="21"/>
              </w:rPr>
            </w:pPr>
            <w:r>
              <w:rPr>
                <w:color w:val="auto"/>
                <w:sz w:val="21"/>
                <w:szCs w:val="21"/>
              </w:rPr>
              <w:t>其他环境</w:t>
            </w:r>
          </w:p>
          <w:p w14:paraId="6AC4EB0E">
            <w:pPr>
              <w:spacing w:line="360" w:lineRule="auto"/>
              <w:jc w:val="center"/>
              <w:rPr>
                <w:color w:val="auto"/>
                <w:sz w:val="21"/>
                <w:szCs w:val="21"/>
              </w:rPr>
            </w:pPr>
            <w:r>
              <w:rPr>
                <w:color w:val="auto"/>
                <w:sz w:val="21"/>
                <w:szCs w:val="21"/>
              </w:rPr>
              <w:t>管理要求</w:t>
            </w:r>
          </w:p>
        </w:tc>
        <w:tc>
          <w:tcPr>
            <w:tcW w:w="4250" w:type="pct"/>
            <w:gridSpan w:val="4"/>
            <w:vAlign w:val="center"/>
          </w:tcPr>
          <w:p w14:paraId="3FB847C6">
            <w:pPr>
              <w:spacing w:line="360" w:lineRule="auto"/>
              <w:jc w:val="left"/>
              <w:rPr>
                <w:color w:val="auto"/>
                <w:sz w:val="21"/>
                <w:szCs w:val="21"/>
              </w:rPr>
            </w:pPr>
            <w:r>
              <w:rPr>
                <w:rFonts w:hint="eastAsia"/>
                <w:color w:val="auto"/>
                <w:sz w:val="21"/>
                <w:szCs w:val="21"/>
              </w:rPr>
              <w:t>（1）</w:t>
            </w:r>
            <w:r>
              <w:rPr>
                <w:color w:val="auto"/>
                <w:sz w:val="21"/>
                <w:szCs w:val="21"/>
              </w:rPr>
              <w:t>做好项目烟花爆竹出入厂区记录及转移联单工作；</w:t>
            </w:r>
          </w:p>
          <w:p w14:paraId="59E8F90B">
            <w:pPr>
              <w:spacing w:line="360" w:lineRule="auto"/>
              <w:jc w:val="left"/>
              <w:rPr>
                <w:color w:val="auto"/>
                <w:sz w:val="21"/>
                <w:szCs w:val="21"/>
              </w:rPr>
            </w:pPr>
            <w:r>
              <w:rPr>
                <w:rFonts w:hint="eastAsia"/>
                <w:color w:val="auto"/>
                <w:sz w:val="21"/>
                <w:szCs w:val="21"/>
              </w:rPr>
              <w:t>（2）</w:t>
            </w:r>
            <w:r>
              <w:rPr>
                <w:color w:val="auto"/>
                <w:sz w:val="21"/>
                <w:szCs w:val="21"/>
              </w:rPr>
              <w:t>制定环境管理方案，完善环境管理制度；</w:t>
            </w:r>
          </w:p>
          <w:p w14:paraId="0E2B1023">
            <w:pPr>
              <w:spacing w:line="360" w:lineRule="auto"/>
              <w:jc w:val="left"/>
              <w:rPr>
                <w:color w:val="auto"/>
                <w:sz w:val="21"/>
                <w:szCs w:val="21"/>
              </w:rPr>
            </w:pPr>
            <w:r>
              <w:rPr>
                <w:rFonts w:hint="eastAsia"/>
                <w:color w:val="auto"/>
                <w:sz w:val="21"/>
                <w:szCs w:val="21"/>
              </w:rPr>
              <w:t>（3）</w:t>
            </w:r>
            <w:r>
              <w:rPr>
                <w:color w:val="auto"/>
                <w:sz w:val="21"/>
                <w:szCs w:val="21"/>
              </w:rPr>
              <w:t>做好员工上岗培训工作；</w:t>
            </w:r>
          </w:p>
          <w:p w14:paraId="754ACB63">
            <w:pPr>
              <w:spacing w:line="360" w:lineRule="auto"/>
              <w:jc w:val="left"/>
              <w:rPr>
                <w:color w:val="auto"/>
                <w:sz w:val="21"/>
                <w:szCs w:val="21"/>
              </w:rPr>
            </w:pPr>
            <w:r>
              <w:rPr>
                <w:rFonts w:hint="eastAsia"/>
                <w:color w:val="auto"/>
                <w:sz w:val="21"/>
                <w:szCs w:val="21"/>
              </w:rPr>
              <w:t>（4）</w:t>
            </w:r>
            <w:r>
              <w:rPr>
                <w:color w:val="auto"/>
                <w:sz w:val="21"/>
                <w:szCs w:val="21"/>
              </w:rPr>
              <w:t>制度自行监测方案，做好环境跟踪监测工作。</w:t>
            </w:r>
          </w:p>
          <w:p w14:paraId="40221A68">
            <w:pPr>
              <w:pageBreakBefore w:val="0"/>
              <w:kinsoku/>
              <w:overflowPunct/>
              <w:topLinePunct w:val="0"/>
              <w:bidi w:val="0"/>
              <w:spacing w:line="360" w:lineRule="auto"/>
              <w:ind w:firstLine="480"/>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监测计划：</w:t>
            </w:r>
          </w:p>
          <w:p w14:paraId="3528BB27">
            <w:pPr>
              <w:pageBreakBefore w:val="0"/>
              <w:kinsoku/>
              <w:overflowPunct/>
              <w:topLinePunct w:val="0"/>
              <w:bidi w:val="0"/>
              <w:spacing w:line="360" w:lineRule="auto"/>
              <w:ind w:firstLine="48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环境监测是企业搞好环境管理，促进污染治理设施正常运行的主要保障。通过定期的环境监测，可以及时发现问题、解决问题，从而有利于监督各项环保措施的落实。本项目营运期的监测计划见</w:t>
            </w:r>
            <w:r>
              <w:rPr>
                <w:rFonts w:hint="default" w:ascii="Times New Roman" w:hAnsi="Times New Roman" w:eastAsia="宋体" w:cs="Times New Roman"/>
                <w:color w:val="auto"/>
                <w:sz w:val="21"/>
                <w:szCs w:val="21"/>
                <w:lang w:val="en-US" w:eastAsia="zh-CN"/>
              </w:rPr>
              <w:t>下</w:t>
            </w:r>
            <w:r>
              <w:rPr>
                <w:rFonts w:hint="default" w:ascii="Times New Roman" w:hAnsi="Times New Roman" w:eastAsia="宋体" w:cs="Times New Roman"/>
                <w:color w:val="auto"/>
                <w:sz w:val="21"/>
                <w:szCs w:val="21"/>
              </w:rPr>
              <w:t>表。</w:t>
            </w:r>
          </w:p>
          <w:p w14:paraId="0628D99C">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 xml:space="preserve">5-1  </w:t>
            </w:r>
            <w:r>
              <w:rPr>
                <w:rFonts w:hint="default" w:ascii="Times New Roman" w:hAnsi="Times New Roman" w:eastAsia="宋体" w:cs="Times New Roman"/>
                <w:b/>
                <w:bCs/>
                <w:color w:val="auto"/>
                <w:sz w:val="21"/>
                <w:szCs w:val="21"/>
                <w:lang w:val="en-US" w:eastAsia="zh-CN"/>
              </w:rPr>
              <w:t>本项目监测计划一览表</w:t>
            </w:r>
          </w:p>
          <w:tbl>
            <w:tblPr>
              <w:tblStyle w:val="23"/>
              <w:tblW w:w="498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72"/>
              <w:gridCol w:w="1456"/>
              <w:gridCol w:w="1518"/>
              <w:gridCol w:w="2222"/>
              <w:gridCol w:w="1201"/>
            </w:tblGrid>
            <w:tr w14:paraId="7130E6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38" w:type="pct"/>
                  <w:noWrap w:val="0"/>
                  <w:vAlign w:val="center"/>
                </w:tcPr>
                <w:p w14:paraId="5393905E">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类别</w:t>
                  </w:r>
                </w:p>
              </w:tc>
              <w:tc>
                <w:tcPr>
                  <w:tcW w:w="1015" w:type="pct"/>
                  <w:noWrap w:val="0"/>
                  <w:vAlign w:val="center"/>
                </w:tcPr>
                <w:p w14:paraId="4053B3A5">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监测项目</w:t>
                  </w:r>
                </w:p>
              </w:tc>
              <w:tc>
                <w:tcPr>
                  <w:tcW w:w="1058" w:type="pct"/>
                  <w:noWrap w:val="0"/>
                  <w:vAlign w:val="center"/>
                </w:tcPr>
                <w:p w14:paraId="21803C34">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监测点位</w:t>
                  </w:r>
                </w:p>
              </w:tc>
              <w:tc>
                <w:tcPr>
                  <w:tcW w:w="1549" w:type="pct"/>
                  <w:noWrap w:val="0"/>
                  <w:vAlign w:val="center"/>
                </w:tcPr>
                <w:p w14:paraId="41C3BA5C">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监测内容</w:t>
                  </w:r>
                </w:p>
              </w:tc>
              <w:tc>
                <w:tcPr>
                  <w:tcW w:w="837" w:type="pct"/>
                  <w:noWrap w:val="0"/>
                  <w:vAlign w:val="center"/>
                </w:tcPr>
                <w:p w14:paraId="73E6D858">
                  <w:pPr>
                    <w:pageBreakBefore w:val="0"/>
                    <w:kinsoku/>
                    <w:overflowPunct/>
                    <w:topLinePunct w:val="0"/>
                    <w:bidi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监测频次</w:t>
                  </w:r>
                </w:p>
              </w:tc>
            </w:tr>
            <w:tr w14:paraId="72DDA3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8" w:hRule="atLeast"/>
                <w:jc w:val="center"/>
              </w:trPr>
              <w:tc>
                <w:tcPr>
                  <w:tcW w:w="538" w:type="pct"/>
                  <w:noWrap w:val="0"/>
                  <w:vAlign w:val="center"/>
                </w:tcPr>
                <w:p w14:paraId="0FC36BD1">
                  <w:pPr>
                    <w:pageBreakBefore w:val="0"/>
                    <w:kinsoku/>
                    <w:overflowPunct/>
                    <w:topLinePunct w:val="0"/>
                    <w:bidi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废水</w:t>
                  </w:r>
                </w:p>
              </w:tc>
              <w:tc>
                <w:tcPr>
                  <w:tcW w:w="1015" w:type="pct"/>
                  <w:noWrap w:val="0"/>
                  <w:vAlign w:val="center"/>
                </w:tcPr>
                <w:p w14:paraId="17BC1AB1">
                  <w:pPr>
                    <w:pageBreakBefore w:val="0"/>
                    <w:kinsoku/>
                    <w:overflowPunct/>
                    <w:topLinePunct w:val="0"/>
                    <w:bidi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生活废水</w:t>
                  </w:r>
                </w:p>
              </w:tc>
              <w:tc>
                <w:tcPr>
                  <w:tcW w:w="1058" w:type="pct"/>
                  <w:noWrap w:val="0"/>
                  <w:vAlign w:val="center"/>
                </w:tcPr>
                <w:p w14:paraId="727C2ED1">
                  <w:pPr>
                    <w:pageBreakBefore w:val="0"/>
                    <w:widowControl/>
                    <w:kinsoku/>
                    <w:overflowPunct/>
                    <w:topLinePunct w:val="0"/>
                    <w:bidi w:val="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化粪池</w:t>
                  </w:r>
                </w:p>
              </w:tc>
              <w:tc>
                <w:tcPr>
                  <w:tcW w:w="1549" w:type="pct"/>
                  <w:tcBorders>
                    <w:top w:val="single" w:color="auto" w:sz="4" w:space="0"/>
                  </w:tcBorders>
                  <w:noWrap w:val="0"/>
                  <w:vAlign w:val="center"/>
                </w:tcPr>
                <w:p w14:paraId="0B88CC46">
                  <w:pPr>
                    <w:pageBreakBefore w:val="0"/>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pH值、化学需氧量、氨氮</w:t>
                  </w:r>
                  <w:r>
                    <w:rPr>
                      <w:rFonts w:hint="eastAsia" w:cs="Times New Roman"/>
                      <w:color w:val="auto"/>
                      <w:sz w:val="21"/>
                      <w:szCs w:val="21"/>
                      <w:lang w:eastAsia="zh-CN"/>
                    </w:rPr>
                    <w:t>、</w:t>
                  </w:r>
                  <w:r>
                    <w:rPr>
                      <w:rFonts w:hint="eastAsia" w:cs="Times New Roman"/>
                      <w:color w:val="auto"/>
                      <w:sz w:val="21"/>
                      <w:szCs w:val="21"/>
                      <w:lang w:val="en-US" w:eastAsia="zh-CN"/>
                    </w:rPr>
                    <w:t>动植物油、</w:t>
                  </w:r>
                  <w:r>
                    <w:rPr>
                      <w:rFonts w:hint="default" w:ascii="Times New Roman" w:hAnsi="Times New Roman" w:eastAsia="宋体" w:cs="Times New Roman"/>
                      <w:color w:val="auto"/>
                      <w:sz w:val="21"/>
                      <w:szCs w:val="21"/>
                    </w:rPr>
                    <w:t>总磷、总氮、悬浮物、五日生化需氧量</w:t>
                  </w:r>
                </w:p>
              </w:tc>
              <w:tc>
                <w:tcPr>
                  <w:tcW w:w="837" w:type="pct"/>
                  <w:tcBorders>
                    <w:top w:val="single" w:color="auto" w:sz="4" w:space="0"/>
                  </w:tcBorders>
                  <w:noWrap w:val="0"/>
                  <w:vAlign w:val="center"/>
                </w:tcPr>
                <w:p w14:paraId="0EA01CC2">
                  <w:pPr>
                    <w:pageBreakBefore w:val="0"/>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r>
            <w:tr w14:paraId="2D614E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7" w:hRule="atLeast"/>
                <w:jc w:val="center"/>
              </w:trPr>
              <w:tc>
                <w:tcPr>
                  <w:tcW w:w="538" w:type="pct"/>
                  <w:noWrap w:val="0"/>
                  <w:vAlign w:val="center"/>
                </w:tcPr>
                <w:p w14:paraId="7636A27B">
                  <w:pPr>
                    <w:pageBreakBefore w:val="0"/>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015" w:type="pct"/>
                  <w:noWrap w:val="0"/>
                  <w:vAlign w:val="center"/>
                </w:tcPr>
                <w:p w14:paraId="1C57051C">
                  <w:pPr>
                    <w:pageBreakBefore w:val="0"/>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w:t>
                  </w:r>
                </w:p>
              </w:tc>
              <w:tc>
                <w:tcPr>
                  <w:tcW w:w="1058" w:type="pct"/>
                  <w:noWrap w:val="0"/>
                  <w:vAlign w:val="center"/>
                </w:tcPr>
                <w:p w14:paraId="13E00305">
                  <w:pPr>
                    <w:pageBreakBefore w:val="0"/>
                    <w:widowControl/>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东南西北4厂界</w:t>
                  </w:r>
                </w:p>
              </w:tc>
              <w:tc>
                <w:tcPr>
                  <w:tcW w:w="1549" w:type="pct"/>
                  <w:noWrap w:val="0"/>
                  <w:vAlign w:val="center"/>
                </w:tcPr>
                <w:p w14:paraId="5DE0CA91">
                  <w:pPr>
                    <w:pageBreakBefore w:val="0"/>
                    <w:widowControl/>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等效连续A声级</w:t>
                  </w:r>
                </w:p>
              </w:tc>
              <w:tc>
                <w:tcPr>
                  <w:tcW w:w="837" w:type="pct"/>
                  <w:noWrap w:val="0"/>
                  <w:vAlign w:val="center"/>
                </w:tcPr>
                <w:p w14:paraId="0CAE9E88">
                  <w:pPr>
                    <w:pageBreakBefore w:val="0"/>
                    <w:kinsoku/>
                    <w:overflowPunct/>
                    <w:topLinePunct w:val="0"/>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1次/季度</w:t>
                  </w:r>
                </w:p>
              </w:tc>
            </w:tr>
          </w:tbl>
          <w:p w14:paraId="3E997112">
            <w:pPr>
              <w:pStyle w:val="3"/>
              <w:rPr>
                <w:color w:val="auto"/>
              </w:rPr>
            </w:pPr>
          </w:p>
        </w:tc>
      </w:tr>
    </w:tbl>
    <w:p w14:paraId="57671009">
      <w:pPr>
        <w:pStyle w:val="31"/>
        <w:ind w:firstLine="480"/>
        <w:rPr>
          <w:rFonts w:eastAsiaTheme="minorEastAsia"/>
          <w:color w:val="auto"/>
        </w:rPr>
      </w:pPr>
      <w:r>
        <w:rPr>
          <w:color w:val="auto"/>
        </w:rPr>
        <w:br w:type="page"/>
      </w:r>
    </w:p>
    <w:p w14:paraId="37F98940">
      <w:pPr>
        <w:pStyle w:val="4"/>
        <w:rPr>
          <w:rFonts w:eastAsia="宋体"/>
          <w:color w:val="auto"/>
          <w:sz w:val="21"/>
          <w:szCs w:val="21"/>
        </w:rPr>
      </w:pPr>
      <w:r>
        <w:rPr>
          <w:rFonts w:eastAsia="宋体"/>
          <w:color w:val="auto"/>
        </w:rPr>
        <w:t>六、结论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74E5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DE93152">
            <w:pPr>
              <w:spacing w:line="360" w:lineRule="auto"/>
              <w:ind w:firstLine="480" w:firstLineChars="200"/>
              <w:rPr>
                <w:color w:val="auto"/>
              </w:rPr>
            </w:pPr>
            <w:r>
              <w:rPr>
                <w:color w:val="auto"/>
                <w:sz w:val="24"/>
                <w:szCs w:val="24"/>
              </w:rPr>
              <w:t>根据分析评价，本项目符合国家和地方相关产业政策，符合达标排放和总量控制要求，场内平面布置合理。该项目的建设，对当地经济发展起到一定的促进作用。对产生的废气、污水、噪声、固废采取措施治理后，能够实现污染物的达标排放，不会对环境造成大的影响，不会降低当地的环境功能。在严格执行有关环保法规和“三同时”制度，认真落实本报告提出的各项污染防治措施的基础上，该项目能够实现社会效益、经济效益和环境效益的协调发展。从环境保护角度分析，该项目可行。</w:t>
            </w:r>
          </w:p>
        </w:tc>
      </w:tr>
    </w:tbl>
    <w:p w14:paraId="1B620582">
      <w:pPr>
        <w:rPr>
          <w:rFonts w:ascii="Times New Roman" w:hAnsi="Times New Roman" w:cs="Times New Roman" w:eastAsiaTheme="minorEastAsia"/>
          <w:color w:val="auto"/>
          <w:sz w:val="21"/>
          <w:szCs w:val="21"/>
        </w:rPr>
        <w:sectPr>
          <w:footerReference r:id="rId5" w:type="default"/>
          <w:pgSz w:w="11906" w:h="16838"/>
          <w:pgMar w:top="1531" w:right="1701" w:bottom="1531" w:left="1701" w:header="851" w:footer="851" w:gutter="0"/>
          <w:pgBorders>
            <w:top w:val="none" w:sz="0" w:space="0"/>
            <w:left w:val="none" w:sz="0" w:space="0"/>
            <w:bottom w:val="none" w:sz="0" w:space="0"/>
            <w:right w:val="none" w:sz="0" w:space="0"/>
          </w:pgBorders>
          <w:pgNumType w:fmt="decimal" w:start="1"/>
          <w:cols w:space="720" w:num="1"/>
          <w:docGrid w:linePitch="312" w:charSpace="0"/>
        </w:sectPr>
      </w:pPr>
    </w:p>
    <w:p w14:paraId="4C26FC5C">
      <w:pPr>
        <w:pStyle w:val="30"/>
        <w:rPr>
          <w:color w:val="auto"/>
        </w:rPr>
      </w:pPr>
    </w:p>
    <w:p w14:paraId="593F7FCD">
      <w:pPr>
        <w:rPr>
          <w:b/>
          <w:bCs/>
          <w:color w:val="auto"/>
          <w:sz w:val="32"/>
          <w:szCs w:val="32"/>
        </w:rPr>
      </w:pPr>
      <w:r>
        <w:rPr>
          <w:b/>
          <w:bCs/>
          <w:color w:val="auto"/>
          <w:sz w:val="32"/>
          <w:szCs w:val="32"/>
        </w:rPr>
        <w:t>附表</w:t>
      </w:r>
    </w:p>
    <w:p w14:paraId="36815090">
      <w:pPr>
        <w:jc w:val="center"/>
        <w:rPr>
          <w:b/>
          <w:bCs/>
          <w:color w:val="auto"/>
          <w:szCs w:val="21"/>
        </w:rPr>
      </w:pPr>
      <w:r>
        <w:rPr>
          <w:b/>
          <w:bCs/>
          <w:color w:val="auto"/>
          <w:sz w:val="32"/>
          <w:szCs w:val="32"/>
        </w:rPr>
        <w:t>建设项目污染物排放量汇总表</w:t>
      </w:r>
    </w:p>
    <w:tbl>
      <w:tblPr>
        <w:tblStyle w:val="2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735"/>
        <w:gridCol w:w="1701"/>
        <w:gridCol w:w="1276"/>
        <w:gridCol w:w="1701"/>
        <w:gridCol w:w="1559"/>
        <w:gridCol w:w="1761"/>
        <w:gridCol w:w="1959"/>
        <w:gridCol w:w="826"/>
      </w:tblGrid>
      <w:tr w14:paraId="001DE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70" w:type="dxa"/>
            <w:tcBorders>
              <w:tl2br w:val="single" w:color="auto" w:sz="4" w:space="0"/>
            </w:tcBorders>
            <w:tcMar>
              <w:left w:w="28" w:type="dxa"/>
              <w:right w:w="28" w:type="dxa"/>
            </w:tcMar>
            <w:vAlign w:val="center"/>
          </w:tcPr>
          <w:p w14:paraId="24B48388">
            <w:pPr>
              <w:ind w:firstLine="211" w:firstLineChars="100"/>
              <w:jc w:val="center"/>
              <w:rPr>
                <w:b/>
                <w:bCs/>
                <w:color w:val="auto"/>
                <w:szCs w:val="21"/>
              </w:rPr>
            </w:pPr>
            <w:r>
              <w:rPr>
                <w:rFonts w:hint="eastAsia"/>
                <w:b/>
                <w:bCs/>
                <w:color w:val="auto"/>
                <w:szCs w:val="21"/>
                <w:lang w:val="en-US" w:eastAsia="zh-CN"/>
              </w:rPr>
              <w:t xml:space="preserve">     </w:t>
            </w:r>
            <w:r>
              <w:rPr>
                <w:b/>
                <w:bCs/>
                <w:color w:val="auto"/>
                <w:szCs w:val="21"/>
              </w:rPr>
              <w:t>项目</w:t>
            </w:r>
          </w:p>
          <w:p w14:paraId="518AFBC4">
            <w:pPr>
              <w:jc w:val="both"/>
              <w:rPr>
                <w:b/>
                <w:bCs/>
                <w:color w:val="auto"/>
                <w:szCs w:val="21"/>
              </w:rPr>
            </w:pPr>
            <w:r>
              <w:rPr>
                <w:b/>
                <w:bCs/>
                <w:color w:val="auto"/>
                <w:szCs w:val="21"/>
              </w:rPr>
              <w:t>分类</w:t>
            </w:r>
          </w:p>
        </w:tc>
        <w:tc>
          <w:tcPr>
            <w:tcW w:w="1735" w:type="dxa"/>
            <w:tcMar>
              <w:left w:w="28" w:type="dxa"/>
              <w:right w:w="28" w:type="dxa"/>
            </w:tcMar>
            <w:vAlign w:val="center"/>
          </w:tcPr>
          <w:p w14:paraId="04E6C9C2">
            <w:pPr>
              <w:jc w:val="center"/>
              <w:rPr>
                <w:b/>
                <w:bCs/>
                <w:color w:val="auto"/>
                <w:szCs w:val="21"/>
              </w:rPr>
            </w:pPr>
            <w:r>
              <w:rPr>
                <w:b/>
                <w:bCs/>
                <w:color w:val="auto"/>
                <w:szCs w:val="21"/>
              </w:rPr>
              <w:t>污染物名称</w:t>
            </w:r>
          </w:p>
        </w:tc>
        <w:tc>
          <w:tcPr>
            <w:tcW w:w="1701" w:type="dxa"/>
            <w:tcMar>
              <w:left w:w="28" w:type="dxa"/>
              <w:right w:w="28" w:type="dxa"/>
            </w:tcMar>
            <w:vAlign w:val="center"/>
          </w:tcPr>
          <w:p w14:paraId="79B96302">
            <w:pPr>
              <w:jc w:val="center"/>
              <w:rPr>
                <w:b/>
                <w:bCs/>
                <w:color w:val="auto"/>
                <w:szCs w:val="21"/>
              </w:rPr>
            </w:pPr>
            <w:r>
              <w:rPr>
                <w:b/>
                <w:bCs/>
                <w:color w:val="auto"/>
                <w:szCs w:val="21"/>
              </w:rPr>
              <w:t>现有工程</w:t>
            </w:r>
          </w:p>
          <w:p w14:paraId="0C51518A">
            <w:pPr>
              <w:jc w:val="center"/>
              <w:rPr>
                <w:b/>
                <w:bCs/>
                <w:color w:val="auto"/>
                <w:szCs w:val="21"/>
              </w:rPr>
            </w:pPr>
            <w:r>
              <w:rPr>
                <w:b/>
                <w:bCs/>
                <w:color w:val="auto"/>
                <w:szCs w:val="21"/>
              </w:rPr>
              <w:t>排放量（固体废物产生量）</w:t>
            </w:r>
            <w:r>
              <w:rPr>
                <w:b/>
                <w:bCs/>
                <w:color w:val="auto"/>
                <w:szCs w:val="21"/>
              </w:rPr>
              <w:fldChar w:fldCharType="begin"/>
            </w:r>
            <w:r>
              <w:rPr>
                <w:b/>
                <w:bCs/>
                <w:color w:val="auto"/>
                <w:szCs w:val="21"/>
              </w:rPr>
              <w:instrText xml:space="preserve"> = 1 \* GB3 \* MERGEFORMAT </w:instrText>
            </w:r>
            <w:r>
              <w:rPr>
                <w:b/>
                <w:bCs/>
                <w:color w:val="auto"/>
                <w:szCs w:val="21"/>
              </w:rPr>
              <w:fldChar w:fldCharType="separate"/>
            </w:r>
            <w:r>
              <w:rPr>
                <w:b/>
                <w:bCs/>
                <w:color w:val="auto"/>
                <w:szCs w:val="21"/>
              </w:rPr>
              <w:t>①</w:t>
            </w:r>
            <w:r>
              <w:rPr>
                <w:b/>
                <w:bCs/>
                <w:color w:val="auto"/>
                <w:szCs w:val="21"/>
              </w:rPr>
              <w:fldChar w:fldCharType="end"/>
            </w:r>
          </w:p>
        </w:tc>
        <w:tc>
          <w:tcPr>
            <w:tcW w:w="1276" w:type="dxa"/>
            <w:tcMar>
              <w:left w:w="28" w:type="dxa"/>
              <w:right w:w="28" w:type="dxa"/>
            </w:tcMar>
            <w:vAlign w:val="center"/>
          </w:tcPr>
          <w:p w14:paraId="0D3356D9">
            <w:pPr>
              <w:jc w:val="center"/>
              <w:rPr>
                <w:b/>
                <w:bCs/>
                <w:color w:val="auto"/>
                <w:szCs w:val="21"/>
              </w:rPr>
            </w:pPr>
            <w:r>
              <w:rPr>
                <w:b/>
                <w:bCs/>
                <w:color w:val="auto"/>
                <w:szCs w:val="21"/>
              </w:rPr>
              <w:t>现有工程</w:t>
            </w:r>
          </w:p>
          <w:p w14:paraId="1B58C16B">
            <w:pPr>
              <w:jc w:val="center"/>
              <w:rPr>
                <w:b/>
                <w:bCs/>
                <w:color w:val="auto"/>
                <w:szCs w:val="21"/>
              </w:rPr>
            </w:pPr>
            <w:r>
              <w:rPr>
                <w:b/>
                <w:bCs/>
                <w:color w:val="auto"/>
                <w:szCs w:val="21"/>
              </w:rPr>
              <w:t>许可排放量</w:t>
            </w:r>
          </w:p>
          <w:p w14:paraId="669E3A6B">
            <w:pPr>
              <w:jc w:val="center"/>
              <w:rPr>
                <w:b/>
                <w:bCs/>
                <w:color w:val="auto"/>
                <w:szCs w:val="21"/>
              </w:rPr>
            </w:pPr>
            <w:r>
              <w:rPr>
                <w:b/>
                <w:bCs/>
                <w:color w:val="auto"/>
                <w:szCs w:val="21"/>
              </w:rPr>
              <w:fldChar w:fldCharType="begin"/>
            </w:r>
            <w:r>
              <w:rPr>
                <w:b/>
                <w:bCs/>
                <w:color w:val="auto"/>
                <w:szCs w:val="21"/>
              </w:rPr>
              <w:instrText xml:space="preserve"> = 2 \* GB3 \* MERGEFORMAT </w:instrText>
            </w:r>
            <w:r>
              <w:rPr>
                <w:b/>
                <w:bCs/>
                <w:color w:val="auto"/>
                <w:szCs w:val="21"/>
              </w:rPr>
              <w:fldChar w:fldCharType="separate"/>
            </w:r>
            <w:r>
              <w:rPr>
                <w:b/>
                <w:bCs/>
                <w:color w:val="auto"/>
                <w:szCs w:val="21"/>
              </w:rPr>
              <w:t>②</w:t>
            </w:r>
            <w:r>
              <w:rPr>
                <w:b/>
                <w:bCs/>
                <w:color w:val="auto"/>
                <w:szCs w:val="21"/>
              </w:rPr>
              <w:fldChar w:fldCharType="end"/>
            </w:r>
          </w:p>
        </w:tc>
        <w:tc>
          <w:tcPr>
            <w:tcW w:w="1701" w:type="dxa"/>
            <w:tcMar>
              <w:left w:w="28" w:type="dxa"/>
              <w:right w:w="28" w:type="dxa"/>
            </w:tcMar>
            <w:vAlign w:val="center"/>
          </w:tcPr>
          <w:p w14:paraId="3C65377B">
            <w:pPr>
              <w:jc w:val="center"/>
              <w:rPr>
                <w:b/>
                <w:bCs/>
                <w:color w:val="auto"/>
                <w:szCs w:val="21"/>
              </w:rPr>
            </w:pPr>
            <w:r>
              <w:rPr>
                <w:b/>
                <w:bCs/>
                <w:color w:val="auto"/>
                <w:szCs w:val="21"/>
              </w:rPr>
              <w:t>在建工程</w:t>
            </w:r>
          </w:p>
          <w:p w14:paraId="76DE130A">
            <w:pPr>
              <w:jc w:val="center"/>
              <w:rPr>
                <w:b/>
                <w:bCs/>
                <w:color w:val="auto"/>
                <w:szCs w:val="21"/>
              </w:rPr>
            </w:pPr>
            <w:r>
              <w:rPr>
                <w:b/>
                <w:bCs/>
                <w:color w:val="auto"/>
                <w:szCs w:val="21"/>
              </w:rPr>
              <w:t>排放量（固体废物产生量）</w:t>
            </w:r>
            <w:r>
              <w:rPr>
                <w:b/>
                <w:bCs/>
                <w:color w:val="auto"/>
                <w:szCs w:val="21"/>
              </w:rPr>
              <w:fldChar w:fldCharType="begin"/>
            </w:r>
            <w:r>
              <w:rPr>
                <w:b/>
                <w:bCs/>
                <w:color w:val="auto"/>
                <w:szCs w:val="21"/>
              </w:rPr>
              <w:instrText xml:space="preserve"> = 3 \* GB3 \* MERGEFORMAT </w:instrText>
            </w:r>
            <w:r>
              <w:rPr>
                <w:b/>
                <w:bCs/>
                <w:color w:val="auto"/>
                <w:szCs w:val="21"/>
              </w:rPr>
              <w:fldChar w:fldCharType="separate"/>
            </w:r>
            <w:r>
              <w:rPr>
                <w:b/>
                <w:bCs/>
                <w:color w:val="auto"/>
                <w:szCs w:val="21"/>
              </w:rPr>
              <w:t>③</w:t>
            </w:r>
            <w:r>
              <w:rPr>
                <w:b/>
                <w:bCs/>
                <w:color w:val="auto"/>
                <w:szCs w:val="21"/>
              </w:rPr>
              <w:fldChar w:fldCharType="end"/>
            </w:r>
          </w:p>
        </w:tc>
        <w:tc>
          <w:tcPr>
            <w:tcW w:w="1559" w:type="dxa"/>
            <w:tcMar>
              <w:left w:w="28" w:type="dxa"/>
              <w:right w:w="28" w:type="dxa"/>
            </w:tcMar>
            <w:vAlign w:val="center"/>
          </w:tcPr>
          <w:p w14:paraId="14A1194B">
            <w:pPr>
              <w:jc w:val="center"/>
              <w:rPr>
                <w:b/>
                <w:bCs/>
                <w:color w:val="auto"/>
                <w:szCs w:val="21"/>
              </w:rPr>
            </w:pPr>
            <w:r>
              <w:rPr>
                <w:b/>
                <w:bCs/>
                <w:color w:val="auto"/>
                <w:szCs w:val="21"/>
              </w:rPr>
              <w:t>本项目</w:t>
            </w:r>
          </w:p>
          <w:p w14:paraId="3D870458">
            <w:pPr>
              <w:jc w:val="center"/>
              <w:rPr>
                <w:b/>
                <w:bCs/>
                <w:color w:val="auto"/>
                <w:szCs w:val="21"/>
              </w:rPr>
            </w:pPr>
            <w:r>
              <w:rPr>
                <w:b/>
                <w:bCs/>
                <w:color w:val="auto"/>
                <w:szCs w:val="21"/>
              </w:rPr>
              <w:t>排放量（固体废物产生量）</w:t>
            </w:r>
            <w:r>
              <w:rPr>
                <w:b/>
                <w:bCs/>
                <w:color w:val="auto"/>
                <w:szCs w:val="21"/>
              </w:rPr>
              <w:fldChar w:fldCharType="begin"/>
            </w:r>
            <w:r>
              <w:rPr>
                <w:b/>
                <w:bCs/>
                <w:color w:val="auto"/>
                <w:szCs w:val="21"/>
              </w:rPr>
              <w:instrText xml:space="preserve"> = 4 \* GB3 \* MERGEFORMAT </w:instrText>
            </w:r>
            <w:r>
              <w:rPr>
                <w:b/>
                <w:bCs/>
                <w:color w:val="auto"/>
                <w:szCs w:val="21"/>
              </w:rPr>
              <w:fldChar w:fldCharType="separate"/>
            </w:r>
            <w:r>
              <w:rPr>
                <w:b/>
                <w:bCs/>
                <w:color w:val="auto"/>
                <w:szCs w:val="21"/>
              </w:rPr>
              <w:t>④</w:t>
            </w:r>
            <w:r>
              <w:rPr>
                <w:b/>
                <w:bCs/>
                <w:color w:val="auto"/>
                <w:szCs w:val="21"/>
              </w:rPr>
              <w:fldChar w:fldCharType="end"/>
            </w:r>
          </w:p>
        </w:tc>
        <w:tc>
          <w:tcPr>
            <w:tcW w:w="1761" w:type="dxa"/>
            <w:tcMar>
              <w:left w:w="28" w:type="dxa"/>
              <w:right w:w="28" w:type="dxa"/>
            </w:tcMar>
            <w:vAlign w:val="center"/>
          </w:tcPr>
          <w:p w14:paraId="1E96A03D">
            <w:pPr>
              <w:jc w:val="center"/>
              <w:rPr>
                <w:b/>
                <w:bCs/>
                <w:color w:val="auto"/>
                <w:szCs w:val="21"/>
              </w:rPr>
            </w:pPr>
            <w:r>
              <w:rPr>
                <w:b/>
                <w:bCs/>
                <w:color w:val="auto"/>
                <w:szCs w:val="21"/>
              </w:rPr>
              <w:t>以新带老削减量</w:t>
            </w:r>
          </w:p>
          <w:p w14:paraId="47F24126">
            <w:pPr>
              <w:jc w:val="center"/>
              <w:rPr>
                <w:b/>
                <w:bCs/>
                <w:color w:val="auto"/>
                <w:szCs w:val="21"/>
              </w:rPr>
            </w:pPr>
            <w:r>
              <w:rPr>
                <w:b/>
                <w:bCs/>
                <w:color w:val="auto"/>
                <w:szCs w:val="21"/>
              </w:rPr>
              <w:t>（新建项目不填）</w:t>
            </w:r>
            <w:r>
              <w:rPr>
                <w:b/>
                <w:bCs/>
                <w:color w:val="auto"/>
                <w:szCs w:val="21"/>
              </w:rPr>
              <w:fldChar w:fldCharType="begin"/>
            </w:r>
            <w:r>
              <w:rPr>
                <w:b/>
                <w:bCs/>
                <w:color w:val="auto"/>
                <w:szCs w:val="21"/>
              </w:rPr>
              <w:instrText xml:space="preserve"> = 5 \* GB3 \* MERGEFORMAT </w:instrText>
            </w:r>
            <w:r>
              <w:rPr>
                <w:b/>
                <w:bCs/>
                <w:color w:val="auto"/>
                <w:szCs w:val="21"/>
              </w:rPr>
              <w:fldChar w:fldCharType="separate"/>
            </w:r>
            <w:r>
              <w:rPr>
                <w:b/>
                <w:bCs/>
                <w:color w:val="auto"/>
                <w:szCs w:val="21"/>
              </w:rPr>
              <w:t>⑤</w:t>
            </w:r>
            <w:r>
              <w:rPr>
                <w:b/>
                <w:bCs/>
                <w:color w:val="auto"/>
                <w:szCs w:val="21"/>
              </w:rPr>
              <w:fldChar w:fldCharType="end"/>
            </w:r>
          </w:p>
        </w:tc>
        <w:tc>
          <w:tcPr>
            <w:tcW w:w="1959" w:type="dxa"/>
            <w:tcMar>
              <w:left w:w="28" w:type="dxa"/>
              <w:right w:w="28" w:type="dxa"/>
            </w:tcMar>
            <w:vAlign w:val="center"/>
          </w:tcPr>
          <w:p w14:paraId="3DCFD08B">
            <w:pPr>
              <w:jc w:val="center"/>
              <w:rPr>
                <w:b/>
                <w:bCs/>
                <w:color w:val="auto"/>
                <w:szCs w:val="21"/>
              </w:rPr>
            </w:pPr>
            <w:r>
              <w:rPr>
                <w:b/>
                <w:bCs/>
                <w:color w:val="auto"/>
                <w:szCs w:val="21"/>
              </w:rPr>
              <w:t>本项目建成后</w:t>
            </w:r>
          </w:p>
          <w:p w14:paraId="13D5BB43">
            <w:pPr>
              <w:jc w:val="center"/>
              <w:rPr>
                <w:b/>
                <w:bCs/>
                <w:color w:val="auto"/>
                <w:szCs w:val="21"/>
              </w:rPr>
            </w:pPr>
            <w:r>
              <w:rPr>
                <w:b/>
                <w:bCs/>
                <w:color w:val="auto"/>
                <w:szCs w:val="21"/>
              </w:rPr>
              <w:t>全厂排放量（固体废物产生量）</w:t>
            </w:r>
            <w:r>
              <w:rPr>
                <w:b/>
                <w:bCs/>
                <w:color w:val="auto"/>
                <w:szCs w:val="21"/>
              </w:rPr>
              <w:fldChar w:fldCharType="begin"/>
            </w:r>
            <w:r>
              <w:rPr>
                <w:b/>
                <w:bCs/>
                <w:color w:val="auto"/>
                <w:szCs w:val="21"/>
              </w:rPr>
              <w:instrText xml:space="preserve"> = 6 \* GB3 \* MERGEFORMAT </w:instrText>
            </w:r>
            <w:r>
              <w:rPr>
                <w:b/>
                <w:bCs/>
                <w:color w:val="auto"/>
                <w:szCs w:val="21"/>
              </w:rPr>
              <w:fldChar w:fldCharType="separate"/>
            </w:r>
            <w:r>
              <w:rPr>
                <w:b/>
                <w:bCs/>
                <w:color w:val="auto"/>
                <w:szCs w:val="21"/>
              </w:rPr>
              <w:t>⑥</w:t>
            </w:r>
            <w:r>
              <w:rPr>
                <w:b/>
                <w:bCs/>
                <w:color w:val="auto"/>
                <w:szCs w:val="21"/>
              </w:rPr>
              <w:fldChar w:fldCharType="end"/>
            </w:r>
          </w:p>
        </w:tc>
        <w:tc>
          <w:tcPr>
            <w:tcW w:w="826" w:type="dxa"/>
            <w:tcMar>
              <w:left w:w="28" w:type="dxa"/>
              <w:right w:w="28" w:type="dxa"/>
            </w:tcMar>
            <w:vAlign w:val="center"/>
          </w:tcPr>
          <w:p w14:paraId="40C036FA">
            <w:pPr>
              <w:jc w:val="center"/>
              <w:rPr>
                <w:b/>
                <w:bCs/>
                <w:color w:val="auto"/>
                <w:szCs w:val="21"/>
              </w:rPr>
            </w:pPr>
            <w:r>
              <w:rPr>
                <w:b/>
                <w:bCs/>
                <w:color w:val="auto"/>
                <w:szCs w:val="21"/>
              </w:rPr>
              <w:t>变化量</w:t>
            </w:r>
          </w:p>
          <w:p w14:paraId="7334743D">
            <w:pPr>
              <w:jc w:val="center"/>
              <w:rPr>
                <w:b/>
                <w:bCs/>
                <w:color w:val="auto"/>
                <w:szCs w:val="21"/>
              </w:rPr>
            </w:pPr>
            <w:r>
              <w:rPr>
                <w:b/>
                <w:bCs/>
                <w:color w:val="auto"/>
                <w:szCs w:val="21"/>
              </w:rPr>
              <w:fldChar w:fldCharType="begin"/>
            </w:r>
            <w:r>
              <w:rPr>
                <w:b/>
                <w:bCs/>
                <w:color w:val="auto"/>
                <w:szCs w:val="21"/>
              </w:rPr>
              <w:instrText xml:space="preserve"> = 7 \* GB3 \* MERGEFORMAT </w:instrText>
            </w:r>
            <w:r>
              <w:rPr>
                <w:b/>
                <w:bCs/>
                <w:color w:val="auto"/>
                <w:szCs w:val="21"/>
              </w:rPr>
              <w:fldChar w:fldCharType="separate"/>
            </w:r>
            <w:r>
              <w:rPr>
                <w:b/>
                <w:bCs/>
                <w:color w:val="auto"/>
                <w:szCs w:val="21"/>
              </w:rPr>
              <w:t>⑦</w:t>
            </w:r>
            <w:r>
              <w:rPr>
                <w:b/>
                <w:bCs/>
                <w:color w:val="auto"/>
                <w:szCs w:val="21"/>
              </w:rPr>
              <w:fldChar w:fldCharType="end"/>
            </w:r>
          </w:p>
        </w:tc>
      </w:tr>
      <w:tr w14:paraId="56009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70" w:type="dxa"/>
            <w:vMerge w:val="restart"/>
            <w:vAlign w:val="center"/>
          </w:tcPr>
          <w:p w14:paraId="45E64655">
            <w:pPr>
              <w:jc w:val="center"/>
              <w:rPr>
                <w:color w:val="auto"/>
                <w:szCs w:val="21"/>
              </w:rPr>
            </w:pPr>
            <w:r>
              <w:rPr>
                <w:color w:val="auto"/>
                <w:szCs w:val="21"/>
              </w:rPr>
              <w:t>废气</w:t>
            </w:r>
          </w:p>
        </w:tc>
        <w:tc>
          <w:tcPr>
            <w:tcW w:w="1735" w:type="dxa"/>
            <w:vAlign w:val="center"/>
          </w:tcPr>
          <w:p w14:paraId="6605FEA2">
            <w:pPr>
              <w:jc w:val="center"/>
              <w:rPr>
                <w:color w:val="auto"/>
                <w:szCs w:val="21"/>
              </w:rPr>
            </w:pPr>
            <w:r>
              <w:rPr>
                <w:rFonts w:eastAsia="宋体"/>
                <w:b w:val="0"/>
                <w:bCs w:val="0"/>
                <w:color w:val="auto"/>
                <w:kern w:val="2"/>
                <w:sz w:val="21"/>
                <w:szCs w:val="21"/>
              </w:rPr>
              <w:t>车辆尾气及进场行驶过程中产生的道路扬尘</w:t>
            </w:r>
          </w:p>
        </w:tc>
        <w:tc>
          <w:tcPr>
            <w:tcW w:w="1701" w:type="dxa"/>
            <w:vAlign w:val="center"/>
          </w:tcPr>
          <w:p w14:paraId="0DEE6298">
            <w:pPr>
              <w:jc w:val="center"/>
              <w:rPr>
                <w:rFonts w:hint="eastAsia" w:eastAsia="宋体"/>
                <w:color w:val="auto"/>
                <w:szCs w:val="21"/>
                <w:lang w:val="en-US" w:eastAsia="zh-CN"/>
              </w:rPr>
            </w:pPr>
            <w:r>
              <w:rPr>
                <w:rFonts w:hint="eastAsia"/>
                <w:color w:val="auto"/>
                <w:szCs w:val="21"/>
                <w:lang w:val="en-US" w:eastAsia="zh-CN"/>
              </w:rPr>
              <w:t>/</w:t>
            </w:r>
          </w:p>
        </w:tc>
        <w:tc>
          <w:tcPr>
            <w:tcW w:w="1276" w:type="dxa"/>
            <w:vAlign w:val="center"/>
          </w:tcPr>
          <w:p w14:paraId="4E8190EE">
            <w:pPr>
              <w:jc w:val="center"/>
              <w:rPr>
                <w:rFonts w:hint="eastAsia" w:eastAsia="宋体"/>
                <w:color w:val="auto"/>
                <w:szCs w:val="21"/>
                <w:lang w:val="en-US" w:eastAsia="zh-CN"/>
              </w:rPr>
            </w:pPr>
            <w:r>
              <w:rPr>
                <w:rFonts w:hint="eastAsia"/>
                <w:color w:val="auto"/>
                <w:szCs w:val="21"/>
                <w:lang w:val="en-US" w:eastAsia="zh-CN"/>
              </w:rPr>
              <w:t>/</w:t>
            </w:r>
          </w:p>
        </w:tc>
        <w:tc>
          <w:tcPr>
            <w:tcW w:w="1701" w:type="dxa"/>
            <w:vAlign w:val="center"/>
          </w:tcPr>
          <w:p w14:paraId="5674EA56">
            <w:pPr>
              <w:jc w:val="center"/>
              <w:rPr>
                <w:rFonts w:hint="eastAsia" w:eastAsia="宋体"/>
                <w:color w:val="auto"/>
                <w:szCs w:val="21"/>
                <w:lang w:val="en-US" w:eastAsia="zh-CN"/>
              </w:rPr>
            </w:pPr>
            <w:r>
              <w:rPr>
                <w:rFonts w:hint="eastAsia"/>
                <w:color w:val="auto"/>
                <w:szCs w:val="21"/>
                <w:lang w:val="en-US" w:eastAsia="zh-CN"/>
              </w:rPr>
              <w:t>/</w:t>
            </w:r>
          </w:p>
        </w:tc>
        <w:tc>
          <w:tcPr>
            <w:tcW w:w="1559" w:type="dxa"/>
            <w:vAlign w:val="center"/>
          </w:tcPr>
          <w:p w14:paraId="274A4563">
            <w:pPr>
              <w:jc w:val="center"/>
              <w:rPr>
                <w:color w:val="auto"/>
                <w:szCs w:val="21"/>
              </w:rPr>
            </w:pPr>
            <w:r>
              <w:rPr>
                <w:color w:val="auto"/>
                <w:szCs w:val="21"/>
              </w:rPr>
              <w:t>/</w:t>
            </w:r>
          </w:p>
        </w:tc>
        <w:tc>
          <w:tcPr>
            <w:tcW w:w="1761" w:type="dxa"/>
            <w:vAlign w:val="center"/>
          </w:tcPr>
          <w:p w14:paraId="7FC77943">
            <w:pPr>
              <w:jc w:val="center"/>
              <w:rPr>
                <w:rFonts w:hint="eastAsia" w:eastAsia="宋体"/>
                <w:color w:val="auto"/>
                <w:szCs w:val="21"/>
                <w:lang w:val="en-US" w:eastAsia="zh-CN"/>
              </w:rPr>
            </w:pPr>
            <w:r>
              <w:rPr>
                <w:rFonts w:hint="eastAsia"/>
                <w:color w:val="auto"/>
                <w:szCs w:val="21"/>
                <w:lang w:val="en-US" w:eastAsia="zh-CN"/>
              </w:rPr>
              <w:t>/</w:t>
            </w:r>
          </w:p>
        </w:tc>
        <w:tc>
          <w:tcPr>
            <w:tcW w:w="1959" w:type="dxa"/>
            <w:vAlign w:val="center"/>
          </w:tcPr>
          <w:p w14:paraId="74075C91">
            <w:pPr>
              <w:jc w:val="center"/>
              <w:rPr>
                <w:rFonts w:hint="eastAsia" w:eastAsia="宋体"/>
                <w:color w:val="auto"/>
                <w:szCs w:val="21"/>
                <w:lang w:val="en-US" w:eastAsia="zh-CN"/>
              </w:rPr>
            </w:pPr>
            <w:r>
              <w:rPr>
                <w:rFonts w:hint="eastAsia"/>
                <w:color w:val="auto"/>
                <w:szCs w:val="21"/>
                <w:lang w:val="en-US" w:eastAsia="zh-CN"/>
              </w:rPr>
              <w:t>/</w:t>
            </w:r>
          </w:p>
        </w:tc>
        <w:tc>
          <w:tcPr>
            <w:tcW w:w="826" w:type="dxa"/>
            <w:vAlign w:val="center"/>
          </w:tcPr>
          <w:p w14:paraId="3E57FCEB">
            <w:pPr>
              <w:jc w:val="center"/>
              <w:rPr>
                <w:rFonts w:hint="eastAsia" w:eastAsia="宋体"/>
                <w:color w:val="auto"/>
                <w:szCs w:val="21"/>
                <w:lang w:eastAsia="zh-CN"/>
              </w:rPr>
            </w:pPr>
            <w:r>
              <w:rPr>
                <w:rFonts w:hint="eastAsia"/>
                <w:color w:val="auto"/>
                <w:szCs w:val="21"/>
                <w:lang w:val="en-US" w:eastAsia="zh-CN"/>
              </w:rPr>
              <w:t>/</w:t>
            </w:r>
          </w:p>
        </w:tc>
      </w:tr>
      <w:tr w14:paraId="3A5C8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70" w:type="dxa"/>
            <w:vMerge w:val="continue"/>
            <w:vAlign w:val="center"/>
          </w:tcPr>
          <w:p w14:paraId="19EF2569">
            <w:pPr>
              <w:jc w:val="center"/>
              <w:rPr>
                <w:color w:val="auto"/>
                <w:szCs w:val="21"/>
              </w:rPr>
            </w:pPr>
          </w:p>
        </w:tc>
        <w:tc>
          <w:tcPr>
            <w:tcW w:w="1735" w:type="dxa"/>
            <w:vAlign w:val="center"/>
          </w:tcPr>
          <w:p w14:paraId="13F0A727">
            <w:pPr>
              <w:jc w:val="center"/>
              <w:rPr>
                <w:rFonts w:hint="default" w:eastAsia="宋体"/>
                <w:color w:val="auto"/>
                <w:szCs w:val="21"/>
                <w:lang w:val="en-US" w:eastAsia="zh-CN"/>
              </w:rPr>
            </w:pPr>
            <w:r>
              <w:rPr>
                <w:rFonts w:hint="eastAsia"/>
                <w:color w:val="auto"/>
                <w:szCs w:val="21"/>
                <w:lang w:val="en-US" w:eastAsia="zh-CN"/>
              </w:rPr>
              <w:t>装卸粉尘</w:t>
            </w:r>
          </w:p>
        </w:tc>
        <w:tc>
          <w:tcPr>
            <w:tcW w:w="1701" w:type="dxa"/>
            <w:vAlign w:val="center"/>
          </w:tcPr>
          <w:p w14:paraId="0D055E67">
            <w:pPr>
              <w:jc w:val="center"/>
              <w:rPr>
                <w:rFonts w:hint="eastAsia" w:eastAsia="宋体"/>
                <w:color w:val="auto"/>
                <w:szCs w:val="21"/>
                <w:lang w:val="en-US" w:eastAsia="zh-CN"/>
              </w:rPr>
            </w:pPr>
            <w:r>
              <w:rPr>
                <w:rFonts w:hint="eastAsia"/>
                <w:color w:val="auto"/>
                <w:szCs w:val="21"/>
                <w:lang w:val="en-US" w:eastAsia="zh-CN"/>
              </w:rPr>
              <w:t>/</w:t>
            </w:r>
          </w:p>
        </w:tc>
        <w:tc>
          <w:tcPr>
            <w:tcW w:w="1276" w:type="dxa"/>
            <w:vAlign w:val="center"/>
          </w:tcPr>
          <w:p w14:paraId="3B3994FA">
            <w:pPr>
              <w:jc w:val="center"/>
              <w:rPr>
                <w:rFonts w:hint="eastAsia" w:eastAsia="宋体"/>
                <w:color w:val="auto"/>
                <w:szCs w:val="21"/>
                <w:lang w:val="en-US" w:eastAsia="zh-CN"/>
              </w:rPr>
            </w:pPr>
            <w:r>
              <w:rPr>
                <w:rFonts w:hint="eastAsia"/>
                <w:color w:val="auto"/>
                <w:szCs w:val="21"/>
                <w:lang w:val="en-US" w:eastAsia="zh-CN"/>
              </w:rPr>
              <w:t>/</w:t>
            </w:r>
          </w:p>
        </w:tc>
        <w:tc>
          <w:tcPr>
            <w:tcW w:w="1701" w:type="dxa"/>
            <w:vAlign w:val="center"/>
          </w:tcPr>
          <w:p w14:paraId="2F8D1D37">
            <w:pPr>
              <w:jc w:val="center"/>
              <w:rPr>
                <w:rFonts w:hint="eastAsia" w:eastAsia="宋体"/>
                <w:color w:val="auto"/>
                <w:szCs w:val="21"/>
                <w:lang w:val="en-US" w:eastAsia="zh-CN"/>
              </w:rPr>
            </w:pPr>
            <w:r>
              <w:rPr>
                <w:rFonts w:hint="eastAsia"/>
                <w:color w:val="auto"/>
                <w:szCs w:val="21"/>
                <w:lang w:val="en-US" w:eastAsia="zh-CN"/>
              </w:rPr>
              <w:t>/</w:t>
            </w:r>
          </w:p>
        </w:tc>
        <w:tc>
          <w:tcPr>
            <w:tcW w:w="1559" w:type="dxa"/>
            <w:vAlign w:val="center"/>
          </w:tcPr>
          <w:p w14:paraId="3979D8DA">
            <w:pPr>
              <w:jc w:val="center"/>
              <w:rPr>
                <w:color w:val="auto"/>
                <w:szCs w:val="21"/>
              </w:rPr>
            </w:pPr>
            <w:r>
              <w:rPr>
                <w:color w:val="auto"/>
                <w:szCs w:val="21"/>
              </w:rPr>
              <w:t>/</w:t>
            </w:r>
          </w:p>
        </w:tc>
        <w:tc>
          <w:tcPr>
            <w:tcW w:w="1761" w:type="dxa"/>
            <w:vAlign w:val="center"/>
          </w:tcPr>
          <w:p w14:paraId="5A86B671">
            <w:pPr>
              <w:jc w:val="center"/>
              <w:rPr>
                <w:rFonts w:hint="eastAsia" w:eastAsia="宋体"/>
                <w:color w:val="auto"/>
                <w:szCs w:val="21"/>
                <w:lang w:val="en-US" w:eastAsia="zh-CN"/>
              </w:rPr>
            </w:pPr>
            <w:r>
              <w:rPr>
                <w:rFonts w:hint="eastAsia"/>
                <w:color w:val="auto"/>
                <w:szCs w:val="21"/>
                <w:lang w:val="en-US" w:eastAsia="zh-CN"/>
              </w:rPr>
              <w:t>/</w:t>
            </w:r>
          </w:p>
        </w:tc>
        <w:tc>
          <w:tcPr>
            <w:tcW w:w="1959" w:type="dxa"/>
            <w:vAlign w:val="center"/>
          </w:tcPr>
          <w:p w14:paraId="053626F7">
            <w:pPr>
              <w:jc w:val="center"/>
              <w:rPr>
                <w:rFonts w:hint="default" w:eastAsia="宋体"/>
                <w:color w:val="auto"/>
                <w:szCs w:val="21"/>
                <w:lang w:val="en-US" w:eastAsia="zh-CN"/>
              </w:rPr>
            </w:pPr>
            <w:r>
              <w:rPr>
                <w:rFonts w:hint="eastAsia"/>
                <w:color w:val="auto"/>
                <w:szCs w:val="21"/>
                <w:lang w:val="en-US" w:eastAsia="zh-CN"/>
              </w:rPr>
              <w:t>/</w:t>
            </w:r>
          </w:p>
        </w:tc>
        <w:tc>
          <w:tcPr>
            <w:tcW w:w="826" w:type="dxa"/>
            <w:vAlign w:val="center"/>
          </w:tcPr>
          <w:p w14:paraId="4F4AB92A">
            <w:pPr>
              <w:jc w:val="center"/>
              <w:rPr>
                <w:rFonts w:hint="eastAsia" w:eastAsia="宋体"/>
                <w:color w:val="auto"/>
                <w:szCs w:val="21"/>
                <w:lang w:eastAsia="zh-CN"/>
              </w:rPr>
            </w:pPr>
            <w:r>
              <w:rPr>
                <w:rFonts w:hint="eastAsia"/>
                <w:color w:val="auto"/>
                <w:szCs w:val="21"/>
                <w:lang w:val="en-US" w:eastAsia="zh-CN"/>
              </w:rPr>
              <w:t>/</w:t>
            </w:r>
          </w:p>
        </w:tc>
      </w:tr>
      <w:tr w14:paraId="4EE2E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70" w:type="dxa"/>
            <w:vAlign w:val="center"/>
          </w:tcPr>
          <w:p w14:paraId="39AED65F">
            <w:pPr>
              <w:jc w:val="center"/>
              <w:rPr>
                <w:color w:val="auto"/>
                <w:szCs w:val="21"/>
              </w:rPr>
            </w:pPr>
            <w:r>
              <w:rPr>
                <w:color w:val="auto"/>
                <w:szCs w:val="21"/>
              </w:rPr>
              <w:t>废水</w:t>
            </w:r>
          </w:p>
        </w:tc>
        <w:tc>
          <w:tcPr>
            <w:tcW w:w="1735" w:type="dxa"/>
            <w:vAlign w:val="center"/>
          </w:tcPr>
          <w:p w14:paraId="7833F9EB">
            <w:pPr>
              <w:jc w:val="center"/>
              <w:rPr>
                <w:rFonts w:hint="default" w:eastAsia="宋体"/>
                <w:color w:val="auto"/>
                <w:szCs w:val="21"/>
                <w:lang w:val="en-US" w:eastAsia="zh-CN"/>
              </w:rPr>
            </w:pPr>
            <w:r>
              <w:rPr>
                <w:rFonts w:hint="eastAsia"/>
                <w:color w:val="auto"/>
                <w:szCs w:val="21"/>
                <w:lang w:val="en-US" w:eastAsia="zh-CN"/>
              </w:rPr>
              <w:t>生活废水</w:t>
            </w:r>
            <w:r>
              <w:rPr>
                <w:color w:val="auto"/>
              </w:rPr>
              <w:t>m</w:t>
            </w:r>
            <w:r>
              <w:rPr>
                <w:color w:val="auto"/>
                <w:vertAlign w:val="superscript"/>
              </w:rPr>
              <w:t>3</w:t>
            </w:r>
            <w:r>
              <w:rPr>
                <w:color w:val="auto"/>
              </w:rPr>
              <w:t>/a</w:t>
            </w:r>
          </w:p>
        </w:tc>
        <w:tc>
          <w:tcPr>
            <w:tcW w:w="1701" w:type="dxa"/>
            <w:vAlign w:val="center"/>
          </w:tcPr>
          <w:p w14:paraId="2913D57C">
            <w:pPr>
              <w:jc w:val="center"/>
              <w:rPr>
                <w:rFonts w:hint="default" w:eastAsia="宋体"/>
                <w:color w:val="auto"/>
                <w:szCs w:val="21"/>
                <w:lang w:val="en-US" w:eastAsia="zh-CN"/>
              </w:rPr>
            </w:pPr>
            <w:r>
              <w:rPr>
                <w:rFonts w:hint="eastAsia"/>
                <w:color w:val="auto"/>
                <w:szCs w:val="21"/>
                <w:lang w:val="en-US" w:eastAsia="zh-CN"/>
              </w:rPr>
              <w:t>110</w:t>
            </w:r>
          </w:p>
        </w:tc>
        <w:tc>
          <w:tcPr>
            <w:tcW w:w="1276" w:type="dxa"/>
            <w:vAlign w:val="center"/>
          </w:tcPr>
          <w:p w14:paraId="1CE20AB2">
            <w:pPr>
              <w:jc w:val="center"/>
              <w:rPr>
                <w:rFonts w:hint="eastAsia" w:eastAsia="宋体"/>
                <w:color w:val="auto"/>
                <w:szCs w:val="21"/>
                <w:lang w:val="en-US" w:eastAsia="zh-CN"/>
              </w:rPr>
            </w:pPr>
            <w:r>
              <w:rPr>
                <w:rFonts w:hint="eastAsia"/>
                <w:color w:val="auto"/>
                <w:szCs w:val="21"/>
                <w:lang w:val="en-US" w:eastAsia="zh-CN"/>
              </w:rPr>
              <w:t>/</w:t>
            </w:r>
          </w:p>
        </w:tc>
        <w:tc>
          <w:tcPr>
            <w:tcW w:w="1701" w:type="dxa"/>
            <w:vAlign w:val="center"/>
          </w:tcPr>
          <w:p w14:paraId="09D03B4E">
            <w:pPr>
              <w:jc w:val="center"/>
              <w:rPr>
                <w:rFonts w:hint="eastAsia" w:eastAsia="宋体"/>
                <w:color w:val="auto"/>
                <w:szCs w:val="21"/>
                <w:lang w:val="en-US" w:eastAsia="zh-CN"/>
              </w:rPr>
            </w:pPr>
            <w:r>
              <w:rPr>
                <w:rFonts w:hint="eastAsia"/>
                <w:color w:val="auto"/>
                <w:szCs w:val="21"/>
                <w:lang w:val="en-US" w:eastAsia="zh-CN"/>
              </w:rPr>
              <w:t>/</w:t>
            </w:r>
          </w:p>
        </w:tc>
        <w:tc>
          <w:tcPr>
            <w:tcW w:w="1559" w:type="dxa"/>
            <w:vAlign w:val="center"/>
          </w:tcPr>
          <w:p w14:paraId="34845799">
            <w:pPr>
              <w:jc w:val="center"/>
              <w:rPr>
                <w:rFonts w:hint="default"/>
                <w:color w:val="auto"/>
                <w:szCs w:val="21"/>
                <w:lang w:val="en-US"/>
              </w:rPr>
            </w:pPr>
            <w:r>
              <w:rPr>
                <w:rFonts w:hint="eastAsia"/>
                <w:color w:val="auto"/>
                <w:lang w:val="en-US" w:eastAsia="zh-CN"/>
              </w:rPr>
              <w:t>362</w:t>
            </w:r>
          </w:p>
        </w:tc>
        <w:tc>
          <w:tcPr>
            <w:tcW w:w="1761" w:type="dxa"/>
            <w:vAlign w:val="center"/>
          </w:tcPr>
          <w:p w14:paraId="7725361F">
            <w:pPr>
              <w:jc w:val="center"/>
              <w:rPr>
                <w:rFonts w:hint="eastAsia" w:eastAsia="宋体"/>
                <w:color w:val="auto"/>
                <w:szCs w:val="21"/>
                <w:lang w:val="en-US" w:eastAsia="zh-CN"/>
              </w:rPr>
            </w:pPr>
            <w:r>
              <w:rPr>
                <w:rFonts w:hint="eastAsia"/>
                <w:color w:val="auto"/>
                <w:szCs w:val="21"/>
                <w:lang w:val="en-US" w:eastAsia="zh-CN"/>
              </w:rPr>
              <w:t>/</w:t>
            </w:r>
          </w:p>
        </w:tc>
        <w:tc>
          <w:tcPr>
            <w:tcW w:w="1959" w:type="dxa"/>
            <w:vAlign w:val="center"/>
          </w:tcPr>
          <w:p w14:paraId="3E56E957">
            <w:pPr>
              <w:jc w:val="center"/>
              <w:rPr>
                <w:rFonts w:hint="default" w:eastAsia="宋体"/>
                <w:color w:val="auto"/>
                <w:szCs w:val="21"/>
                <w:lang w:val="en-US" w:eastAsia="zh-CN"/>
              </w:rPr>
            </w:pPr>
            <w:r>
              <w:rPr>
                <w:rFonts w:hint="eastAsia"/>
                <w:color w:val="auto"/>
                <w:lang w:val="en-US" w:eastAsia="zh-CN"/>
              </w:rPr>
              <w:t>472</w:t>
            </w:r>
          </w:p>
        </w:tc>
        <w:tc>
          <w:tcPr>
            <w:tcW w:w="826" w:type="dxa"/>
            <w:vAlign w:val="center"/>
          </w:tcPr>
          <w:p w14:paraId="260877DD">
            <w:pPr>
              <w:jc w:val="center"/>
              <w:rPr>
                <w:rFonts w:hint="default" w:eastAsia="宋体"/>
                <w:color w:val="auto"/>
                <w:szCs w:val="21"/>
                <w:lang w:val="en-US" w:eastAsia="zh-CN"/>
              </w:rPr>
            </w:pPr>
            <w:r>
              <w:rPr>
                <w:rFonts w:hint="eastAsia"/>
                <w:color w:val="auto"/>
                <w:szCs w:val="21"/>
                <w:lang w:val="en-US" w:eastAsia="zh-CN"/>
              </w:rPr>
              <w:t>+362</w:t>
            </w:r>
          </w:p>
        </w:tc>
      </w:tr>
      <w:tr w14:paraId="17F98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70" w:type="dxa"/>
            <w:vAlign w:val="center"/>
          </w:tcPr>
          <w:p w14:paraId="1A03B154">
            <w:pPr>
              <w:jc w:val="center"/>
              <w:rPr>
                <w:color w:val="auto"/>
                <w:szCs w:val="21"/>
              </w:rPr>
            </w:pPr>
            <w:r>
              <w:rPr>
                <w:color w:val="auto"/>
                <w:szCs w:val="21"/>
              </w:rPr>
              <w:t>一般工业</w:t>
            </w:r>
          </w:p>
          <w:p w14:paraId="167AB3F1">
            <w:pPr>
              <w:jc w:val="center"/>
              <w:rPr>
                <w:color w:val="auto"/>
                <w:szCs w:val="21"/>
              </w:rPr>
            </w:pPr>
            <w:r>
              <w:rPr>
                <w:color w:val="auto"/>
                <w:szCs w:val="21"/>
              </w:rPr>
              <w:t>固体废物</w:t>
            </w:r>
          </w:p>
        </w:tc>
        <w:tc>
          <w:tcPr>
            <w:tcW w:w="1735" w:type="dxa"/>
            <w:vAlign w:val="center"/>
          </w:tcPr>
          <w:p w14:paraId="5889E6AC">
            <w:pPr>
              <w:jc w:val="center"/>
              <w:rPr>
                <w:rFonts w:hint="default" w:eastAsia="宋体"/>
                <w:color w:val="auto"/>
                <w:szCs w:val="21"/>
                <w:lang w:val="en-US" w:eastAsia="zh-CN"/>
              </w:rPr>
            </w:pPr>
            <w:r>
              <w:rPr>
                <w:rFonts w:hint="eastAsia"/>
                <w:color w:val="auto"/>
                <w:szCs w:val="21"/>
                <w:lang w:val="en-US" w:eastAsia="zh-CN"/>
              </w:rPr>
              <w:t>生活垃圾</w:t>
            </w:r>
            <w:r>
              <w:rPr>
                <w:color w:val="auto"/>
              </w:rPr>
              <w:t>t/a</w:t>
            </w:r>
          </w:p>
        </w:tc>
        <w:tc>
          <w:tcPr>
            <w:tcW w:w="1701" w:type="dxa"/>
            <w:vAlign w:val="center"/>
          </w:tcPr>
          <w:p w14:paraId="4340801E">
            <w:pPr>
              <w:jc w:val="center"/>
              <w:rPr>
                <w:rFonts w:hint="default" w:eastAsia="宋体"/>
                <w:color w:val="auto"/>
                <w:szCs w:val="21"/>
                <w:lang w:val="en-US" w:eastAsia="zh-CN"/>
              </w:rPr>
            </w:pPr>
            <w:r>
              <w:rPr>
                <w:rFonts w:hint="eastAsia"/>
                <w:color w:val="auto"/>
                <w:szCs w:val="21"/>
                <w:lang w:val="en-US" w:eastAsia="zh-CN"/>
              </w:rPr>
              <w:t>1.25</w:t>
            </w:r>
          </w:p>
        </w:tc>
        <w:tc>
          <w:tcPr>
            <w:tcW w:w="1276" w:type="dxa"/>
            <w:vAlign w:val="center"/>
          </w:tcPr>
          <w:p w14:paraId="53D17F13">
            <w:pPr>
              <w:jc w:val="center"/>
              <w:rPr>
                <w:rFonts w:hint="eastAsia" w:eastAsia="宋体"/>
                <w:color w:val="auto"/>
                <w:szCs w:val="21"/>
                <w:lang w:val="en-US" w:eastAsia="zh-CN"/>
              </w:rPr>
            </w:pPr>
            <w:r>
              <w:rPr>
                <w:rFonts w:hint="eastAsia"/>
                <w:color w:val="auto"/>
                <w:szCs w:val="21"/>
                <w:lang w:val="en-US" w:eastAsia="zh-CN"/>
              </w:rPr>
              <w:t>/</w:t>
            </w:r>
          </w:p>
        </w:tc>
        <w:tc>
          <w:tcPr>
            <w:tcW w:w="1701" w:type="dxa"/>
            <w:vAlign w:val="center"/>
          </w:tcPr>
          <w:p w14:paraId="402FBD61">
            <w:pPr>
              <w:jc w:val="center"/>
              <w:rPr>
                <w:rFonts w:hint="eastAsia" w:eastAsia="宋体"/>
                <w:color w:val="auto"/>
                <w:szCs w:val="21"/>
                <w:lang w:val="en-US" w:eastAsia="zh-CN"/>
              </w:rPr>
            </w:pPr>
            <w:r>
              <w:rPr>
                <w:rFonts w:hint="eastAsia"/>
                <w:color w:val="auto"/>
                <w:szCs w:val="21"/>
                <w:lang w:val="en-US" w:eastAsia="zh-CN"/>
              </w:rPr>
              <w:t>/</w:t>
            </w:r>
          </w:p>
        </w:tc>
        <w:tc>
          <w:tcPr>
            <w:tcW w:w="1559" w:type="dxa"/>
            <w:vAlign w:val="center"/>
          </w:tcPr>
          <w:p w14:paraId="09F55266">
            <w:pPr>
              <w:jc w:val="center"/>
              <w:rPr>
                <w:rFonts w:hint="default" w:eastAsia="宋体"/>
                <w:color w:val="auto"/>
                <w:szCs w:val="21"/>
                <w:lang w:val="en-US" w:eastAsia="zh-CN"/>
              </w:rPr>
            </w:pPr>
            <w:r>
              <w:rPr>
                <w:rFonts w:hint="eastAsia"/>
                <w:color w:val="auto"/>
                <w:lang w:val="en-US" w:eastAsia="zh-CN"/>
              </w:rPr>
              <w:t>2.5</w:t>
            </w:r>
          </w:p>
        </w:tc>
        <w:tc>
          <w:tcPr>
            <w:tcW w:w="1761" w:type="dxa"/>
            <w:vAlign w:val="center"/>
          </w:tcPr>
          <w:p w14:paraId="54D1BE0E">
            <w:pPr>
              <w:jc w:val="center"/>
              <w:rPr>
                <w:rFonts w:hint="eastAsia" w:eastAsia="宋体"/>
                <w:color w:val="auto"/>
                <w:szCs w:val="21"/>
                <w:lang w:val="en-US" w:eastAsia="zh-CN"/>
              </w:rPr>
            </w:pPr>
            <w:r>
              <w:rPr>
                <w:rFonts w:hint="eastAsia"/>
                <w:color w:val="auto"/>
                <w:szCs w:val="21"/>
                <w:lang w:val="en-US" w:eastAsia="zh-CN"/>
              </w:rPr>
              <w:t>/</w:t>
            </w:r>
          </w:p>
        </w:tc>
        <w:tc>
          <w:tcPr>
            <w:tcW w:w="1959" w:type="dxa"/>
            <w:vAlign w:val="center"/>
          </w:tcPr>
          <w:p w14:paraId="0A0D445D">
            <w:pPr>
              <w:jc w:val="center"/>
              <w:rPr>
                <w:rFonts w:hint="default" w:eastAsia="宋体"/>
                <w:color w:val="auto"/>
                <w:szCs w:val="21"/>
                <w:lang w:val="en-US" w:eastAsia="zh-CN"/>
              </w:rPr>
            </w:pPr>
            <w:r>
              <w:rPr>
                <w:rFonts w:hint="eastAsia"/>
                <w:color w:val="auto"/>
                <w:lang w:val="en-US" w:eastAsia="zh-CN"/>
              </w:rPr>
              <w:t>3.75</w:t>
            </w:r>
          </w:p>
        </w:tc>
        <w:tc>
          <w:tcPr>
            <w:tcW w:w="826" w:type="dxa"/>
            <w:vAlign w:val="center"/>
          </w:tcPr>
          <w:p w14:paraId="0201E1F4">
            <w:pPr>
              <w:jc w:val="center"/>
              <w:rPr>
                <w:rFonts w:hint="default" w:eastAsia="宋体"/>
                <w:color w:val="auto"/>
                <w:szCs w:val="21"/>
                <w:lang w:val="en-US" w:eastAsia="zh-CN"/>
              </w:rPr>
            </w:pPr>
            <w:r>
              <w:rPr>
                <w:rFonts w:hint="eastAsia"/>
                <w:color w:val="auto"/>
                <w:szCs w:val="21"/>
                <w:lang w:val="en-US" w:eastAsia="zh-CN"/>
              </w:rPr>
              <w:t>+2.5</w:t>
            </w:r>
          </w:p>
        </w:tc>
      </w:tr>
      <w:tr w14:paraId="71C2A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70" w:type="dxa"/>
            <w:vAlign w:val="center"/>
          </w:tcPr>
          <w:p w14:paraId="534C6E71">
            <w:pPr>
              <w:jc w:val="center"/>
              <w:rPr>
                <w:color w:val="auto"/>
                <w:szCs w:val="21"/>
              </w:rPr>
            </w:pPr>
            <w:r>
              <w:rPr>
                <w:color w:val="auto"/>
                <w:szCs w:val="21"/>
              </w:rPr>
              <w:t>危险废物</w:t>
            </w:r>
          </w:p>
        </w:tc>
        <w:tc>
          <w:tcPr>
            <w:tcW w:w="1735" w:type="dxa"/>
            <w:vAlign w:val="center"/>
          </w:tcPr>
          <w:p w14:paraId="59DD24C5">
            <w:pPr>
              <w:jc w:val="center"/>
              <w:rPr>
                <w:rFonts w:hint="default" w:eastAsia="宋体"/>
                <w:color w:val="auto"/>
                <w:szCs w:val="21"/>
                <w:lang w:val="en-US" w:eastAsia="zh-CN"/>
              </w:rPr>
            </w:pPr>
            <w:r>
              <w:rPr>
                <w:rFonts w:hint="eastAsia"/>
                <w:color w:val="auto"/>
                <w:szCs w:val="21"/>
                <w:lang w:val="en-US" w:eastAsia="zh-CN"/>
              </w:rPr>
              <w:t>过期残损烟花爆竹</w:t>
            </w:r>
            <w:r>
              <w:rPr>
                <w:color w:val="auto"/>
              </w:rPr>
              <w:t>t/a</w:t>
            </w:r>
          </w:p>
        </w:tc>
        <w:tc>
          <w:tcPr>
            <w:tcW w:w="1701" w:type="dxa"/>
            <w:vAlign w:val="center"/>
          </w:tcPr>
          <w:p w14:paraId="39106EBB">
            <w:pPr>
              <w:jc w:val="center"/>
              <w:rPr>
                <w:color w:val="auto"/>
                <w:szCs w:val="21"/>
              </w:rPr>
            </w:pPr>
            <w:r>
              <w:rPr>
                <w:color w:val="auto"/>
              </w:rPr>
              <w:t>0.6</w:t>
            </w:r>
          </w:p>
        </w:tc>
        <w:tc>
          <w:tcPr>
            <w:tcW w:w="1276" w:type="dxa"/>
            <w:vAlign w:val="center"/>
          </w:tcPr>
          <w:p w14:paraId="3CEEA4E5">
            <w:pPr>
              <w:jc w:val="center"/>
              <w:rPr>
                <w:rFonts w:hint="eastAsia" w:eastAsia="宋体"/>
                <w:color w:val="auto"/>
                <w:szCs w:val="21"/>
                <w:lang w:val="en-US" w:eastAsia="zh-CN"/>
              </w:rPr>
            </w:pPr>
            <w:r>
              <w:rPr>
                <w:rFonts w:hint="eastAsia"/>
                <w:color w:val="auto"/>
                <w:szCs w:val="21"/>
                <w:lang w:val="en-US" w:eastAsia="zh-CN"/>
              </w:rPr>
              <w:t>/</w:t>
            </w:r>
          </w:p>
        </w:tc>
        <w:tc>
          <w:tcPr>
            <w:tcW w:w="1701" w:type="dxa"/>
            <w:vAlign w:val="center"/>
          </w:tcPr>
          <w:p w14:paraId="70BA1D3E">
            <w:pPr>
              <w:jc w:val="center"/>
              <w:rPr>
                <w:rFonts w:hint="eastAsia" w:eastAsia="宋体"/>
                <w:color w:val="auto"/>
                <w:szCs w:val="21"/>
                <w:lang w:val="en-US" w:eastAsia="zh-CN"/>
              </w:rPr>
            </w:pPr>
            <w:r>
              <w:rPr>
                <w:rFonts w:hint="eastAsia"/>
                <w:color w:val="auto"/>
                <w:szCs w:val="21"/>
                <w:lang w:val="en-US" w:eastAsia="zh-CN"/>
              </w:rPr>
              <w:t>/</w:t>
            </w:r>
          </w:p>
        </w:tc>
        <w:tc>
          <w:tcPr>
            <w:tcW w:w="1559" w:type="dxa"/>
            <w:vAlign w:val="center"/>
          </w:tcPr>
          <w:p w14:paraId="5C563AA6">
            <w:pPr>
              <w:jc w:val="center"/>
              <w:rPr>
                <w:rFonts w:hint="default" w:eastAsia="宋体"/>
                <w:color w:val="auto"/>
                <w:szCs w:val="21"/>
                <w:lang w:val="en-US" w:eastAsia="zh-CN"/>
              </w:rPr>
            </w:pPr>
            <w:r>
              <w:rPr>
                <w:rFonts w:hint="eastAsia"/>
                <w:color w:val="auto"/>
                <w:szCs w:val="21"/>
                <w:lang w:val="en-US" w:eastAsia="zh-CN"/>
              </w:rPr>
              <w:t>0.5</w:t>
            </w:r>
          </w:p>
        </w:tc>
        <w:tc>
          <w:tcPr>
            <w:tcW w:w="1761" w:type="dxa"/>
            <w:vAlign w:val="center"/>
          </w:tcPr>
          <w:p w14:paraId="09E9CC03">
            <w:pPr>
              <w:jc w:val="center"/>
              <w:rPr>
                <w:rFonts w:hint="eastAsia" w:eastAsia="宋体"/>
                <w:color w:val="auto"/>
                <w:szCs w:val="21"/>
                <w:lang w:val="en-US" w:eastAsia="zh-CN"/>
              </w:rPr>
            </w:pPr>
            <w:r>
              <w:rPr>
                <w:rFonts w:hint="eastAsia"/>
                <w:color w:val="auto"/>
                <w:szCs w:val="21"/>
                <w:lang w:val="en-US" w:eastAsia="zh-CN"/>
              </w:rPr>
              <w:t>/</w:t>
            </w:r>
          </w:p>
        </w:tc>
        <w:tc>
          <w:tcPr>
            <w:tcW w:w="1959" w:type="dxa"/>
            <w:vAlign w:val="center"/>
          </w:tcPr>
          <w:p w14:paraId="225555B1">
            <w:pPr>
              <w:jc w:val="center"/>
              <w:rPr>
                <w:rFonts w:hint="default" w:eastAsia="宋体"/>
                <w:color w:val="auto"/>
                <w:szCs w:val="21"/>
                <w:lang w:val="en-US" w:eastAsia="zh-CN"/>
              </w:rPr>
            </w:pPr>
            <w:r>
              <w:rPr>
                <w:rFonts w:hint="eastAsia"/>
                <w:color w:val="auto"/>
                <w:lang w:val="en-US" w:eastAsia="zh-CN"/>
              </w:rPr>
              <w:t>1.1</w:t>
            </w:r>
          </w:p>
        </w:tc>
        <w:tc>
          <w:tcPr>
            <w:tcW w:w="826" w:type="dxa"/>
            <w:vAlign w:val="center"/>
          </w:tcPr>
          <w:p w14:paraId="0B12C7A4">
            <w:pPr>
              <w:jc w:val="center"/>
              <w:rPr>
                <w:rFonts w:hint="default" w:eastAsia="宋体"/>
                <w:color w:val="auto"/>
                <w:szCs w:val="21"/>
                <w:lang w:val="en-US" w:eastAsia="zh-CN"/>
              </w:rPr>
            </w:pPr>
            <w:r>
              <w:rPr>
                <w:rFonts w:hint="eastAsia"/>
                <w:color w:val="auto"/>
                <w:szCs w:val="21"/>
                <w:lang w:val="en-US" w:eastAsia="zh-CN"/>
              </w:rPr>
              <w:t>+0.5</w:t>
            </w:r>
          </w:p>
        </w:tc>
      </w:tr>
    </w:tbl>
    <w:p w14:paraId="444971AE">
      <w:pPr>
        <w:rPr>
          <w:color w:val="auto"/>
          <w:szCs w:val="21"/>
        </w:rPr>
      </w:pPr>
      <w:r>
        <w:rPr>
          <w:color w:val="auto"/>
          <w:szCs w:val="21"/>
        </w:rPr>
        <w:t>注：</w:t>
      </w:r>
      <w:r>
        <w:rPr>
          <w:color w:val="auto"/>
          <w:szCs w:val="21"/>
        </w:rPr>
        <w:fldChar w:fldCharType="begin"/>
      </w:r>
      <w:r>
        <w:rPr>
          <w:color w:val="auto"/>
          <w:szCs w:val="21"/>
        </w:rPr>
        <w:instrText xml:space="preserve"> = 6 \* GB3 \* MERGEFORMAT </w:instrText>
      </w:r>
      <w:r>
        <w:rPr>
          <w:color w:val="auto"/>
          <w:szCs w:val="21"/>
        </w:rPr>
        <w:fldChar w:fldCharType="separate"/>
      </w:r>
      <w:r>
        <w:rPr>
          <w:color w:val="auto"/>
          <w:szCs w:val="21"/>
        </w:rPr>
        <w:t>⑥</w:t>
      </w:r>
      <w:r>
        <w:rPr>
          <w:color w:val="auto"/>
          <w:szCs w:val="21"/>
        </w:rPr>
        <w:fldChar w:fldCharType="end"/>
      </w:r>
      <w:r>
        <w:rPr>
          <w:color w:val="auto"/>
          <w:szCs w:val="21"/>
        </w:rPr>
        <w:t>=</w:t>
      </w:r>
      <w:r>
        <w:rPr>
          <w:color w:val="auto"/>
          <w:szCs w:val="21"/>
        </w:rPr>
        <w:fldChar w:fldCharType="begin"/>
      </w:r>
      <w:r>
        <w:rPr>
          <w:color w:val="auto"/>
          <w:szCs w:val="21"/>
        </w:rPr>
        <w:instrText xml:space="preserve"> = 1 \* GB3 \* MERGEFORMAT </w:instrText>
      </w:r>
      <w:r>
        <w:rPr>
          <w:color w:val="auto"/>
          <w:szCs w:val="21"/>
        </w:rPr>
        <w:fldChar w:fldCharType="separate"/>
      </w:r>
      <w:r>
        <w:rPr>
          <w:color w:val="auto"/>
          <w:szCs w:val="21"/>
        </w:rPr>
        <w:t>①</w:t>
      </w:r>
      <w:r>
        <w:rPr>
          <w:color w:val="auto"/>
          <w:szCs w:val="21"/>
        </w:rPr>
        <w:fldChar w:fldCharType="end"/>
      </w:r>
      <w:r>
        <w:rPr>
          <w:color w:val="auto"/>
          <w:szCs w:val="21"/>
        </w:rPr>
        <w:t>+</w:t>
      </w:r>
      <w:r>
        <w:rPr>
          <w:color w:val="auto"/>
          <w:szCs w:val="21"/>
        </w:rPr>
        <w:fldChar w:fldCharType="begin"/>
      </w:r>
      <w:r>
        <w:rPr>
          <w:color w:val="auto"/>
          <w:szCs w:val="21"/>
        </w:rPr>
        <w:instrText xml:space="preserve"> = 3 \* GB3 \* MERGEFORMAT </w:instrText>
      </w:r>
      <w:r>
        <w:rPr>
          <w:color w:val="auto"/>
          <w:szCs w:val="21"/>
        </w:rPr>
        <w:fldChar w:fldCharType="separate"/>
      </w:r>
      <w:r>
        <w:rPr>
          <w:color w:val="auto"/>
          <w:szCs w:val="21"/>
        </w:rPr>
        <w:t>③</w:t>
      </w:r>
      <w:r>
        <w:rPr>
          <w:color w:val="auto"/>
          <w:szCs w:val="21"/>
        </w:rPr>
        <w:fldChar w:fldCharType="end"/>
      </w:r>
      <w:r>
        <w:rPr>
          <w:color w:val="auto"/>
          <w:szCs w:val="21"/>
        </w:rPr>
        <w:t>+</w:t>
      </w:r>
      <w:r>
        <w:rPr>
          <w:color w:val="auto"/>
          <w:szCs w:val="21"/>
        </w:rPr>
        <w:fldChar w:fldCharType="begin"/>
      </w:r>
      <w:r>
        <w:rPr>
          <w:color w:val="auto"/>
          <w:szCs w:val="21"/>
        </w:rPr>
        <w:instrText xml:space="preserve"> = 4 \* GB3 \* MERGEFORMAT </w:instrText>
      </w:r>
      <w:r>
        <w:rPr>
          <w:color w:val="auto"/>
          <w:szCs w:val="21"/>
        </w:rPr>
        <w:fldChar w:fldCharType="separate"/>
      </w:r>
      <w:r>
        <w:rPr>
          <w:color w:val="auto"/>
          <w:szCs w:val="21"/>
        </w:rPr>
        <w:t>④</w:t>
      </w:r>
      <w:r>
        <w:rPr>
          <w:color w:val="auto"/>
          <w:szCs w:val="21"/>
        </w:rPr>
        <w:fldChar w:fldCharType="end"/>
      </w:r>
      <w:r>
        <w:rPr>
          <w:color w:val="auto"/>
          <w:szCs w:val="21"/>
        </w:rPr>
        <w:t>-</w:t>
      </w:r>
      <w:r>
        <w:rPr>
          <w:color w:val="auto"/>
          <w:szCs w:val="21"/>
        </w:rPr>
        <w:fldChar w:fldCharType="begin"/>
      </w:r>
      <w:r>
        <w:rPr>
          <w:color w:val="auto"/>
          <w:szCs w:val="21"/>
        </w:rPr>
        <w:instrText xml:space="preserve"> = 5 \* GB3 \* MERGEFORMAT </w:instrText>
      </w:r>
      <w:r>
        <w:rPr>
          <w:color w:val="auto"/>
          <w:szCs w:val="21"/>
        </w:rPr>
        <w:fldChar w:fldCharType="separate"/>
      </w:r>
      <w:r>
        <w:rPr>
          <w:color w:val="auto"/>
          <w:szCs w:val="21"/>
        </w:rPr>
        <w:t>⑤</w:t>
      </w:r>
      <w:r>
        <w:rPr>
          <w:color w:val="auto"/>
          <w:szCs w:val="21"/>
        </w:rPr>
        <w:fldChar w:fldCharType="end"/>
      </w:r>
      <w:r>
        <w:rPr>
          <w:color w:val="auto"/>
          <w:szCs w:val="21"/>
        </w:rPr>
        <w:t>；</w:t>
      </w:r>
      <w:r>
        <w:rPr>
          <w:color w:val="auto"/>
          <w:szCs w:val="21"/>
        </w:rPr>
        <w:fldChar w:fldCharType="begin"/>
      </w:r>
      <w:r>
        <w:rPr>
          <w:color w:val="auto"/>
          <w:szCs w:val="21"/>
        </w:rPr>
        <w:instrText xml:space="preserve"> = 7 \* GB3 \* MERGEFORMAT </w:instrText>
      </w:r>
      <w:r>
        <w:rPr>
          <w:color w:val="auto"/>
          <w:szCs w:val="21"/>
        </w:rPr>
        <w:fldChar w:fldCharType="separate"/>
      </w:r>
      <w:r>
        <w:rPr>
          <w:color w:val="auto"/>
          <w:szCs w:val="21"/>
        </w:rPr>
        <w:t>⑦</w:t>
      </w:r>
      <w:r>
        <w:rPr>
          <w:color w:val="auto"/>
          <w:szCs w:val="21"/>
        </w:rPr>
        <w:fldChar w:fldCharType="end"/>
      </w:r>
      <w:r>
        <w:rPr>
          <w:color w:val="auto"/>
          <w:szCs w:val="21"/>
        </w:rPr>
        <w:t>=</w:t>
      </w:r>
      <w:r>
        <w:rPr>
          <w:color w:val="auto"/>
          <w:szCs w:val="21"/>
        </w:rPr>
        <w:fldChar w:fldCharType="begin"/>
      </w:r>
      <w:r>
        <w:rPr>
          <w:color w:val="auto"/>
          <w:szCs w:val="21"/>
        </w:rPr>
        <w:instrText xml:space="preserve"> = 6 \* GB3 \* MERGEFORMAT </w:instrText>
      </w:r>
      <w:r>
        <w:rPr>
          <w:color w:val="auto"/>
          <w:szCs w:val="21"/>
        </w:rPr>
        <w:fldChar w:fldCharType="separate"/>
      </w:r>
      <w:r>
        <w:rPr>
          <w:color w:val="auto"/>
          <w:szCs w:val="21"/>
        </w:rPr>
        <w:t>⑥</w:t>
      </w:r>
      <w:r>
        <w:rPr>
          <w:color w:val="auto"/>
          <w:szCs w:val="21"/>
        </w:rPr>
        <w:fldChar w:fldCharType="end"/>
      </w:r>
      <w:r>
        <w:rPr>
          <w:color w:val="auto"/>
          <w:szCs w:val="21"/>
        </w:rPr>
        <w:t>-</w:t>
      </w:r>
      <w:r>
        <w:rPr>
          <w:color w:val="auto"/>
          <w:szCs w:val="21"/>
        </w:rPr>
        <w:fldChar w:fldCharType="begin"/>
      </w:r>
      <w:r>
        <w:rPr>
          <w:color w:val="auto"/>
          <w:szCs w:val="21"/>
        </w:rPr>
        <w:instrText xml:space="preserve"> = 1 \* GB3 \* MERGEFORMAT </w:instrText>
      </w:r>
      <w:r>
        <w:rPr>
          <w:color w:val="auto"/>
          <w:szCs w:val="21"/>
        </w:rPr>
        <w:fldChar w:fldCharType="separate"/>
      </w:r>
      <w:r>
        <w:rPr>
          <w:color w:val="auto"/>
          <w:szCs w:val="21"/>
        </w:rPr>
        <w:t>①</w:t>
      </w:r>
      <w:r>
        <w:rPr>
          <w:color w:val="auto"/>
          <w:szCs w:val="21"/>
        </w:rPr>
        <w:fldChar w:fldCharType="end"/>
      </w:r>
    </w:p>
    <w:p w14:paraId="0CEB2393">
      <w:pPr>
        <w:rPr>
          <w:color w:val="auto"/>
          <w:szCs w:val="21"/>
        </w:rPr>
      </w:pPr>
    </w:p>
    <w:p w14:paraId="35C339B6">
      <w:pPr>
        <w:rPr>
          <w:color w:val="auto"/>
          <w:szCs w:val="21"/>
        </w:rPr>
        <w:sectPr>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AD47EBA">
      <w:pPr>
        <w:pStyle w:val="20"/>
        <w:spacing w:line="360" w:lineRule="auto"/>
        <w:rPr>
          <w:color w:val="auto"/>
        </w:rPr>
      </w:pPr>
      <w:r>
        <w:rPr>
          <w:rFonts w:hint="eastAsia"/>
          <w:color w:val="auto"/>
        </w:rPr>
        <w:t>环境风险专项评价</w:t>
      </w:r>
    </w:p>
    <w:p w14:paraId="6C4D67B0">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建设项目环境风险评价技术导则》（HJ169-2018）可知，环境风险评价的目的是分析和预测建设项目存在的潜在危险、有害因素，建设项目的建设和运行期间可能发生的突发性事件和事故（一般不包括人为破坏和自然灾害），引起有毒有害和易燃易爆等物质泄漏，所造成的人身安全与环境影响和损害程度，提出合理可行的防范、应急与减缓措施，以使建设项目事故率、损失和环境影响达到可接收的水平。</w:t>
      </w:r>
    </w:p>
    <w:p w14:paraId="5BB07526">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拟建项目涉及的危险品主要为烟花爆竹，</w:t>
      </w:r>
      <w:r>
        <w:rPr>
          <w:rFonts w:ascii="Times New Roman" w:hAnsi="Times New Roman" w:eastAsia="宋体" w:cs="Times New Roman"/>
          <w:color w:val="auto"/>
          <w:sz w:val="24"/>
          <w:szCs w:val="24"/>
        </w:rPr>
        <w:t>烟花爆竹根据其结构与组成、燃放运动轨迹及燃放效果，分为爆竹类、喷花类、旋转类、升空类、吐珠类、玩具类、礼花类、架子烟花类、组合烟花类9类。本项目涉及的烟花类【</w:t>
      </w:r>
      <w:r>
        <w:rPr>
          <w:rFonts w:hint="eastAsia" w:ascii="Times New Roman" w:hAnsi="Times New Roman" w:eastAsia="宋体" w:cs="Times New Roman"/>
          <w:color w:val="auto"/>
          <w:sz w:val="24"/>
          <w:szCs w:val="24"/>
          <w:lang w:val="en-US" w:eastAsia="zh-CN"/>
        </w:rPr>
        <w:t>A</w:t>
      </w:r>
      <w:r>
        <w:rPr>
          <w:rFonts w:ascii="Times New Roman" w:hAnsi="Times New Roman" w:eastAsia="宋体" w:cs="Times New Roman"/>
          <w:color w:val="auto"/>
          <w:sz w:val="24"/>
          <w:szCs w:val="24"/>
        </w:rPr>
        <w:t>级</w:t>
      </w:r>
      <w:r>
        <w:rPr>
          <w:rFonts w:hint="eastAsia" w:ascii="Times New Roman" w:hAnsi="Times New Roman" w:eastAsia="宋体" w:cs="Times New Roman"/>
          <w:color w:val="auto"/>
          <w:sz w:val="24"/>
          <w:szCs w:val="24"/>
          <w:lang w:val="en-US" w:eastAsia="zh-CN"/>
        </w:rPr>
        <w:t>B</w:t>
      </w:r>
      <w:r>
        <w:rPr>
          <w:rFonts w:ascii="Times New Roman" w:hAnsi="Times New Roman" w:eastAsia="宋体" w:cs="Times New Roman"/>
          <w:color w:val="auto"/>
          <w:sz w:val="24"/>
          <w:szCs w:val="24"/>
        </w:rPr>
        <w:t>级C级D级】、爆竹类【C级】主要包括爆竹类、喷花类、旋转类、升空类、吐珠类、玩具类、组合烟花类。</w:t>
      </w:r>
      <w:r>
        <w:rPr>
          <w:rFonts w:hint="eastAsia" w:ascii="Times New Roman" w:hAnsi="Times New Roman" w:eastAsia="宋体" w:cs="Times New Roman"/>
          <w:color w:val="auto"/>
          <w:sz w:val="24"/>
          <w:szCs w:val="24"/>
        </w:rPr>
        <w:t>其主要危险成分为黑火药和烟火剂，为爆炸危险物质，其中主要物料有硝酸钾、硝酸钡、硝酸锶、氧化铜、高氯酸钾、高氯酸铵、氧化铅（俗称红丹）等；常用的还原剂有: 炭、硫、铝粉、铝镁合金粉、磷、钛粉等；烟花药剂的着色剂有黄、红、绿、蓝、紫等，例如冰晶石、碳酸锶、硝酸钡、氧化铜等；烟花药剂中常用的粘合剂有：酚醛树脂、虫胶、浆糊、糊精、聚乙烯醇等；笛音剂常用的材料有:对苯二甲酸氢钾、邻苯二甲酸氢钾、苯甲酸氢钾（钠）等。本项目仅对烟花爆竹进行仓储，不进行生产。</w:t>
      </w:r>
    </w:p>
    <w:p w14:paraId="6A6668E4">
      <w:pPr>
        <w:pStyle w:val="31"/>
        <w:numPr>
          <w:ilvl w:val="0"/>
          <w:numId w:val="6"/>
        </w:numPr>
        <w:ind w:firstLineChars="0"/>
        <w:rPr>
          <w:rFonts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风险源调查</w:t>
      </w:r>
    </w:p>
    <w:p w14:paraId="17745CAD">
      <w:pPr>
        <w:pStyle w:val="31"/>
        <w:ind w:left="420" w:firstLine="0" w:firstLineChars="0"/>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1．风险源调查</w:t>
      </w:r>
    </w:p>
    <w:p w14:paraId="5B510C78">
      <w:pPr>
        <w:spacing w:line="360" w:lineRule="auto"/>
        <w:ind w:firstLine="480" w:firstLineChars="200"/>
        <w:rPr>
          <w:rFonts w:hint="eastAsia"/>
          <w:color w:val="auto"/>
          <w:sz w:val="24"/>
          <w:szCs w:val="24"/>
        </w:rPr>
      </w:pPr>
      <w:r>
        <w:rPr>
          <w:rFonts w:hint="eastAsia"/>
          <w:color w:val="auto"/>
          <w:sz w:val="24"/>
          <w:szCs w:val="24"/>
        </w:rPr>
        <w:t>根据</w:t>
      </w:r>
      <w:r>
        <w:rPr>
          <w:rFonts w:hint="default" w:ascii="Times New Roman" w:hAnsi="Times New Roman" w:eastAsia="宋体" w:cs="Times New Roman"/>
          <w:color w:val="auto"/>
          <w:kern w:val="0"/>
          <w:sz w:val="24"/>
          <w:szCs w:val="24"/>
          <w:lang w:bidi="ar"/>
        </w:rPr>
        <w:t>《建设项目环境风险评价技术导则》（HJ169-2018）、《危险化学品重大危险源辨识》（GB18218-2018）</w:t>
      </w:r>
      <w:r>
        <w:rPr>
          <w:rFonts w:hint="eastAsia"/>
          <w:color w:val="auto"/>
          <w:sz w:val="24"/>
          <w:szCs w:val="24"/>
        </w:rPr>
        <w:t>，烟花爆竹属于重点关注的危险物质，属于《危险化学品重大危险源辨识》(GB18218-2018)表2中爆炸物。</w:t>
      </w:r>
    </w:p>
    <w:p w14:paraId="5A1234EB">
      <w:pPr>
        <w:pageBreakBefore w:val="0"/>
        <w:widowControl/>
        <w:kinsoku/>
        <w:overflowPunct/>
        <w:topLinePunct w:val="0"/>
        <w:bidi w:val="0"/>
        <w:spacing w:line="360" w:lineRule="auto"/>
        <w:ind w:firstLine="480" w:firstLineChars="200"/>
        <w:rPr>
          <w:rFonts w:hint="default" w:ascii="Times New Roman" w:hAnsi="Times New Roman" w:eastAsia="宋体" w:cs="Times New Roman"/>
          <w:b w:val="0"/>
          <w:bCs w:val="0"/>
          <w:color w:val="auto"/>
          <w:kern w:val="0"/>
          <w:sz w:val="24"/>
          <w:szCs w:val="24"/>
          <w:lang w:bidi="ar"/>
        </w:rPr>
      </w:pPr>
      <w:r>
        <w:rPr>
          <w:rFonts w:hint="eastAsia" w:ascii="Times New Roman" w:hAnsi="Times New Roman" w:eastAsia="宋体" w:cs="Times New Roman"/>
          <w:b w:val="0"/>
          <w:bCs w:val="0"/>
          <w:color w:val="auto"/>
          <w:kern w:val="0"/>
          <w:sz w:val="24"/>
          <w:szCs w:val="24"/>
          <w:lang w:val="en-US" w:eastAsia="zh-CN" w:bidi="ar"/>
        </w:rPr>
        <w:t>现有项目涉及的</w:t>
      </w:r>
      <w:r>
        <w:rPr>
          <w:rFonts w:hint="default" w:ascii="Times New Roman" w:hAnsi="Times New Roman" w:eastAsia="宋体" w:cs="Times New Roman"/>
          <w:b w:val="0"/>
          <w:bCs w:val="0"/>
          <w:color w:val="auto"/>
          <w:sz w:val="24"/>
          <w:szCs w:val="24"/>
        </w:rPr>
        <w:t>危险物质</w:t>
      </w:r>
      <w:r>
        <w:rPr>
          <w:rFonts w:hint="eastAsia" w:ascii="Times New Roman" w:hAnsi="Times New Roman" w:eastAsia="宋体" w:cs="Times New Roman"/>
          <w:b w:val="0"/>
          <w:bCs w:val="0"/>
          <w:color w:val="auto"/>
          <w:kern w:val="0"/>
          <w:sz w:val="24"/>
          <w:szCs w:val="24"/>
          <w:lang w:val="en-US" w:eastAsia="zh-CN" w:bidi="ar"/>
        </w:rPr>
        <w:t>为</w:t>
      </w:r>
      <w:r>
        <w:rPr>
          <w:rFonts w:hint="eastAsia" w:ascii="Times New Roman" w:hAnsi="Times New Roman" w:eastAsia="宋体" w:cs="Times New Roman"/>
          <w:color w:val="auto"/>
          <w:sz w:val="24"/>
          <w:szCs w:val="24"/>
        </w:rPr>
        <w:t>烟花爆竹（</w:t>
      </w:r>
      <w:r>
        <w:rPr>
          <w:rFonts w:ascii="Times New Roman" w:hAnsi="Times New Roman" w:eastAsia="宋体" w:cs="Times New Roman"/>
          <w:color w:val="auto"/>
          <w:sz w:val="24"/>
          <w:szCs w:val="24"/>
        </w:rPr>
        <w:t>C、D级</w:t>
      </w:r>
      <w:r>
        <w:rPr>
          <w:rFonts w:hint="eastAsia" w:ascii="Times New Roman" w:hAnsi="Times New Roman" w:eastAsia="宋体" w:cs="Times New Roman"/>
          <w:color w:val="auto"/>
          <w:sz w:val="24"/>
          <w:szCs w:val="24"/>
        </w:rPr>
        <w:t>，1.3级）</w:t>
      </w:r>
      <w:r>
        <w:rPr>
          <w:rFonts w:hint="eastAsia" w:ascii="Times New Roman" w:hAnsi="Times New Roman" w:eastAsia="宋体" w:cs="Times New Roman"/>
          <w:color w:val="auto"/>
          <w:sz w:val="24"/>
          <w:szCs w:val="24"/>
          <w:lang w:val="en-US" w:eastAsia="zh-CN"/>
        </w:rPr>
        <w:t>60000kg</w:t>
      </w:r>
      <w:r>
        <w:rPr>
          <w:rFonts w:hint="eastAsia" w:ascii="Times New Roman" w:hAnsi="Times New Roman" w:eastAsia="宋体" w:cs="Times New Roman"/>
          <w:b w:val="0"/>
          <w:bCs w:val="0"/>
          <w:color w:val="auto"/>
          <w:kern w:val="0"/>
          <w:sz w:val="24"/>
          <w:szCs w:val="24"/>
          <w:lang w:val="en-US" w:eastAsia="zh-CN" w:bidi="ar"/>
        </w:rPr>
        <w:t>，本次改扩建项目涉及的</w:t>
      </w:r>
      <w:r>
        <w:rPr>
          <w:rFonts w:hint="default" w:ascii="Times New Roman" w:hAnsi="Times New Roman" w:eastAsia="宋体" w:cs="Times New Roman"/>
          <w:b w:val="0"/>
          <w:bCs w:val="0"/>
          <w:color w:val="auto"/>
          <w:sz w:val="24"/>
          <w:szCs w:val="24"/>
        </w:rPr>
        <w:t>危险物质</w:t>
      </w:r>
      <w:r>
        <w:rPr>
          <w:rFonts w:hint="eastAsia" w:ascii="Times New Roman" w:hAnsi="Times New Roman" w:eastAsia="宋体" w:cs="Times New Roman"/>
          <w:b w:val="0"/>
          <w:bCs w:val="0"/>
          <w:color w:val="auto"/>
          <w:sz w:val="24"/>
          <w:szCs w:val="24"/>
          <w:lang w:val="en-US" w:eastAsia="zh-CN"/>
        </w:rPr>
        <w:t>为</w:t>
      </w:r>
      <w:r>
        <w:rPr>
          <w:rFonts w:hint="eastAsia" w:ascii="Times New Roman" w:hAnsi="Times New Roman" w:eastAsia="宋体" w:cs="Times New Roman"/>
          <w:color w:val="auto"/>
          <w:sz w:val="24"/>
          <w:szCs w:val="24"/>
        </w:rPr>
        <w:t>烟花爆竹（</w:t>
      </w:r>
      <w:r>
        <w:rPr>
          <w:rFonts w:ascii="Times New Roman" w:hAnsi="Times New Roman" w:eastAsia="宋体" w:cs="Times New Roman"/>
          <w:color w:val="auto"/>
          <w:sz w:val="24"/>
          <w:szCs w:val="24"/>
        </w:rPr>
        <w:t>C、D级</w:t>
      </w:r>
      <w:r>
        <w:rPr>
          <w:rFonts w:hint="eastAsia" w:ascii="Times New Roman" w:hAnsi="Times New Roman" w:eastAsia="宋体" w:cs="Times New Roman"/>
          <w:color w:val="auto"/>
          <w:sz w:val="24"/>
          <w:szCs w:val="24"/>
        </w:rPr>
        <w:t>，1.3级）</w:t>
      </w:r>
      <w:r>
        <w:rPr>
          <w:rFonts w:hint="eastAsia" w:ascii="Times New Roman" w:hAnsi="Times New Roman" w:eastAsia="宋体" w:cs="Times New Roman"/>
          <w:color w:val="auto"/>
          <w:sz w:val="24"/>
          <w:szCs w:val="24"/>
          <w:lang w:val="en-US" w:eastAsia="zh-CN"/>
        </w:rPr>
        <w:t>40000kg，</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A</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B</w:t>
      </w:r>
      <w:r>
        <w:rPr>
          <w:rFonts w:ascii="Times New Roman" w:hAnsi="Times New Roman" w:eastAsia="宋体" w:cs="Times New Roman"/>
          <w:color w:val="auto"/>
          <w:sz w:val="24"/>
          <w:szCs w:val="24"/>
        </w:rPr>
        <w:t>级</w:t>
      </w:r>
      <w:r>
        <w:rPr>
          <w:rFonts w:hint="eastAsia"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rPr>
        <w:t>级）</w:t>
      </w:r>
      <w:r>
        <w:rPr>
          <w:rFonts w:hint="eastAsia" w:ascii="Times New Roman" w:hAnsi="Times New Roman" w:eastAsia="宋体" w:cs="Times New Roman"/>
          <w:color w:val="auto"/>
          <w:sz w:val="24"/>
          <w:szCs w:val="24"/>
          <w:lang w:val="en-US" w:eastAsia="zh-CN"/>
        </w:rPr>
        <w:t>10000kg</w:t>
      </w:r>
      <w:r>
        <w:rPr>
          <w:rFonts w:hint="eastAsia" w:ascii="Times New Roman" w:hAnsi="Times New Roman" w:eastAsia="宋体"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改扩建后</w:t>
      </w:r>
      <w:r>
        <w:rPr>
          <w:rFonts w:hint="eastAsia" w:ascii="Times New Roman" w:hAnsi="Times New Roman" w:eastAsia="宋体" w:cs="Times New Roman"/>
          <w:b w:val="0"/>
          <w:bCs w:val="0"/>
          <w:color w:val="auto"/>
          <w:kern w:val="0"/>
          <w:sz w:val="24"/>
          <w:szCs w:val="24"/>
          <w:lang w:val="en-US" w:eastAsia="zh-CN" w:bidi="ar"/>
        </w:rPr>
        <w:t>项目全厂危险物质</w:t>
      </w:r>
      <w:r>
        <w:rPr>
          <w:rFonts w:hint="default" w:ascii="Times New Roman" w:hAnsi="Times New Roman" w:eastAsia="宋体" w:cs="Times New Roman"/>
          <w:b w:val="0"/>
          <w:bCs w:val="0"/>
          <w:color w:val="auto"/>
          <w:sz w:val="24"/>
          <w:szCs w:val="24"/>
          <w:lang w:val="en-US" w:eastAsia="zh-CN"/>
        </w:rPr>
        <w:t>Q值确定表</w:t>
      </w:r>
      <w:r>
        <w:rPr>
          <w:rFonts w:hint="eastAsia" w:ascii="Times New Roman" w:hAnsi="Times New Roman" w:eastAsia="宋体" w:cs="Times New Roman"/>
          <w:b w:val="0"/>
          <w:bCs w:val="0"/>
          <w:color w:val="auto"/>
          <w:sz w:val="24"/>
          <w:szCs w:val="24"/>
          <w:lang w:val="en-US" w:eastAsia="zh-CN"/>
        </w:rPr>
        <w:t>详见下表</w:t>
      </w:r>
      <w:r>
        <w:rPr>
          <w:rFonts w:hint="default" w:ascii="Times New Roman" w:hAnsi="Times New Roman" w:eastAsia="宋体" w:cs="Times New Roman"/>
          <w:b w:val="0"/>
          <w:bCs w:val="0"/>
          <w:color w:val="auto"/>
          <w:kern w:val="0"/>
          <w:sz w:val="24"/>
          <w:szCs w:val="24"/>
          <w:lang w:bidi="ar"/>
        </w:rPr>
        <w:t>。</w:t>
      </w:r>
    </w:p>
    <w:p w14:paraId="3560DAA4">
      <w:pPr>
        <w:pStyle w:val="31"/>
        <w:spacing w:line="240" w:lineRule="auto"/>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表1  主要风险物质存放地点及最大存量表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1916"/>
        <w:gridCol w:w="2444"/>
        <w:gridCol w:w="1759"/>
        <w:gridCol w:w="1007"/>
      </w:tblGrid>
      <w:tr w14:paraId="7C2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Align w:val="center"/>
          </w:tcPr>
          <w:p w14:paraId="4C638A21">
            <w:pPr>
              <w:spacing w:line="360" w:lineRule="auto"/>
              <w:jc w:val="center"/>
              <w:rPr>
                <w:rFonts w:hint="eastAsia" w:eastAsia="宋体"/>
                <w:b/>
                <w:color w:val="auto"/>
                <w:lang w:eastAsia="zh-CN"/>
              </w:rPr>
            </w:pPr>
            <w:r>
              <w:rPr>
                <w:rFonts w:hint="eastAsia"/>
                <w:b/>
                <w:color w:val="auto"/>
                <w:lang w:val="en-US" w:eastAsia="zh-CN"/>
              </w:rPr>
              <w:t>地块</w:t>
            </w:r>
          </w:p>
        </w:tc>
        <w:tc>
          <w:tcPr>
            <w:tcW w:w="1057" w:type="pct"/>
            <w:vAlign w:val="center"/>
          </w:tcPr>
          <w:p w14:paraId="61E8B578">
            <w:pPr>
              <w:spacing w:line="360" w:lineRule="auto"/>
              <w:jc w:val="center"/>
              <w:rPr>
                <w:rFonts w:hint="eastAsia"/>
                <w:b/>
                <w:color w:val="auto"/>
              </w:rPr>
            </w:pPr>
            <w:r>
              <w:rPr>
                <w:rFonts w:hint="eastAsia"/>
                <w:b/>
                <w:color w:val="auto"/>
              </w:rPr>
              <w:t>危险物质名称</w:t>
            </w:r>
          </w:p>
        </w:tc>
        <w:tc>
          <w:tcPr>
            <w:tcW w:w="1348" w:type="pct"/>
            <w:vAlign w:val="center"/>
          </w:tcPr>
          <w:p w14:paraId="4DF79E2F">
            <w:pPr>
              <w:spacing w:line="360" w:lineRule="auto"/>
              <w:jc w:val="center"/>
              <w:rPr>
                <w:b/>
                <w:color w:val="auto"/>
              </w:rPr>
            </w:pPr>
            <w:r>
              <w:rPr>
                <w:rFonts w:hint="eastAsia"/>
                <w:b/>
                <w:color w:val="auto"/>
              </w:rPr>
              <w:t>存放地点</w:t>
            </w:r>
          </w:p>
        </w:tc>
        <w:tc>
          <w:tcPr>
            <w:tcW w:w="970" w:type="pct"/>
            <w:vAlign w:val="center"/>
          </w:tcPr>
          <w:p w14:paraId="0E773A5A">
            <w:pPr>
              <w:spacing w:line="360" w:lineRule="auto"/>
              <w:jc w:val="center"/>
              <w:rPr>
                <w:b/>
                <w:color w:val="auto"/>
              </w:rPr>
            </w:pPr>
            <w:r>
              <w:rPr>
                <w:rFonts w:hint="eastAsia"/>
                <w:b/>
                <w:color w:val="auto"/>
              </w:rPr>
              <w:t>最大贮存药量</w:t>
            </w:r>
          </w:p>
        </w:tc>
        <w:tc>
          <w:tcPr>
            <w:tcW w:w="555" w:type="pct"/>
            <w:vAlign w:val="center"/>
          </w:tcPr>
          <w:p w14:paraId="29EB32D0">
            <w:pPr>
              <w:spacing w:line="360" w:lineRule="auto"/>
              <w:jc w:val="center"/>
              <w:rPr>
                <w:b/>
                <w:color w:val="auto"/>
              </w:rPr>
            </w:pPr>
            <w:r>
              <w:rPr>
                <w:rFonts w:hint="eastAsia"/>
                <w:b/>
                <w:color w:val="auto"/>
              </w:rPr>
              <w:t>临界量</w:t>
            </w:r>
          </w:p>
        </w:tc>
      </w:tr>
      <w:tr w14:paraId="52EF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Merge w:val="restart"/>
            <w:vAlign w:val="center"/>
          </w:tcPr>
          <w:p w14:paraId="4A619171">
            <w:pPr>
              <w:spacing w:line="360" w:lineRule="auto"/>
              <w:jc w:val="center"/>
              <w:rPr>
                <w:rFonts w:hint="default"/>
                <w:b/>
                <w:color w:val="auto"/>
                <w:lang w:val="en-US" w:eastAsia="zh-CN"/>
              </w:rPr>
            </w:pPr>
            <w:r>
              <w:rPr>
                <w:rFonts w:hint="eastAsia"/>
                <w:b/>
                <w:color w:val="auto"/>
                <w:lang w:val="en-US" w:eastAsia="zh-CN"/>
              </w:rPr>
              <w:t>现有项目</w:t>
            </w:r>
          </w:p>
        </w:tc>
        <w:tc>
          <w:tcPr>
            <w:tcW w:w="1057" w:type="pct"/>
            <w:vAlign w:val="center"/>
          </w:tcPr>
          <w:p w14:paraId="70719698">
            <w:pPr>
              <w:spacing w:line="360" w:lineRule="auto"/>
              <w:jc w:val="center"/>
              <w:rPr>
                <w:rFonts w:hint="eastAsia"/>
                <w:b/>
                <w:color w:val="auto"/>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1348" w:type="pct"/>
            <w:vAlign w:val="center"/>
          </w:tcPr>
          <w:p w14:paraId="55C83C4B">
            <w:pPr>
              <w:spacing w:line="360" w:lineRule="auto"/>
              <w:jc w:val="center"/>
              <w:rPr>
                <w:rFonts w:hint="eastAsia"/>
                <w:b/>
                <w:color w:val="auto"/>
              </w:rPr>
            </w:pPr>
            <w:r>
              <w:rPr>
                <w:rFonts w:hint="default" w:ascii="Times New Roman" w:hAnsi="Times New Roman" w:eastAsia="宋体" w:cs="Times New Roman"/>
                <w:b w:val="0"/>
                <w:bCs w:val="0"/>
                <w:color w:val="auto"/>
                <w:kern w:val="2"/>
                <w:sz w:val="21"/>
                <w:szCs w:val="21"/>
                <w:lang w:val="en-US" w:eastAsia="zh-CN" w:bidi="ar-SA"/>
              </w:rPr>
              <w:t>①号烟花爆竹成品库</w:t>
            </w:r>
          </w:p>
        </w:tc>
        <w:tc>
          <w:tcPr>
            <w:tcW w:w="970" w:type="pct"/>
            <w:vAlign w:val="center"/>
          </w:tcPr>
          <w:p w14:paraId="2A19DA27">
            <w:pPr>
              <w:spacing w:line="360" w:lineRule="auto"/>
              <w:jc w:val="center"/>
              <w:rPr>
                <w:rFonts w:hint="eastAsia"/>
                <w:b/>
                <w:color w:val="auto"/>
              </w:rPr>
            </w:pPr>
            <w:r>
              <w:rPr>
                <w:rFonts w:hint="default" w:ascii="Times New Roman" w:hAnsi="Times New Roman" w:eastAsia="宋体" w:cs="Times New Roman"/>
                <w:b w:val="0"/>
                <w:bCs w:val="0"/>
                <w:color w:val="auto"/>
                <w:kern w:val="2"/>
                <w:sz w:val="21"/>
                <w:szCs w:val="21"/>
                <w:lang w:val="en-US" w:eastAsia="zh-CN" w:bidi="ar-SA"/>
              </w:rPr>
              <w:t>20000kg</w:t>
            </w:r>
          </w:p>
        </w:tc>
        <w:tc>
          <w:tcPr>
            <w:tcW w:w="555" w:type="pct"/>
            <w:vAlign w:val="center"/>
          </w:tcPr>
          <w:p w14:paraId="0915F725">
            <w:pPr>
              <w:spacing w:line="360" w:lineRule="auto"/>
              <w:jc w:val="center"/>
              <w:rPr>
                <w:rFonts w:hint="default" w:eastAsia="宋体"/>
                <w:b/>
                <w:color w:val="auto"/>
                <w:lang w:val="en-US" w:eastAsia="zh-CN"/>
              </w:rPr>
            </w:pPr>
            <w:r>
              <w:rPr>
                <w:rFonts w:hint="eastAsia"/>
                <w:b/>
                <w:color w:val="auto"/>
                <w:lang w:val="en-US" w:eastAsia="zh-CN"/>
              </w:rPr>
              <w:t>10t</w:t>
            </w:r>
          </w:p>
        </w:tc>
      </w:tr>
      <w:tr w14:paraId="20BA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Merge w:val="continue"/>
            <w:vAlign w:val="center"/>
          </w:tcPr>
          <w:p w14:paraId="0A1D7568">
            <w:pPr>
              <w:spacing w:line="360" w:lineRule="auto"/>
              <w:jc w:val="center"/>
              <w:rPr>
                <w:rFonts w:hint="eastAsia"/>
                <w:b/>
                <w:color w:val="auto"/>
                <w:lang w:val="en-US" w:eastAsia="zh-CN"/>
              </w:rPr>
            </w:pPr>
          </w:p>
        </w:tc>
        <w:tc>
          <w:tcPr>
            <w:tcW w:w="1057" w:type="pct"/>
            <w:shd w:val="clear" w:color="auto" w:fill="auto"/>
            <w:vAlign w:val="center"/>
          </w:tcPr>
          <w:p w14:paraId="56FA7DCA">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1348" w:type="pct"/>
            <w:shd w:val="clear" w:color="auto" w:fill="auto"/>
            <w:vAlign w:val="center"/>
          </w:tcPr>
          <w:p w14:paraId="422C832D">
            <w:pPr>
              <w:pStyle w:val="30"/>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②号烟花爆竹成品库</w:t>
            </w:r>
          </w:p>
        </w:tc>
        <w:tc>
          <w:tcPr>
            <w:tcW w:w="970" w:type="pct"/>
            <w:shd w:val="clear" w:color="auto" w:fill="auto"/>
            <w:vAlign w:val="center"/>
          </w:tcPr>
          <w:p w14:paraId="3F927B72">
            <w:pPr>
              <w:pStyle w:val="30"/>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20000kg</w:t>
            </w:r>
          </w:p>
        </w:tc>
        <w:tc>
          <w:tcPr>
            <w:tcW w:w="555" w:type="pct"/>
            <w:vAlign w:val="center"/>
          </w:tcPr>
          <w:p w14:paraId="32101FC3">
            <w:pPr>
              <w:spacing w:line="360" w:lineRule="auto"/>
              <w:jc w:val="center"/>
              <w:rPr>
                <w:rFonts w:hint="default" w:eastAsia="宋体"/>
                <w:b/>
                <w:color w:val="auto"/>
                <w:lang w:val="en-US" w:eastAsia="zh-CN"/>
              </w:rPr>
            </w:pPr>
            <w:r>
              <w:rPr>
                <w:rFonts w:hint="eastAsia"/>
                <w:b/>
                <w:color w:val="auto"/>
                <w:lang w:val="en-US" w:eastAsia="zh-CN"/>
              </w:rPr>
              <w:t>10t</w:t>
            </w:r>
          </w:p>
        </w:tc>
      </w:tr>
      <w:tr w14:paraId="1AE0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Merge w:val="continue"/>
            <w:vAlign w:val="center"/>
          </w:tcPr>
          <w:p w14:paraId="06EF3569">
            <w:pPr>
              <w:spacing w:line="360" w:lineRule="auto"/>
              <w:jc w:val="center"/>
              <w:rPr>
                <w:rFonts w:hint="eastAsia"/>
                <w:b/>
                <w:color w:val="auto"/>
                <w:lang w:val="en-US" w:eastAsia="zh-CN"/>
              </w:rPr>
            </w:pPr>
          </w:p>
        </w:tc>
        <w:tc>
          <w:tcPr>
            <w:tcW w:w="1057" w:type="pct"/>
            <w:shd w:val="clear" w:color="auto" w:fill="auto"/>
            <w:vAlign w:val="center"/>
          </w:tcPr>
          <w:p w14:paraId="7A84BE4E">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1348" w:type="pct"/>
            <w:shd w:val="clear" w:color="auto" w:fill="auto"/>
            <w:vAlign w:val="center"/>
          </w:tcPr>
          <w:p w14:paraId="1E12C324">
            <w:pPr>
              <w:pStyle w:val="30"/>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③号烟花爆竹成品库</w:t>
            </w:r>
          </w:p>
        </w:tc>
        <w:tc>
          <w:tcPr>
            <w:tcW w:w="970" w:type="pct"/>
            <w:shd w:val="clear" w:color="auto" w:fill="auto"/>
            <w:vAlign w:val="center"/>
          </w:tcPr>
          <w:p w14:paraId="6E177129">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20000kg</w:t>
            </w:r>
          </w:p>
        </w:tc>
        <w:tc>
          <w:tcPr>
            <w:tcW w:w="555" w:type="pct"/>
            <w:vAlign w:val="center"/>
          </w:tcPr>
          <w:p w14:paraId="2459DC3C">
            <w:pPr>
              <w:spacing w:line="360" w:lineRule="auto"/>
              <w:jc w:val="center"/>
              <w:rPr>
                <w:rFonts w:hint="default" w:eastAsia="宋体"/>
                <w:b/>
                <w:color w:val="auto"/>
                <w:lang w:val="en-US" w:eastAsia="zh-CN"/>
              </w:rPr>
            </w:pPr>
            <w:r>
              <w:rPr>
                <w:rFonts w:hint="eastAsia"/>
                <w:b/>
                <w:color w:val="auto"/>
                <w:lang w:val="en-US" w:eastAsia="zh-CN"/>
              </w:rPr>
              <w:t>10t</w:t>
            </w:r>
          </w:p>
        </w:tc>
      </w:tr>
      <w:tr w14:paraId="3E40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Merge w:val="restart"/>
            <w:vAlign w:val="center"/>
          </w:tcPr>
          <w:p w14:paraId="61EE005D">
            <w:pPr>
              <w:pStyle w:val="31"/>
              <w:ind w:firstLine="0" w:firstLineChars="0"/>
              <w:jc w:val="center"/>
              <w:rPr>
                <w:rFonts w:hint="default"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地块一</w:t>
            </w:r>
          </w:p>
        </w:tc>
        <w:tc>
          <w:tcPr>
            <w:tcW w:w="1057" w:type="pct"/>
            <w:vAlign w:val="center"/>
          </w:tcPr>
          <w:p w14:paraId="2E56EBAD">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1348" w:type="pct"/>
            <w:vAlign w:val="center"/>
          </w:tcPr>
          <w:p w14:paraId="6C0CC419">
            <w:pPr>
              <w:pStyle w:val="31"/>
              <w:numPr>
                <w:ilvl w:val="0"/>
                <w:numId w:val="7"/>
              </w:numPr>
              <w:ind w:firstLineChars="0"/>
              <w:jc w:val="center"/>
              <w:rPr>
                <w:rFonts w:ascii="Times New Roman" w:hAnsi="Times New Roman" w:eastAsia="宋体" w:cs="Times New Roman"/>
                <w:b/>
                <w:color w:val="auto"/>
                <w:sz w:val="21"/>
                <w:szCs w:val="21"/>
              </w:rPr>
            </w:pPr>
            <w:r>
              <w:rPr>
                <w:rFonts w:ascii="Times New Roman" w:hAnsi="Times New Roman" w:eastAsia="宋体" w:cs="Times New Roman"/>
                <w:color w:val="auto"/>
                <w:sz w:val="21"/>
                <w:szCs w:val="21"/>
              </w:rPr>
              <w:t>烟花爆竹成品库</w:t>
            </w:r>
          </w:p>
        </w:tc>
        <w:tc>
          <w:tcPr>
            <w:tcW w:w="970" w:type="pct"/>
            <w:vAlign w:val="center"/>
          </w:tcPr>
          <w:p w14:paraId="1C4FA262">
            <w:pPr>
              <w:pStyle w:val="31"/>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20000kg</w:t>
            </w:r>
          </w:p>
        </w:tc>
        <w:tc>
          <w:tcPr>
            <w:tcW w:w="555" w:type="pct"/>
            <w:vAlign w:val="center"/>
          </w:tcPr>
          <w:p w14:paraId="66DBE2BD">
            <w:pPr>
              <w:pStyle w:val="31"/>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10t</w:t>
            </w:r>
          </w:p>
        </w:tc>
      </w:tr>
      <w:tr w14:paraId="14D9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Merge w:val="continue"/>
            <w:vAlign w:val="center"/>
          </w:tcPr>
          <w:p w14:paraId="4D655B51">
            <w:pPr>
              <w:pStyle w:val="31"/>
              <w:ind w:firstLine="0" w:firstLineChars="0"/>
              <w:jc w:val="center"/>
              <w:rPr>
                <w:rFonts w:ascii="Times New Roman" w:hAnsi="Times New Roman" w:eastAsia="宋体" w:cs="Times New Roman"/>
                <w:color w:val="auto"/>
                <w:sz w:val="21"/>
              </w:rPr>
            </w:pPr>
          </w:p>
        </w:tc>
        <w:tc>
          <w:tcPr>
            <w:tcW w:w="1057" w:type="pct"/>
            <w:vAlign w:val="center"/>
          </w:tcPr>
          <w:p w14:paraId="7D272287">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1348" w:type="pct"/>
            <w:vAlign w:val="center"/>
          </w:tcPr>
          <w:p w14:paraId="146D4F7E">
            <w:pPr>
              <w:pStyle w:val="31"/>
              <w:numPr>
                <w:ilvl w:val="0"/>
                <w:numId w:val="7"/>
              </w:numPr>
              <w:ind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烟花爆竹成品库</w:t>
            </w:r>
          </w:p>
        </w:tc>
        <w:tc>
          <w:tcPr>
            <w:tcW w:w="970" w:type="pct"/>
          </w:tcPr>
          <w:p w14:paraId="13B1CE97">
            <w:pPr>
              <w:spacing w:line="360" w:lineRule="auto"/>
              <w:jc w:val="center"/>
              <w:rPr>
                <w:color w:val="auto"/>
              </w:rPr>
            </w:pPr>
            <w:r>
              <w:rPr>
                <w:rFonts w:hint="eastAsia"/>
                <w:color w:val="auto"/>
                <w:szCs w:val="21"/>
              </w:rPr>
              <w:t>20000kg</w:t>
            </w:r>
          </w:p>
        </w:tc>
        <w:tc>
          <w:tcPr>
            <w:tcW w:w="555" w:type="pct"/>
          </w:tcPr>
          <w:p w14:paraId="3BC30A23">
            <w:pPr>
              <w:spacing w:line="360" w:lineRule="auto"/>
              <w:jc w:val="center"/>
              <w:rPr>
                <w:color w:val="auto"/>
              </w:rPr>
            </w:pPr>
            <w:r>
              <w:rPr>
                <w:rFonts w:hint="eastAsia"/>
                <w:color w:val="auto"/>
                <w:szCs w:val="21"/>
              </w:rPr>
              <w:t>10t</w:t>
            </w:r>
          </w:p>
        </w:tc>
      </w:tr>
      <w:tr w14:paraId="6FE0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pct"/>
            <w:vAlign w:val="center"/>
          </w:tcPr>
          <w:p w14:paraId="5EEEFE7E">
            <w:pPr>
              <w:pStyle w:val="31"/>
              <w:ind w:firstLine="0" w:firstLineChars="0"/>
              <w:jc w:val="center"/>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地块二</w:t>
            </w:r>
          </w:p>
        </w:tc>
        <w:tc>
          <w:tcPr>
            <w:tcW w:w="1057" w:type="pct"/>
            <w:vAlign w:val="center"/>
          </w:tcPr>
          <w:p w14:paraId="646C1DE9">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hint="eastAsia" w:ascii="Times New Roman" w:hAnsi="Times New Roman" w:eastAsia="宋体" w:cs="Times New Roman"/>
                <w:color w:val="auto"/>
                <w:sz w:val="21"/>
                <w:lang w:val="en-US" w:eastAsia="zh-CN"/>
              </w:rPr>
              <w:t>A</w:t>
            </w:r>
            <w:r>
              <w:rPr>
                <w:rFonts w:ascii="Times New Roman" w:hAnsi="Times New Roman" w:eastAsia="宋体" w:cs="Times New Roman"/>
                <w:color w:val="auto"/>
                <w:sz w:val="21"/>
              </w:rPr>
              <w:t>、</w:t>
            </w:r>
            <w:r>
              <w:rPr>
                <w:rFonts w:hint="eastAsia" w:ascii="Times New Roman" w:hAnsi="Times New Roman" w:eastAsia="宋体" w:cs="Times New Roman"/>
                <w:color w:val="auto"/>
                <w:sz w:val="21"/>
                <w:lang w:val="en-US" w:eastAsia="zh-CN"/>
              </w:rPr>
              <w:t>B</w:t>
            </w:r>
            <w:r>
              <w:rPr>
                <w:rFonts w:ascii="Times New Roman" w:hAnsi="Times New Roman" w:eastAsia="宋体" w:cs="Times New Roman"/>
                <w:color w:val="auto"/>
                <w:sz w:val="21"/>
              </w:rPr>
              <w:t>级</w:t>
            </w:r>
            <w:r>
              <w:rPr>
                <w:rFonts w:hint="eastAsia"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1</w:t>
            </w:r>
            <w:r>
              <w:rPr>
                <w:rFonts w:hint="eastAsia" w:ascii="Times New Roman" w:hAnsi="Times New Roman" w:eastAsia="宋体" w:cs="Times New Roman"/>
                <w:color w:val="auto"/>
                <w:sz w:val="21"/>
                <w:vertAlign w:val="superscript"/>
                <w:lang w:val="en-US" w:eastAsia="zh-CN"/>
              </w:rPr>
              <w:t>-2</w:t>
            </w:r>
            <w:r>
              <w:rPr>
                <w:rFonts w:hint="eastAsia" w:ascii="Times New Roman" w:hAnsi="Times New Roman" w:eastAsia="宋体" w:cs="Times New Roman"/>
                <w:color w:val="auto"/>
                <w:sz w:val="21"/>
              </w:rPr>
              <w:t>级）</w:t>
            </w:r>
          </w:p>
        </w:tc>
        <w:tc>
          <w:tcPr>
            <w:tcW w:w="1348" w:type="pct"/>
            <w:vAlign w:val="center"/>
          </w:tcPr>
          <w:p w14:paraId="46EEE0EB">
            <w:pPr>
              <w:pStyle w:val="31"/>
              <w:numPr>
                <w:ilvl w:val="0"/>
                <w:numId w:val="0"/>
              </w:numPr>
              <w:ind w:left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烟花爆竹成品库</w:t>
            </w:r>
          </w:p>
        </w:tc>
        <w:tc>
          <w:tcPr>
            <w:tcW w:w="970" w:type="pct"/>
          </w:tcPr>
          <w:p w14:paraId="06CA11B7">
            <w:pPr>
              <w:spacing w:line="360" w:lineRule="auto"/>
              <w:jc w:val="center"/>
              <w:rPr>
                <w:color w:val="auto"/>
              </w:rPr>
            </w:pPr>
            <w:r>
              <w:rPr>
                <w:rFonts w:hint="eastAsia"/>
                <w:color w:val="auto"/>
                <w:szCs w:val="21"/>
                <w:lang w:val="en-US" w:eastAsia="zh-CN"/>
              </w:rPr>
              <w:t>1</w:t>
            </w:r>
            <w:r>
              <w:rPr>
                <w:rFonts w:hint="eastAsia"/>
                <w:color w:val="auto"/>
                <w:szCs w:val="21"/>
              </w:rPr>
              <w:t>0000kg</w:t>
            </w:r>
          </w:p>
        </w:tc>
        <w:tc>
          <w:tcPr>
            <w:tcW w:w="555" w:type="pct"/>
          </w:tcPr>
          <w:p w14:paraId="3CEA1AEB">
            <w:pPr>
              <w:spacing w:line="360" w:lineRule="auto"/>
              <w:jc w:val="center"/>
              <w:rPr>
                <w:color w:val="auto"/>
              </w:rPr>
            </w:pPr>
            <w:r>
              <w:rPr>
                <w:rFonts w:hint="eastAsia"/>
                <w:color w:val="auto"/>
                <w:szCs w:val="21"/>
              </w:rPr>
              <w:t>1t</w:t>
            </w:r>
          </w:p>
        </w:tc>
      </w:tr>
    </w:tbl>
    <w:p w14:paraId="6F8C6216">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表2  危险物品临界量表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3972"/>
        <w:gridCol w:w="3020"/>
      </w:tblGrid>
      <w:tr w14:paraId="73AC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14:paraId="0AFB37E1">
            <w:pPr>
              <w:pStyle w:val="31"/>
              <w:ind w:firstLine="422"/>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类别</w:t>
            </w:r>
          </w:p>
        </w:tc>
        <w:tc>
          <w:tcPr>
            <w:tcW w:w="3972" w:type="dxa"/>
            <w:vAlign w:val="center"/>
          </w:tcPr>
          <w:p w14:paraId="33F75052">
            <w:pPr>
              <w:pStyle w:val="31"/>
              <w:ind w:firstLine="422"/>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物质特性</w:t>
            </w:r>
          </w:p>
        </w:tc>
        <w:tc>
          <w:tcPr>
            <w:tcW w:w="3020" w:type="dxa"/>
            <w:vAlign w:val="center"/>
          </w:tcPr>
          <w:p w14:paraId="02F5A049">
            <w:pPr>
              <w:pStyle w:val="31"/>
              <w:ind w:firstLine="422"/>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临界量</w:t>
            </w:r>
          </w:p>
        </w:tc>
      </w:tr>
      <w:tr w14:paraId="2919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14:paraId="347DB843">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爆炸物品</w:t>
            </w:r>
            <w:r>
              <w:rPr>
                <w:rFonts w:hint="eastAsia" w:ascii="Times New Roman" w:hAnsi="Times New Roman" w:eastAsia="宋体" w:cs="Times New Roman"/>
                <w:color w:val="auto"/>
                <w:sz w:val="21"/>
                <w:szCs w:val="21"/>
                <w:lang w:val="en-US" w:eastAsia="zh-CN"/>
              </w:rPr>
              <w:t>W1.1</w:t>
            </w:r>
          </w:p>
        </w:tc>
        <w:tc>
          <w:tcPr>
            <w:tcW w:w="3972" w:type="dxa"/>
            <w:vAlign w:val="center"/>
          </w:tcPr>
          <w:p w14:paraId="21A263B2">
            <w:pPr>
              <w:pStyle w:val="31"/>
              <w:ind w:firstLine="42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不稳定</w:t>
            </w:r>
            <w:r>
              <w:rPr>
                <w:rFonts w:hint="eastAsia" w:ascii="Times New Roman" w:hAnsi="Times New Roman" w:eastAsia="宋体" w:cs="Times New Roman"/>
                <w:color w:val="auto"/>
                <w:sz w:val="21"/>
                <w:szCs w:val="21"/>
              </w:rPr>
              <w:t>爆炸</w:t>
            </w:r>
            <w:r>
              <w:rPr>
                <w:rFonts w:hint="eastAsia" w:ascii="Times New Roman" w:hAnsi="Times New Roman" w:eastAsia="宋体" w:cs="Times New Roman"/>
                <w:color w:val="auto"/>
                <w:sz w:val="21"/>
                <w:szCs w:val="21"/>
                <w:lang w:val="en-US" w:eastAsia="zh-CN"/>
              </w:rPr>
              <w:t>物、</w:t>
            </w:r>
            <w:r>
              <w:rPr>
                <w:rFonts w:hint="eastAsia" w:ascii="Times New Roman" w:hAnsi="Times New Roman" w:eastAsia="宋体" w:cs="Times New Roman"/>
                <w:color w:val="auto"/>
                <w:sz w:val="21"/>
                <w:szCs w:val="21"/>
              </w:rPr>
              <w:t>1.1项爆炸</w:t>
            </w:r>
            <w:r>
              <w:rPr>
                <w:rFonts w:hint="eastAsia" w:ascii="Times New Roman" w:hAnsi="Times New Roman" w:eastAsia="宋体" w:cs="Times New Roman"/>
                <w:color w:val="auto"/>
                <w:sz w:val="21"/>
                <w:szCs w:val="21"/>
                <w:lang w:val="en-US" w:eastAsia="zh-CN"/>
              </w:rPr>
              <w:t>物</w:t>
            </w:r>
          </w:p>
        </w:tc>
        <w:tc>
          <w:tcPr>
            <w:tcW w:w="3020" w:type="dxa"/>
            <w:vAlign w:val="center"/>
          </w:tcPr>
          <w:p w14:paraId="1136EAFE">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1t</w:t>
            </w:r>
          </w:p>
        </w:tc>
      </w:tr>
      <w:tr w14:paraId="2B3A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14:paraId="21A14DA5">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爆炸物品</w:t>
            </w:r>
            <w:r>
              <w:rPr>
                <w:rFonts w:hint="eastAsia" w:ascii="Times New Roman" w:hAnsi="Times New Roman" w:eastAsia="宋体" w:cs="Times New Roman"/>
                <w:color w:val="auto"/>
                <w:sz w:val="21"/>
                <w:szCs w:val="21"/>
                <w:lang w:val="en-US" w:eastAsia="zh-CN"/>
              </w:rPr>
              <w:t>W1.2</w:t>
            </w:r>
          </w:p>
        </w:tc>
        <w:tc>
          <w:tcPr>
            <w:tcW w:w="3972" w:type="dxa"/>
            <w:vAlign w:val="center"/>
          </w:tcPr>
          <w:p w14:paraId="01793033">
            <w:pPr>
              <w:pStyle w:val="31"/>
              <w:ind w:firstLine="42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1.2、1.3、1.5、1.6</w:t>
            </w:r>
            <w:r>
              <w:rPr>
                <w:rFonts w:hint="eastAsia" w:ascii="Times New Roman" w:hAnsi="Times New Roman" w:eastAsia="宋体" w:cs="Times New Roman"/>
                <w:color w:val="auto"/>
                <w:sz w:val="21"/>
                <w:szCs w:val="21"/>
              </w:rPr>
              <w:t>爆炸</w:t>
            </w:r>
            <w:r>
              <w:rPr>
                <w:rFonts w:hint="eastAsia" w:ascii="Times New Roman" w:hAnsi="Times New Roman" w:eastAsia="宋体" w:cs="Times New Roman"/>
                <w:color w:val="auto"/>
                <w:sz w:val="21"/>
                <w:szCs w:val="21"/>
                <w:lang w:val="en-US" w:eastAsia="zh-CN"/>
              </w:rPr>
              <w:t>物</w:t>
            </w:r>
          </w:p>
        </w:tc>
        <w:tc>
          <w:tcPr>
            <w:tcW w:w="3020" w:type="dxa"/>
            <w:vAlign w:val="center"/>
          </w:tcPr>
          <w:p w14:paraId="46BD8C4F">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10t</w:t>
            </w:r>
          </w:p>
        </w:tc>
      </w:tr>
      <w:tr w14:paraId="1CF5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14:paraId="60E36A5D">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爆炸物品</w:t>
            </w:r>
            <w:r>
              <w:rPr>
                <w:rFonts w:hint="eastAsia" w:ascii="Times New Roman" w:hAnsi="Times New Roman" w:eastAsia="宋体" w:cs="Times New Roman"/>
                <w:color w:val="auto"/>
                <w:sz w:val="21"/>
                <w:szCs w:val="21"/>
                <w:lang w:val="en-US" w:eastAsia="zh-CN"/>
              </w:rPr>
              <w:t>W1.3</w:t>
            </w:r>
          </w:p>
        </w:tc>
        <w:tc>
          <w:tcPr>
            <w:tcW w:w="3972" w:type="dxa"/>
            <w:vAlign w:val="center"/>
          </w:tcPr>
          <w:p w14:paraId="0A2E050E">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1.4</w:t>
            </w:r>
            <w:r>
              <w:rPr>
                <w:rFonts w:hint="eastAsia" w:ascii="Times New Roman" w:hAnsi="Times New Roman" w:eastAsia="宋体" w:cs="Times New Roman"/>
                <w:color w:val="auto"/>
                <w:sz w:val="21"/>
                <w:szCs w:val="21"/>
              </w:rPr>
              <w:t>项爆炸</w:t>
            </w:r>
            <w:r>
              <w:rPr>
                <w:rFonts w:hint="eastAsia" w:ascii="Times New Roman" w:hAnsi="Times New Roman" w:eastAsia="宋体" w:cs="Times New Roman"/>
                <w:color w:val="auto"/>
                <w:sz w:val="21"/>
                <w:szCs w:val="21"/>
                <w:lang w:val="en-US" w:eastAsia="zh-CN"/>
              </w:rPr>
              <w:t>物</w:t>
            </w:r>
          </w:p>
        </w:tc>
        <w:tc>
          <w:tcPr>
            <w:tcW w:w="3020" w:type="dxa"/>
            <w:vAlign w:val="center"/>
          </w:tcPr>
          <w:p w14:paraId="2DD7E9A0">
            <w:pPr>
              <w:pStyle w:val="31"/>
              <w:ind w:firstLine="42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50t</w:t>
            </w:r>
          </w:p>
        </w:tc>
      </w:tr>
    </w:tbl>
    <w:p w14:paraId="45BC9AEC">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根据《危险货物品名表》（GB12268-2012）和该公司储存的烟花爆竹产品中，</w:t>
      </w:r>
      <w:r>
        <w:rPr>
          <w:rFonts w:hint="eastAsia" w:ascii="Times New Roman" w:hAnsi="Times New Roman" w:eastAsia="宋体" w:cs="Times New Roman"/>
          <w:color w:val="auto"/>
          <w:sz w:val="24"/>
          <w:szCs w:val="24"/>
          <w:lang w:val="en-US" w:eastAsia="zh-CN"/>
        </w:rPr>
        <w:t>地块一</w:t>
      </w:r>
      <w:r>
        <w:rPr>
          <w:rFonts w:hint="eastAsia" w:ascii="Times New Roman" w:hAnsi="Times New Roman" w:eastAsia="宋体" w:cs="Times New Roman"/>
          <w:color w:val="auto"/>
          <w:sz w:val="24"/>
          <w:szCs w:val="24"/>
        </w:rPr>
        <w:t>1.3级仓库储存的产品为C级及以下产品，属于除</w:t>
      </w:r>
      <w:r>
        <w:rPr>
          <w:rFonts w:hint="eastAsia" w:ascii="Times New Roman" w:hAnsi="Times New Roman" w:eastAsia="宋体" w:cs="Times New Roman"/>
          <w:color w:val="auto"/>
          <w:sz w:val="24"/>
          <w:szCs w:val="24"/>
          <w:lang w:val="en-US" w:eastAsia="zh-CN"/>
        </w:rPr>
        <w:t>1.3</w:t>
      </w:r>
      <w:r>
        <w:rPr>
          <w:rFonts w:hint="eastAsia" w:ascii="Times New Roman" w:hAnsi="Times New Roman" w:eastAsia="宋体" w:cs="Times New Roman"/>
          <w:color w:val="auto"/>
          <w:sz w:val="24"/>
          <w:szCs w:val="24"/>
        </w:rPr>
        <w:t>项爆炸</w:t>
      </w:r>
      <w:r>
        <w:rPr>
          <w:rFonts w:hint="eastAsia" w:ascii="Times New Roman" w:hAnsi="Times New Roman" w:eastAsia="宋体" w:cs="Times New Roman"/>
          <w:color w:val="auto"/>
          <w:sz w:val="24"/>
          <w:szCs w:val="24"/>
          <w:lang w:val="en-US" w:eastAsia="zh-CN"/>
        </w:rPr>
        <w:t>物</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地块二</w:t>
      </w:r>
      <w:r>
        <w:rPr>
          <w:rFonts w:hint="eastAsia" w:ascii="Times New Roman" w:hAnsi="Times New Roman" w:eastAsia="宋体" w:cs="Times New Roman"/>
          <w:color w:val="auto"/>
          <w:sz w:val="24"/>
          <w:szCs w:val="24"/>
        </w:rPr>
        <w:t>1.1</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rPr>
        <w:t>级仓库储存的产品为</w:t>
      </w:r>
      <w:r>
        <w:rPr>
          <w:rFonts w:hint="eastAsia"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rPr>
        <w:t>级及以下产品，属于1.1项爆炸品。</w:t>
      </w:r>
    </w:p>
    <w:p w14:paraId="5B4C03A1">
      <w:pPr>
        <w:pStyle w:val="31"/>
        <w:ind w:firstLine="422"/>
        <w:jc w:val="left"/>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2.环境风险目标调查</w:t>
      </w:r>
    </w:p>
    <w:p w14:paraId="10ADACE8">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敏感目标调查主要为项目厂界周边5km范围内居住区、医疗卫生、文化教育、科研、行政办公等机构及人群，以及地下水环境、地表水环境敏感因素。本项目环境风险敏感目标如下：</w:t>
      </w:r>
    </w:p>
    <w:p w14:paraId="7B85FA83">
      <w:pPr>
        <w:pStyle w:val="31"/>
        <w:spacing w:line="240" w:lineRule="auto"/>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表3  建设项目环境风险敏感目标一览表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145"/>
        <w:gridCol w:w="1738"/>
        <w:gridCol w:w="1671"/>
        <w:gridCol w:w="971"/>
        <w:gridCol w:w="806"/>
        <w:gridCol w:w="1147"/>
        <w:gridCol w:w="944"/>
      </w:tblGrid>
      <w:tr w14:paraId="100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0ACCA23D">
            <w:pPr>
              <w:pStyle w:val="31"/>
              <w:ind w:firstLine="0" w:firstLineChars="0"/>
              <w:jc w:val="center"/>
              <w:rPr>
                <w:rFonts w:ascii="Times New Roman" w:hAnsi="Times New Roman" w:cs="Times New Roman" w:eastAsiaTheme="minorEastAsia"/>
                <w:b/>
                <w:color w:val="auto"/>
                <w:sz w:val="21"/>
                <w:szCs w:val="21"/>
              </w:rPr>
            </w:pPr>
            <w:r>
              <w:rPr>
                <w:rFonts w:ascii="Times New Roman" w:cs="Times New Roman" w:hAnsiTheme="minorEastAsia" w:eastAsiaTheme="minorEastAsia"/>
                <w:b/>
                <w:color w:val="auto"/>
                <w:sz w:val="21"/>
                <w:szCs w:val="21"/>
              </w:rPr>
              <w:t>环境敏感特征</w:t>
            </w:r>
          </w:p>
        </w:tc>
      </w:tr>
      <w:tr w14:paraId="15CF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Merge w:val="restart"/>
            <w:vAlign w:val="center"/>
          </w:tcPr>
          <w:p w14:paraId="7B928310">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序号</w:t>
            </w:r>
          </w:p>
        </w:tc>
        <w:tc>
          <w:tcPr>
            <w:tcW w:w="2513" w:type="pct"/>
            <w:gridSpan w:val="3"/>
            <w:vAlign w:val="center"/>
          </w:tcPr>
          <w:p w14:paraId="6EF8BB0A">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敏感目标</w:t>
            </w:r>
          </w:p>
        </w:tc>
        <w:tc>
          <w:tcPr>
            <w:tcW w:w="536" w:type="pct"/>
            <w:vMerge w:val="restart"/>
            <w:vAlign w:val="center"/>
          </w:tcPr>
          <w:p w14:paraId="5EEE580D">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相对方位</w:t>
            </w:r>
          </w:p>
        </w:tc>
        <w:tc>
          <w:tcPr>
            <w:tcW w:w="445" w:type="pct"/>
            <w:vMerge w:val="restart"/>
            <w:vAlign w:val="center"/>
          </w:tcPr>
          <w:p w14:paraId="6DF55DC0">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距离</w:t>
            </w:r>
            <w:r>
              <w:rPr>
                <w:rFonts w:ascii="Times New Roman" w:hAnsi="Times New Roman" w:cs="Times New Roman" w:eastAsiaTheme="minorEastAsia"/>
                <w:color w:val="auto"/>
                <w:sz w:val="21"/>
                <w:szCs w:val="21"/>
              </w:rPr>
              <w:t>/m</w:t>
            </w:r>
          </w:p>
        </w:tc>
        <w:tc>
          <w:tcPr>
            <w:tcW w:w="630" w:type="pct"/>
            <w:vMerge w:val="restart"/>
            <w:vAlign w:val="center"/>
          </w:tcPr>
          <w:p w14:paraId="105C2134">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属性</w:t>
            </w:r>
          </w:p>
        </w:tc>
        <w:tc>
          <w:tcPr>
            <w:tcW w:w="520" w:type="pct"/>
            <w:vMerge w:val="restart"/>
            <w:vAlign w:val="center"/>
          </w:tcPr>
          <w:p w14:paraId="31DF6EFD">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人口数（人）</w:t>
            </w:r>
          </w:p>
        </w:tc>
      </w:tr>
      <w:tr w14:paraId="4CF4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Merge w:val="continue"/>
            <w:vAlign w:val="center"/>
          </w:tcPr>
          <w:p w14:paraId="58179501">
            <w:pPr>
              <w:pStyle w:val="31"/>
              <w:ind w:firstLine="0" w:firstLineChars="0"/>
              <w:jc w:val="center"/>
              <w:rPr>
                <w:rFonts w:ascii="Times New Roman" w:hAnsi="Times New Roman" w:cs="Times New Roman" w:eastAsiaTheme="minorEastAsia"/>
                <w:color w:val="auto"/>
                <w:sz w:val="21"/>
                <w:szCs w:val="21"/>
              </w:rPr>
            </w:pPr>
          </w:p>
        </w:tc>
        <w:tc>
          <w:tcPr>
            <w:tcW w:w="632" w:type="pct"/>
            <w:vMerge w:val="restart"/>
            <w:vAlign w:val="center"/>
          </w:tcPr>
          <w:p w14:paraId="0A56C67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名称</w:t>
            </w:r>
          </w:p>
        </w:tc>
        <w:tc>
          <w:tcPr>
            <w:tcW w:w="1881" w:type="pct"/>
            <w:gridSpan w:val="2"/>
            <w:vAlign w:val="center"/>
          </w:tcPr>
          <w:p w14:paraId="36BB399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坐标</w:t>
            </w:r>
            <w:r>
              <w:rPr>
                <w:rFonts w:ascii="Times New Roman" w:hAnsi="Times New Roman" w:cs="Times New Roman" w:eastAsiaTheme="minorEastAsia"/>
                <w:color w:val="auto"/>
                <w:sz w:val="21"/>
                <w:szCs w:val="21"/>
              </w:rPr>
              <w:t>/m</w:t>
            </w:r>
          </w:p>
        </w:tc>
        <w:tc>
          <w:tcPr>
            <w:tcW w:w="536" w:type="pct"/>
            <w:vMerge w:val="continue"/>
            <w:vAlign w:val="center"/>
          </w:tcPr>
          <w:p w14:paraId="7032C4F3">
            <w:pPr>
              <w:pStyle w:val="31"/>
              <w:ind w:firstLine="0" w:firstLineChars="0"/>
              <w:jc w:val="center"/>
              <w:rPr>
                <w:rFonts w:ascii="Times New Roman" w:hAnsi="Times New Roman" w:cs="Times New Roman" w:eastAsiaTheme="minorEastAsia"/>
                <w:color w:val="auto"/>
                <w:sz w:val="21"/>
                <w:szCs w:val="21"/>
              </w:rPr>
            </w:pPr>
          </w:p>
        </w:tc>
        <w:tc>
          <w:tcPr>
            <w:tcW w:w="445" w:type="pct"/>
            <w:vMerge w:val="continue"/>
            <w:vAlign w:val="center"/>
          </w:tcPr>
          <w:p w14:paraId="58747071">
            <w:pPr>
              <w:pStyle w:val="31"/>
              <w:ind w:firstLine="0" w:firstLineChars="0"/>
              <w:jc w:val="center"/>
              <w:rPr>
                <w:rFonts w:ascii="Times New Roman" w:hAnsi="Times New Roman" w:cs="Times New Roman" w:eastAsiaTheme="minorEastAsia"/>
                <w:color w:val="auto"/>
                <w:sz w:val="21"/>
                <w:szCs w:val="21"/>
              </w:rPr>
            </w:pPr>
          </w:p>
        </w:tc>
        <w:tc>
          <w:tcPr>
            <w:tcW w:w="630" w:type="pct"/>
            <w:vMerge w:val="continue"/>
            <w:vAlign w:val="center"/>
          </w:tcPr>
          <w:p w14:paraId="038DAB0F">
            <w:pPr>
              <w:pStyle w:val="31"/>
              <w:ind w:firstLine="0" w:firstLineChars="0"/>
              <w:jc w:val="center"/>
              <w:rPr>
                <w:rFonts w:ascii="Times New Roman" w:hAnsi="Times New Roman" w:cs="Times New Roman" w:eastAsiaTheme="minorEastAsia"/>
                <w:color w:val="auto"/>
                <w:sz w:val="21"/>
                <w:szCs w:val="21"/>
              </w:rPr>
            </w:pPr>
          </w:p>
        </w:tc>
        <w:tc>
          <w:tcPr>
            <w:tcW w:w="520" w:type="pct"/>
            <w:vMerge w:val="continue"/>
            <w:vAlign w:val="center"/>
          </w:tcPr>
          <w:p w14:paraId="4BE27EEF">
            <w:pPr>
              <w:pStyle w:val="31"/>
              <w:ind w:firstLine="0" w:firstLineChars="0"/>
              <w:jc w:val="center"/>
              <w:rPr>
                <w:rFonts w:ascii="Times New Roman" w:hAnsi="Times New Roman" w:cs="Times New Roman" w:eastAsiaTheme="minorEastAsia"/>
                <w:color w:val="auto"/>
                <w:sz w:val="21"/>
                <w:szCs w:val="21"/>
              </w:rPr>
            </w:pPr>
          </w:p>
        </w:tc>
      </w:tr>
      <w:tr w14:paraId="1CB5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Merge w:val="continue"/>
            <w:vAlign w:val="center"/>
          </w:tcPr>
          <w:p w14:paraId="28CBE084">
            <w:pPr>
              <w:pStyle w:val="31"/>
              <w:ind w:firstLine="0" w:firstLineChars="0"/>
              <w:jc w:val="center"/>
              <w:rPr>
                <w:rFonts w:ascii="Times New Roman" w:hAnsi="Times New Roman" w:cs="Times New Roman" w:eastAsiaTheme="minorEastAsia"/>
                <w:color w:val="auto"/>
                <w:sz w:val="21"/>
                <w:szCs w:val="21"/>
              </w:rPr>
            </w:pPr>
          </w:p>
        </w:tc>
        <w:tc>
          <w:tcPr>
            <w:tcW w:w="632" w:type="pct"/>
            <w:vMerge w:val="continue"/>
            <w:vAlign w:val="center"/>
          </w:tcPr>
          <w:p w14:paraId="05DD8E0F">
            <w:pPr>
              <w:pStyle w:val="31"/>
              <w:ind w:firstLine="0" w:firstLineChars="0"/>
              <w:jc w:val="center"/>
              <w:rPr>
                <w:rFonts w:ascii="Times New Roman" w:hAnsi="Times New Roman" w:cs="Times New Roman" w:eastAsiaTheme="minorEastAsia"/>
                <w:color w:val="auto"/>
                <w:sz w:val="21"/>
                <w:szCs w:val="21"/>
              </w:rPr>
            </w:pPr>
          </w:p>
        </w:tc>
        <w:tc>
          <w:tcPr>
            <w:tcW w:w="959" w:type="pct"/>
            <w:vAlign w:val="center"/>
          </w:tcPr>
          <w:p w14:paraId="579D1C30">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经度</w:t>
            </w:r>
          </w:p>
        </w:tc>
        <w:tc>
          <w:tcPr>
            <w:tcW w:w="922" w:type="pct"/>
            <w:vAlign w:val="center"/>
          </w:tcPr>
          <w:p w14:paraId="43100EA9">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纬度</w:t>
            </w:r>
          </w:p>
        </w:tc>
        <w:tc>
          <w:tcPr>
            <w:tcW w:w="536" w:type="pct"/>
            <w:vMerge w:val="continue"/>
            <w:vAlign w:val="center"/>
          </w:tcPr>
          <w:p w14:paraId="6D55B48A">
            <w:pPr>
              <w:pStyle w:val="31"/>
              <w:ind w:firstLine="0" w:firstLineChars="0"/>
              <w:jc w:val="center"/>
              <w:rPr>
                <w:rFonts w:ascii="Times New Roman" w:hAnsi="Times New Roman" w:cs="Times New Roman" w:eastAsiaTheme="minorEastAsia"/>
                <w:color w:val="auto"/>
                <w:sz w:val="21"/>
                <w:szCs w:val="21"/>
              </w:rPr>
            </w:pPr>
          </w:p>
        </w:tc>
        <w:tc>
          <w:tcPr>
            <w:tcW w:w="445" w:type="pct"/>
            <w:vMerge w:val="continue"/>
            <w:vAlign w:val="center"/>
          </w:tcPr>
          <w:p w14:paraId="6528B0F8">
            <w:pPr>
              <w:pStyle w:val="31"/>
              <w:ind w:firstLine="0" w:firstLineChars="0"/>
              <w:jc w:val="center"/>
              <w:rPr>
                <w:rFonts w:ascii="Times New Roman" w:hAnsi="Times New Roman" w:cs="Times New Roman" w:eastAsiaTheme="minorEastAsia"/>
                <w:color w:val="auto"/>
                <w:sz w:val="21"/>
                <w:szCs w:val="21"/>
              </w:rPr>
            </w:pPr>
          </w:p>
        </w:tc>
        <w:tc>
          <w:tcPr>
            <w:tcW w:w="630" w:type="pct"/>
            <w:vMerge w:val="continue"/>
            <w:vAlign w:val="center"/>
          </w:tcPr>
          <w:p w14:paraId="04A8BDA6">
            <w:pPr>
              <w:pStyle w:val="31"/>
              <w:ind w:firstLine="0" w:firstLineChars="0"/>
              <w:jc w:val="center"/>
              <w:rPr>
                <w:rFonts w:ascii="Times New Roman" w:hAnsi="Times New Roman" w:cs="Times New Roman" w:eastAsiaTheme="minorEastAsia"/>
                <w:color w:val="auto"/>
                <w:sz w:val="21"/>
                <w:szCs w:val="21"/>
              </w:rPr>
            </w:pPr>
          </w:p>
        </w:tc>
        <w:tc>
          <w:tcPr>
            <w:tcW w:w="520" w:type="pct"/>
            <w:vMerge w:val="continue"/>
            <w:vAlign w:val="center"/>
          </w:tcPr>
          <w:p w14:paraId="2695A2AC">
            <w:pPr>
              <w:pStyle w:val="31"/>
              <w:ind w:firstLine="0" w:firstLineChars="0"/>
              <w:jc w:val="center"/>
              <w:rPr>
                <w:rFonts w:ascii="Times New Roman" w:hAnsi="Times New Roman" w:cs="Times New Roman" w:eastAsiaTheme="minorEastAsia"/>
                <w:color w:val="auto"/>
                <w:sz w:val="21"/>
                <w:szCs w:val="21"/>
              </w:rPr>
            </w:pPr>
          </w:p>
        </w:tc>
      </w:tr>
      <w:tr w14:paraId="5FAF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0845CEE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w:t>
            </w:r>
          </w:p>
        </w:tc>
        <w:tc>
          <w:tcPr>
            <w:tcW w:w="632" w:type="pct"/>
            <w:vAlign w:val="center"/>
          </w:tcPr>
          <w:p w14:paraId="71C43887">
            <w:pPr>
              <w:pStyle w:val="31"/>
              <w:ind w:firstLine="0" w:firstLineChars="0"/>
              <w:jc w:val="center"/>
              <w:rPr>
                <w:rFonts w:hint="eastAsia" w:ascii="Times New Roman" w:hAnsi="Times New Roman" w:cs="Times New Roman" w:eastAsiaTheme="minorEastAsia"/>
                <w:color w:val="auto"/>
                <w:sz w:val="21"/>
                <w:szCs w:val="21"/>
                <w:lang w:val="en-US" w:eastAsia="zh-CN"/>
              </w:rPr>
            </w:pPr>
            <w:r>
              <w:rPr>
                <w:rFonts w:ascii="Times New Roman" w:cs="Times New Roman" w:hAnsiTheme="minorEastAsia" w:eastAsiaTheme="minorEastAsia"/>
                <w:color w:val="auto"/>
                <w:sz w:val="21"/>
                <w:szCs w:val="21"/>
              </w:rPr>
              <w:t>以其末</w:t>
            </w:r>
            <w:r>
              <w:rPr>
                <w:rFonts w:hint="eastAsia" w:ascii="Times New Roman" w:cs="Times New Roman" w:hAnsiTheme="minorEastAsia" w:eastAsiaTheme="minorEastAsia"/>
                <w:color w:val="auto"/>
                <w:sz w:val="21"/>
                <w:szCs w:val="21"/>
                <w:lang w:val="en-US" w:eastAsia="zh-CN"/>
              </w:rPr>
              <w:t>村</w:t>
            </w:r>
          </w:p>
        </w:tc>
        <w:tc>
          <w:tcPr>
            <w:tcW w:w="959" w:type="pct"/>
            <w:vAlign w:val="center"/>
          </w:tcPr>
          <w:p w14:paraId="5A44264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103.260348</w:t>
            </w:r>
            <w:r>
              <w:rPr>
                <w:rFonts w:hint="eastAsia" w:ascii="Times New Roman" w:hAnsi="Times New Roman" w:eastAsia="宋体" w:cs="Times New Roman"/>
                <w:i w:val="0"/>
                <w:iCs w:val="0"/>
                <w:color w:val="auto"/>
                <w:kern w:val="0"/>
                <w:sz w:val="21"/>
                <w:szCs w:val="21"/>
                <w:u w:val="none"/>
                <w:lang w:val="en-US" w:eastAsia="zh-CN" w:bidi="ar"/>
              </w:rPr>
              <w:t>31</w:t>
            </w:r>
          </w:p>
        </w:tc>
        <w:tc>
          <w:tcPr>
            <w:tcW w:w="922" w:type="pct"/>
            <w:vAlign w:val="center"/>
          </w:tcPr>
          <w:p w14:paraId="1B36D52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25.61235</w:t>
            </w:r>
            <w:r>
              <w:rPr>
                <w:rFonts w:hint="eastAsia" w:ascii="Times New Roman" w:hAnsi="Times New Roman" w:eastAsia="宋体" w:cs="Times New Roman"/>
                <w:i w:val="0"/>
                <w:iCs w:val="0"/>
                <w:color w:val="auto"/>
                <w:kern w:val="0"/>
                <w:sz w:val="21"/>
                <w:szCs w:val="21"/>
                <w:u w:val="none"/>
                <w:lang w:val="en-US" w:eastAsia="zh-CN" w:bidi="ar"/>
              </w:rPr>
              <w:t>212</w:t>
            </w:r>
          </w:p>
        </w:tc>
        <w:tc>
          <w:tcPr>
            <w:tcW w:w="536" w:type="pct"/>
            <w:vAlign w:val="center"/>
          </w:tcPr>
          <w:p w14:paraId="32612987">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470CE4D2">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320</w:t>
            </w:r>
          </w:p>
        </w:tc>
        <w:tc>
          <w:tcPr>
            <w:tcW w:w="630" w:type="pct"/>
            <w:vAlign w:val="center"/>
          </w:tcPr>
          <w:p w14:paraId="4237207F">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居住区</w:t>
            </w:r>
          </w:p>
        </w:tc>
        <w:tc>
          <w:tcPr>
            <w:tcW w:w="520" w:type="pct"/>
            <w:vAlign w:val="center"/>
          </w:tcPr>
          <w:p w14:paraId="162093B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165</w:t>
            </w:r>
          </w:p>
        </w:tc>
      </w:tr>
      <w:tr w14:paraId="7CF9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52" w:type="pct"/>
            <w:vAlign w:val="center"/>
          </w:tcPr>
          <w:p w14:paraId="494CCB9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w:t>
            </w:r>
          </w:p>
        </w:tc>
        <w:tc>
          <w:tcPr>
            <w:tcW w:w="632" w:type="pct"/>
            <w:vAlign w:val="center"/>
          </w:tcPr>
          <w:p w14:paraId="0E2A6D0D">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以其末零散住户</w:t>
            </w:r>
          </w:p>
        </w:tc>
        <w:tc>
          <w:tcPr>
            <w:tcW w:w="959" w:type="pct"/>
            <w:vAlign w:val="center"/>
          </w:tcPr>
          <w:p w14:paraId="46DC8EC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103.259108</w:t>
            </w:r>
            <w:r>
              <w:rPr>
                <w:rFonts w:hint="eastAsia" w:ascii="Times New Roman" w:hAnsi="Times New Roman" w:eastAsia="宋体" w:cs="Times New Roman"/>
                <w:i w:val="0"/>
                <w:iCs w:val="0"/>
                <w:color w:val="auto"/>
                <w:kern w:val="0"/>
                <w:sz w:val="21"/>
                <w:szCs w:val="21"/>
                <w:u w:val="none"/>
                <w:lang w:val="en-US" w:eastAsia="zh-CN" w:bidi="ar"/>
              </w:rPr>
              <w:t>13</w:t>
            </w:r>
          </w:p>
        </w:tc>
        <w:tc>
          <w:tcPr>
            <w:tcW w:w="922" w:type="pct"/>
            <w:vAlign w:val="center"/>
          </w:tcPr>
          <w:p w14:paraId="57801A9E">
            <w:pPr>
              <w:keepNext w:val="0"/>
              <w:keepLines w:val="0"/>
              <w:widowControl/>
              <w:suppressLineNumbers w:val="0"/>
              <w:jc w:val="center"/>
              <w:textAlignment w:val="center"/>
              <w:rPr>
                <w:rFonts w:hint="default" w:eastAsiaTheme="minorEastAsia"/>
                <w:color w:val="auto"/>
                <w:szCs w:val="21"/>
                <w:lang w:val="en-US"/>
              </w:rPr>
            </w:pPr>
            <w:r>
              <w:rPr>
                <w:rFonts w:hint="default" w:ascii="Times New Roman" w:hAnsi="Times New Roman" w:eastAsia="宋体" w:cs="Times New Roman"/>
                <w:i w:val="0"/>
                <w:iCs w:val="0"/>
                <w:color w:val="auto"/>
                <w:kern w:val="0"/>
                <w:sz w:val="21"/>
                <w:szCs w:val="21"/>
                <w:u w:val="none"/>
                <w:lang w:val="en-US" w:eastAsia="zh-CN" w:bidi="ar"/>
              </w:rPr>
              <w:t>25.610837</w:t>
            </w:r>
            <w:r>
              <w:rPr>
                <w:rFonts w:hint="eastAsia" w:ascii="Times New Roman" w:hAnsi="Times New Roman" w:eastAsia="宋体" w:cs="Times New Roman"/>
                <w:i w:val="0"/>
                <w:iCs w:val="0"/>
                <w:color w:val="auto"/>
                <w:kern w:val="0"/>
                <w:sz w:val="21"/>
                <w:szCs w:val="21"/>
                <w:u w:val="none"/>
                <w:lang w:val="en-US" w:eastAsia="zh-CN" w:bidi="ar"/>
              </w:rPr>
              <w:t>42</w:t>
            </w:r>
          </w:p>
        </w:tc>
        <w:tc>
          <w:tcPr>
            <w:tcW w:w="536" w:type="pct"/>
            <w:vAlign w:val="center"/>
          </w:tcPr>
          <w:p w14:paraId="45A3E64D">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地块三</w:t>
            </w:r>
            <w:r>
              <w:rPr>
                <w:rFonts w:ascii="Times New Roman" w:cs="Times New Roman" w:hAnsiTheme="minorEastAsia" w:eastAsiaTheme="minorEastAsia"/>
                <w:color w:val="auto"/>
                <w:sz w:val="21"/>
                <w:szCs w:val="21"/>
              </w:rPr>
              <w:t>东南</w:t>
            </w:r>
          </w:p>
        </w:tc>
        <w:tc>
          <w:tcPr>
            <w:tcW w:w="445" w:type="pct"/>
            <w:vAlign w:val="center"/>
          </w:tcPr>
          <w:p w14:paraId="5DBD07FD">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350</w:t>
            </w:r>
          </w:p>
        </w:tc>
        <w:tc>
          <w:tcPr>
            <w:tcW w:w="630" w:type="pct"/>
            <w:vAlign w:val="center"/>
          </w:tcPr>
          <w:p w14:paraId="644829CD">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43C28C40">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35</w:t>
            </w:r>
          </w:p>
        </w:tc>
      </w:tr>
      <w:tr w14:paraId="5C1C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52" w:type="pct"/>
            <w:vAlign w:val="center"/>
          </w:tcPr>
          <w:p w14:paraId="3775DBD2">
            <w:pPr>
              <w:pStyle w:val="31"/>
              <w:ind w:firstLine="0" w:firstLineChars="0"/>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3</w:t>
            </w:r>
          </w:p>
        </w:tc>
        <w:tc>
          <w:tcPr>
            <w:tcW w:w="632" w:type="pct"/>
            <w:vAlign w:val="center"/>
          </w:tcPr>
          <w:p w14:paraId="4951CEDA">
            <w:pPr>
              <w:pStyle w:val="31"/>
              <w:ind w:firstLine="0" w:firstLineChars="0"/>
              <w:jc w:val="center"/>
              <w:rPr>
                <w:rFonts w:ascii="Times New Roman" w:cs="Times New Roman" w:hAnsiTheme="minorEastAsia" w:eastAsiaTheme="minorEastAsia"/>
                <w:color w:val="auto"/>
                <w:sz w:val="21"/>
                <w:szCs w:val="21"/>
              </w:rPr>
            </w:pPr>
            <w:r>
              <w:rPr>
                <w:rFonts w:ascii="Times New Roman" w:cs="Times New Roman" w:hAnsiTheme="minorEastAsia" w:eastAsiaTheme="minorEastAsia"/>
                <w:color w:val="auto"/>
                <w:sz w:val="21"/>
                <w:szCs w:val="21"/>
              </w:rPr>
              <w:t>以其末零散住户</w:t>
            </w:r>
          </w:p>
        </w:tc>
        <w:tc>
          <w:tcPr>
            <w:tcW w:w="959" w:type="pct"/>
            <w:vAlign w:val="center"/>
          </w:tcPr>
          <w:p w14:paraId="5352BE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103.259</w:t>
            </w:r>
            <w:r>
              <w:rPr>
                <w:rFonts w:hint="eastAsia" w:ascii="Times New Roman" w:hAnsi="Times New Roman" w:eastAsia="宋体" w:cs="Times New Roman"/>
                <w:i w:val="0"/>
                <w:iCs w:val="0"/>
                <w:color w:val="auto"/>
                <w:kern w:val="0"/>
                <w:sz w:val="21"/>
                <w:szCs w:val="21"/>
                <w:u w:val="none"/>
                <w:lang w:val="en-US" w:eastAsia="zh-CN" w:bidi="ar"/>
              </w:rPr>
              <w:t>25734</w:t>
            </w:r>
          </w:p>
        </w:tc>
        <w:tc>
          <w:tcPr>
            <w:tcW w:w="922" w:type="pct"/>
            <w:vAlign w:val="center"/>
          </w:tcPr>
          <w:p w14:paraId="6614C1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25.61</w:t>
            </w:r>
            <w:r>
              <w:rPr>
                <w:rFonts w:hint="eastAsia" w:ascii="Times New Roman" w:hAnsi="Times New Roman" w:eastAsia="宋体" w:cs="Times New Roman"/>
                <w:i w:val="0"/>
                <w:iCs w:val="0"/>
                <w:color w:val="auto"/>
                <w:kern w:val="0"/>
                <w:sz w:val="21"/>
                <w:szCs w:val="21"/>
                <w:u w:val="none"/>
                <w:lang w:val="en-US" w:eastAsia="zh-CN" w:bidi="ar"/>
              </w:rPr>
              <w:t>1</w:t>
            </w:r>
            <w:r>
              <w:rPr>
                <w:rFonts w:hint="default" w:ascii="Times New Roman" w:hAnsi="Times New Roman" w:eastAsia="宋体" w:cs="Times New Roman"/>
                <w:i w:val="0"/>
                <w:iCs w:val="0"/>
                <w:color w:val="auto"/>
                <w:kern w:val="0"/>
                <w:sz w:val="21"/>
                <w:szCs w:val="21"/>
                <w:u w:val="none"/>
                <w:lang w:val="en-US" w:eastAsia="zh-CN" w:bidi="ar"/>
              </w:rPr>
              <w:t>83</w:t>
            </w:r>
            <w:r>
              <w:rPr>
                <w:rFonts w:hint="eastAsia" w:ascii="Times New Roman" w:hAnsi="Times New Roman" w:eastAsia="宋体" w:cs="Times New Roman"/>
                <w:i w:val="0"/>
                <w:iCs w:val="0"/>
                <w:color w:val="auto"/>
                <w:kern w:val="0"/>
                <w:sz w:val="21"/>
                <w:szCs w:val="21"/>
                <w:u w:val="none"/>
                <w:lang w:val="en-US" w:eastAsia="zh-CN" w:bidi="ar"/>
              </w:rPr>
              <w:t>642</w:t>
            </w:r>
          </w:p>
        </w:tc>
        <w:tc>
          <w:tcPr>
            <w:tcW w:w="536" w:type="pct"/>
            <w:vAlign w:val="center"/>
          </w:tcPr>
          <w:p w14:paraId="17867E44">
            <w:pPr>
              <w:pStyle w:val="31"/>
              <w:ind w:firstLine="0" w:firstLineChars="0"/>
              <w:jc w:val="center"/>
              <w:rPr>
                <w:rFonts w:ascii="Times New Roman" w:cs="Times New Roman" w:hAnsiTheme="minorEastAsia"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w:t>
            </w:r>
          </w:p>
        </w:tc>
        <w:tc>
          <w:tcPr>
            <w:tcW w:w="445" w:type="pct"/>
            <w:vAlign w:val="center"/>
          </w:tcPr>
          <w:p w14:paraId="45E6EF13">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160</w:t>
            </w:r>
          </w:p>
        </w:tc>
        <w:tc>
          <w:tcPr>
            <w:tcW w:w="630" w:type="pct"/>
            <w:vAlign w:val="center"/>
          </w:tcPr>
          <w:p w14:paraId="55D8EF4C">
            <w:pPr>
              <w:spacing w:line="360" w:lineRule="auto"/>
              <w:jc w:val="center"/>
              <w:rPr>
                <w:rFonts w:hAnsiTheme="minorEastAsia" w:eastAsiaTheme="minorEastAsia"/>
                <w:color w:val="auto"/>
                <w:szCs w:val="21"/>
              </w:rPr>
            </w:pPr>
            <w:r>
              <w:rPr>
                <w:rFonts w:hAnsiTheme="minorEastAsia" w:eastAsiaTheme="minorEastAsia"/>
                <w:color w:val="auto"/>
                <w:szCs w:val="21"/>
              </w:rPr>
              <w:t>居住区</w:t>
            </w:r>
          </w:p>
        </w:tc>
        <w:tc>
          <w:tcPr>
            <w:tcW w:w="520" w:type="pct"/>
            <w:vAlign w:val="center"/>
          </w:tcPr>
          <w:p w14:paraId="587AA8E3">
            <w:pPr>
              <w:pStyle w:val="31"/>
              <w:ind w:firstLine="0" w:firstLineChars="0"/>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5</w:t>
            </w:r>
          </w:p>
        </w:tc>
      </w:tr>
      <w:tr w14:paraId="0D1C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52" w:type="pct"/>
            <w:vAlign w:val="center"/>
          </w:tcPr>
          <w:p w14:paraId="1AD5BF0B">
            <w:pPr>
              <w:pStyle w:val="31"/>
              <w:ind w:firstLine="0" w:firstLineChars="0"/>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4</w:t>
            </w:r>
          </w:p>
        </w:tc>
        <w:tc>
          <w:tcPr>
            <w:tcW w:w="632" w:type="pct"/>
            <w:vAlign w:val="center"/>
          </w:tcPr>
          <w:p w14:paraId="0DAEDBAA">
            <w:pPr>
              <w:pStyle w:val="31"/>
              <w:ind w:firstLine="0" w:firstLineChars="0"/>
              <w:jc w:val="center"/>
              <w:rPr>
                <w:rFonts w:ascii="Times New Roman" w:cs="Times New Roman" w:hAnsiTheme="minorEastAsia" w:eastAsiaTheme="minorEastAsia"/>
                <w:color w:val="auto"/>
                <w:sz w:val="21"/>
                <w:szCs w:val="21"/>
              </w:rPr>
            </w:pPr>
            <w:r>
              <w:rPr>
                <w:rFonts w:ascii="Times New Roman" w:cs="Times New Roman" w:hAnsiTheme="minorEastAsia" w:eastAsiaTheme="minorEastAsia"/>
                <w:color w:val="auto"/>
                <w:sz w:val="21"/>
                <w:szCs w:val="21"/>
              </w:rPr>
              <w:t>以其末零散住户</w:t>
            </w:r>
          </w:p>
        </w:tc>
        <w:tc>
          <w:tcPr>
            <w:tcW w:w="959" w:type="pct"/>
            <w:vAlign w:val="center"/>
          </w:tcPr>
          <w:p w14:paraId="52428D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103.259</w:t>
            </w:r>
            <w:r>
              <w:rPr>
                <w:rFonts w:hint="eastAsia" w:ascii="Times New Roman" w:hAnsi="Times New Roman" w:eastAsia="宋体" w:cs="Times New Roman"/>
                <w:i w:val="0"/>
                <w:iCs w:val="0"/>
                <w:color w:val="auto"/>
                <w:kern w:val="0"/>
                <w:sz w:val="21"/>
                <w:szCs w:val="21"/>
                <w:u w:val="none"/>
                <w:lang w:val="en-US" w:eastAsia="zh-CN" w:bidi="ar"/>
              </w:rPr>
              <w:t>75213</w:t>
            </w:r>
          </w:p>
        </w:tc>
        <w:tc>
          <w:tcPr>
            <w:tcW w:w="922" w:type="pct"/>
            <w:vAlign w:val="center"/>
          </w:tcPr>
          <w:p w14:paraId="77553C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25.610</w:t>
            </w:r>
            <w:r>
              <w:rPr>
                <w:rFonts w:hint="eastAsia" w:ascii="Times New Roman" w:hAnsi="Times New Roman" w:eastAsia="宋体" w:cs="Times New Roman"/>
                <w:i w:val="0"/>
                <w:iCs w:val="0"/>
                <w:color w:val="auto"/>
                <w:kern w:val="0"/>
                <w:sz w:val="21"/>
                <w:szCs w:val="21"/>
                <w:u w:val="none"/>
                <w:lang w:val="en-US" w:eastAsia="zh-CN" w:bidi="ar"/>
              </w:rPr>
              <w:t>270123</w:t>
            </w:r>
          </w:p>
        </w:tc>
        <w:tc>
          <w:tcPr>
            <w:tcW w:w="536" w:type="pct"/>
            <w:vAlign w:val="center"/>
          </w:tcPr>
          <w:p w14:paraId="1141A711">
            <w:pPr>
              <w:pStyle w:val="31"/>
              <w:ind w:firstLine="0" w:firstLineChars="0"/>
              <w:jc w:val="center"/>
              <w:rPr>
                <w:rFonts w:ascii="Times New Roman" w:cs="Times New Roman" w:hAnsiTheme="minorEastAsia"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东</w:t>
            </w:r>
          </w:p>
        </w:tc>
        <w:tc>
          <w:tcPr>
            <w:tcW w:w="445" w:type="pct"/>
            <w:vAlign w:val="center"/>
          </w:tcPr>
          <w:p w14:paraId="366DC87F">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495</w:t>
            </w:r>
          </w:p>
        </w:tc>
        <w:tc>
          <w:tcPr>
            <w:tcW w:w="630" w:type="pct"/>
            <w:vAlign w:val="center"/>
          </w:tcPr>
          <w:p w14:paraId="7895325C">
            <w:pPr>
              <w:spacing w:line="360" w:lineRule="auto"/>
              <w:jc w:val="center"/>
              <w:rPr>
                <w:rFonts w:hAnsiTheme="minorEastAsia" w:eastAsiaTheme="minorEastAsia"/>
                <w:color w:val="auto"/>
                <w:szCs w:val="21"/>
              </w:rPr>
            </w:pPr>
            <w:r>
              <w:rPr>
                <w:rFonts w:hAnsiTheme="minorEastAsia" w:eastAsiaTheme="minorEastAsia"/>
                <w:color w:val="auto"/>
                <w:szCs w:val="21"/>
              </w:rPr>
              <w:t>居住区</w:t>
            </w:r>
          </w:p>
        </w:tc>
        <w:tc>
          <w:tcPr>
            <w:tcW w:w="520" w:type="pct"/>
            <w:vAlign w:val="center"/>
          </w:tcPr>
          <w:p w14:paraId="2EF9178C">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18</w:t>
            </w:r>
          </w:p>
        </w:tc>
      </w:tr>
      <w:tr w14:paraId="4370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352" w:type="pct"/>
            <w:vAlign w:val="center"/>
          </w:tcPr>
          <w:p w14:paraId="673764FA">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w:t>
            </w:r>
          </w:p>
        </w:tc>
        <w:tc>
          <w:tcPr>
            <w:tcW w:w="632" w:type="pct"/>
            <w:vAlign w:val="center"/>
          </w:tcPr>
          <w:p w14:paraId="029AA2BC">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上清水沟</w:t>
            </w:r>
          </w:p>
        </w:tc>
        <w:tc>
          <w:tcPr>
            <w:tcW w:w="959" w:type="pct"/>
            <w:vAlign w:val="center"/>
          </w:tcPr>
          <w:p w14:paraId="5A2EAEC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103.251849580</w:t>
            </w:r>
          </w:p>
        </w:tc>
        <w:tc>
          <w:tcPr>
            <w:tcW w:w="922" w:type="pct"/>
            <w:vAlign w:val="center"/>
          </w:tcPr>
          <w:p w14:paraId="42C9FCD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25.623416888</w:t>
            </w:r>
          </w:p>
        </w:tc>
        <w:tc>
          <w:tcPr>
            <w:tcW w:w="536" w:type="pct"/>
            <w:vAlign w:val="center"/>
          </w:tcPr>
          <w:p w14:paraId="620D9A8E">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西北</w:t>
            </w:r>
          </w:p>
        </w:tc>
        <w:tc>
          <w:tcPr>
            <w:tcW w:w="445" w:type="pct"/>
            <w:vAlign w:val="center"/>
          </w:tcPr>
          <w:p w14:paraId="1AA81C1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1096</w:t>
            </w:r>
          </w:p>
        </w:tc>
        <w:tc>
          <w:tcPr>
            <w:tcW w:w="630" w:type="pct"/>
            <w:vAlign w:val="center"/>
          </w:tcPr>
          <w:p w14:paraId="675EBF72">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605EF471">
            <w:pPr>
              <w:pStyle w:val="31"/>
              <w:ind w:firstLine="0" w:firstLineChars="0"/>
              <w:jc w:val="center"/>
              <w:rPr>
                <w:rFonts w:hint="default" w:ascii="Times New Roman" w:hAnsi="Times New Roman" w:cs="Times New Roman" w:eastAsiaTheme="minorEastAsia"/>
                <w:color w:val="auto"/>
                <w:sz w:val="21"/>
                <w:szCs w:val="21"/>
                <w:lang w:val="en-US" w:eastAsia="zh-CN"/>
              </w:rPr>
            </w:pPr>
            <w:r>
              <w:rPr>
                <w:rFonts w:ascii="Times New Roman" w:hAnsi="Times New Roman" w:cs="Times New Roman" w:eastAsiaTheme="minorEastAsia"/>
                <w:color w:val="auto"/>
                <w:sz w:val="21"/>
                <w:szCs w:val="21"/>
              </w:rPr>
              <w:t>2</w:t>
            </w:r>
            <w:r>
              <w:rPr>
                <w:rFonts w:hint="eastAsia" w:ascii="Times New Roman" w:hAnsi="Times New Roman" w:cs="Times New Roman" w:eastAsiaTheme="minorEastAsia"/>
                <w:color w:val="auto"/>
                <w:sz w:val="21"/>
                <w:szCs w:val="21"/>
                <w:lang w:val="en-US" w:eastAsia="zh-CN"/>
              </w:rPr>
              <w:t>27</w:t>
            </w:r>
          </w:p>
        </w:tc>
      </w:tr>
      <w:tr w14:paraId="47B0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52" w:type="pct"/>
            <w:vAlign w:val="center"/>
          </w:tcPr>
          <w:p w14:paraId="06BFB03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w:t>
            </w:r>
          </w:p>
        </w:tc>
        <w:tc>
          <w:tcPr>
            <w:tcW w:w="632" w:type="pct"/>
            <w:vAlign w:val="center"/>
          </w:tcPr>
          <w:p w14:paraId="052F4DCB">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小龙潭</w:t>
            </w:r>
          </w:p>
        </w:tc>
        <w:tc>
          <w:tcPr>
            <w:tcW w:w="959" w:type="pct"/>
            <w:vAlign w:val="center"/>
          </w:tcPr>
          <w:p w14:paraId="6BB6A2C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103.256237673</w:t>
            </w:r>
          </w:p>
        </w:tc>
        <w:tc>
          <w:tcPr>
            <w:tcW w:w="922" w:type="pct"/>
            <w:vAlign w:val="center"/>
          </w:tcPr>
          <w:p w14:paraId="4C7532C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25.596916663</w:t>
            </w:r>
          </w:p>
        </w:tc>
        <w:tc>
          <w:tcPr>
            <w:tcW w:w="536" w:type="pct"/>
            <w:vAlign w:val="center"/>
          </w:tcPr>
          <w:p w14:paraId="2372E3CE">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南</w:t>
            </w:r>
          </w:p>
        </w:tc>
        <w:tc>
          <w:tcPr>
            <w:tcW w:w="445" w:type="pct"/>
            <w:vAlign w:val="center"/>
          </w:tcPr>
          <w:p w14:paraId="1F6B4D6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1379</w:t>
            </w:r>
          </w:p>
        </w:tc>
        <w:tc>
          <w:tcPr>
            <w:tcW w:w="630" w:type="pct"/>
            <w:vAlign w:val="center"/>
          </w:tcPr>
          <w:p w14:paraId="0E9D1454">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4C25FD3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100</w:t>
            </w:r>
          </w:p>
        </w:tc>
      </w:tr>
      <w:tr w14:paraId="648C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61C6CB9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w:t>
            </w:r>
          </w:p>
        </w:tc>
        <w:tc>
          <w:tcPr>
            <w:tcW w:w="632" w:type="pct"/>
            <w:vAlign w:val="center"/>
          </w:tcPr>
          <w:p w14:paraId="290AA11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清水沟新村</w:t>
            </w:r>
          </w:p>
        </w:tc>
        <w:tc>
          <w:tcPr>
            <w:tcW w:w="959" w:type="pct"/>
            <w:vAlign w:val="center"/>
          </w:tcPr>
          <w:p w14:paraId="0AD06A4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103.241324591</w:t>
            </w:r>
          </w:p>
        </w:tc>
        <w:tc>
          <w:tcPr>
            <w:tcW w:w="922" w:type="pct"/>
            <w:vAlign w:val="center"/>
          </w:tcPr>
          <w:p w14:paraId="16213F1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25.610789048</w:t>
            </w:r>
          </w:p>
        </w:tc>
        <w:tc>
          <w:tcPr>
            <w:tcW w:w="536" w:type="pct"/>
            <w:vAlign w:val="center"/>
          </w:tcPr>
          <w:p w14:paraId="659127B1">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西南</w:t>
            </w:r>
          </w:p>
        </w:tc>
        <w:tc>
          <w:tcPr>
            <w:tcW w:w="445" w:type="pct"/>
            <w:vAlign w:val="center"/>
          </w:tcPr>
          <w:p w14:paraId="5AB463B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1436</w:t>
            </w:r>
          </w:p>
        </w:tc>
        <w:tc>
          <w:tcPr>
            <w:tcW w:w="630" w:type="pct"/>
            <w:vAlign w:val="center"/>
          </w:tcPr>
          <w:p w14:paraId="73806652">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40500297">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100</w:t>
            </w:r>
          </w:p>
        </w:tc>
      </w:tr>
      <w:tr w14:paraId="2B16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41D3E50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w:t>
            </w:r>
          </w:p>
        </w:tc>
        <w:tc>
          <w:tcPr>
            <w:tcW w:w="632" w:type="pct"/>
            <w:vAlign w:val="center"/>
          </w:tcPr>
          <w:p w14:paraId="7449DF7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凤龙山艺术陵园</w:t>
            </w:r>
          </w:p>
        </w:tc>
        <w:tc>
          <w:tcPr>
            <w:tcW w:w="959" w:type="pct"/>
            <w:vAlign w:val="center"/>
          </w:tcPr>
          <w:p w14:paraId="3B21103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103.272942471</w:t>
            </w:r>
          </w:p>
        </w:tc>
        <w:tc>
          <w:tcPr>
            <w:tcW w:w="922" w:type="pct"/>
            <w:vAlign w:val="center"/>
          </w:tcPr>
          <w:p w14:paraId="302A7E1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25.614549505</w:t>
            </w:r>
          </w:p>
        </w:tc>
        <w:tc>
          <w:tcPr>
            <w:tcW w:w="536" w:type="pct"/>
            <w:vAlign w:val="center"/>
          </w:tcPr>
          <w:p w14:paraId="7E6B9C25">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705E4F99">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1583</w:t>
            </w:r>
          </w:p>
        </w:tc>
        <w:tc>
          <w:tcPr>
            <w:tcW w:w="630" w:type="pct"/>
            <w:vAlign w:val="center"/>
          </w:tcPr>
          <w:p w14:paraId="6B830724">
            <w:pPr>
              <w:spacing w:line="360" w:lineRule="auto"/>
              <w:jc w:val="center"/>
              <w:rPr>
                <w:rFonts w:eastAsiaTheme="minorEastAsia"/>
                <w:color w:val="auto"/>
              </w:rPr>
            </w:pPr>
            <w:r>
              <w:rPr>
                <w:rFonts w:hAnsiTheme="minorEastAsia" w:eastAsiaTheme="minorEastAsia"/>
                <w:color w:val="auto"/>
                <w:szCs w:val="21"/>
              </w:rPr>
              <w:t>陵园</w:t>
            </w:r>
          </w:p>
        </w:tc>
        <w:tc>
          <w:tcPr>
            <w:tcW w:w="520" w:type="pct"/>
            <w:vAlign w:val="center"/>
          </w:tcPr>
          <w:p w14:paraId="4641527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w:t>
            </w:r>
          </w:p>
        </w:tc>
      </w:tr>
      <w:tr w14:paraId="6C2B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59DA02B2">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w:t>
            </w:r>
          </w:p>
        </w:tc>
        <w:tc>
          <w:tcPr>
            <w:tcW w:w="632" w:type="pct"/>
            <w:vAlign w:val="center"/>
          </w:tcPr>
          <w:p w14:paraId="2D639D0E">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下清水沟</w:t>
            </w:r>
          </w:p>
        </w:tc>
        <w:tc>
          <w:tcPr>
            <w:tcW w:w="959" w:type="pct"/>
            <w:vAlign w:val="center"/>
          </w:tcPr>
          <w:p w14:paraId="627BB6A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103.247273731</w:t>
            </w:r>
          </w:p>
        </w:tc>
        <w:tc>
          <w:tcPr>
            <w:tcW w:w="922" w:type="pct"/>
            <w:vAlign w:val="center"/>
          </w:tcPr>
          <w:p w14:paraId="59609F3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25.624135720</w:t>
            </w:r>
          </w:p>
        </w:tc>
        <w:tc>
          <w:tcPr>
            <w:tcW w:w="536" w:type="pct"/>
            <w:vAlign w:val="center"/>
          </w:tcPr>
          <w:p w14:paraId="1ED083EC">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西北</w:t>
            </w:r>
          </w:p>
        </w:tc>
        <w:tc>
          <w:tcPr>
            <w:tcW w:w="445" w:type="pct"/>
            <w:vAlign w:val="center"/>
          </w:tcPr>
          <w:p w14:paraId="0F7EE06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1713</w:t>
            </w:r>
          </w:p>
        </w:tc>
        <w:tc>
          <w:tcPr>
            <w:tcW w:w="630" w:type="pct"/>
            <w:vAlign w:val="center"/>
          </w:tcPr>
          <w:p w14:paraId="71EA76BE">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6F4F84EC">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130</w:t>
            </w:r>
          </w:p>
        </w:tc>
      </w:tr>
      <w:tr w14:paraId="0C2C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52" w:type="pct"/>
            <w:vAlign w:val="center"/>
          </w:tcPr>
          <w:p w14:paraId="5041D8D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w:t>
            </w:r>
          </w:p>
        </w:tc>
        <w:tc>
          <w:tcPr>
            <w:tcW w:w="632" w:type="pct"/>
            <w:vAlign w:val="center"/>
          </w:tcPr>
          <w:p w14:paraId="364AA1CC">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新龙村</w:t>
            </w:r>
          </w:p>
        </w:tc>
        <w:tc>
          <w:tcPr>
            <w:tcW w:w="959" w:type="pct"/>
            <w:vAlign w:val="center"/>
          </w:tcPr>
          <w:p w14:paraId="3398DF2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103.267851639</w:t>
            </w:r>
          </w:p>
        </w:tc>
        <w:tc>
          <w:tcPr>
            <w:tcW w:w="922" w:type="pct"/>
            <w:vAlign w:val="center"/>
          </w:tcPr>
          <w:p w14:paraId="2A4ED4D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25.626238572</w:t>
            </w:r>
          </w:p>
        </w:tc>
        <w:tc>
          <w:tcPr>
            <w:tcW w:w="536" w:type="pct"/>
            <w:vAlign w:val="center"/>
          </w:tcPr>
          <w:p w14:paraId="3E67905B">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3910BE1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1865</w:t>
            </w:r>
          </w:p>
        </w:tc>
        <w:tc>
          <w:tcPr>
            <w:tcW w:w="630" w:type="pct"/>
            <w:vAlign w:val="center"/>
          </w:tcPr>
          <w:p w14:paraId="271CAEEE">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43A5222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400</w:t>
            </w:r>
          </w:p>
        </w:tc>
      </w:tr>
      <w:tr w14:paraId="67F7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52" w:type="pct"/>
            <w:vAlign w:val="center"/>
          </w:tcPr>
          <w:p w14:paraId="5FCE208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9</w:t>
            </w:r>
          </w:p>
        </w:tc>
        <w:tc>
          <w:tcPr>
            <w:tcW w:w="632" w:type="pct"/>
            <w:vAlign w:val="center"/>
          </w:tcPr>
          <w:p w14:paraId="44DC3AB5">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白龙潭</w:t>
            </w:r>
          </w:p>
        </w:tc>
        <w:tc>
          <w:tcPr>
            <w:tcW w:w="959" w:type="pct"/>
            <w:vAlign w:val="center"/>
          </w:tcPr>
          <w:p w14:paraId="3099DD7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103.257433939</w:t>
            </w:r>
          </w:p>
        </w:tc>
        <w:tc>
          <w:tcPr>
            <w:tcW w:w="922" w:type="pct"/>
            <w:vAlign w:val="center"/>
          </w:tcPr>
          <w:p w14:paraId="4FE3DA6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25.590769040</w:t>
            </w:r>
          </w:p>
        </w:tc>
        <w:tc>
          <w:tcPr>
            <w:tcW w:w="536" w:type="pct"/>
            <w:vAlign w:val="center"/>
          </w:tcPr>
          <w:p w14:paraId="476CDC70">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南</w:t>
            </w:r>
          </w:p>
        </w:tc>
        <w:tc>
          <w:tcPr>
            <w:tcW w:w="445" w:type="pct"/>
            <w:vAlign w:val="center"/>
          </w:tcPr>
          <w:p w14:paraId="22436519">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2149</w:t>
            </w:r>
          </w:p>
        </w:tc>
        <w:tc>
          <w:tcPr>
            <w:tcW w:w="630" w:type="pct"/>
            <w:vAlign w:val="center"/>
          </w:tcPr>
          <w:p w14:paraId="016FBC11">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17C4879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160</w:t>
            </w:r>
          </w:p>
        </w:tc>
      </w:tr>
      <w:tr w14:paraId="7473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3D3DFE0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w:t>
            </w:r>
          </w:p>
        </w:tc>
        <w:tc>
          <w:tcPr>
            <w:tcW w:w="632" w:type="pct"/>
            <w:vAlign w:val="center"/>
          </w:tcPr>
          <w:p w14:paraId="18D59D49">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草海子</w:t>
            </w:r>
          </w:p>
        </w:tc>
        <w:tc>
          <w:tcPr>
            <w:tcW w:w="959" w:type="pct"/>
            <w:vAlign w:val="center"/>
          </w:tcPr>
          <w:p w14:paraId="4636197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103.265265989</w:t>
            </w:r>
          </w:p>
        </w:tc>
        <w:tc>
          <w:tcPr>
            <w:tcW w:w="922" w:type="pct"/>
            <w:vAlign w:val="center"/>
          </w:tcPr>
          <w:p w14:paraId="7EEC784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25.631624448</w:t>
            </w:r>
          </w:p>
        </w:tc>
        <w:tc>
          <w:tcPr>
            <w:tcW w:w="536" w:type="pct"/>
            <w:vAlign w:val="center"/>
          </w:tcPr>
          <w:p w14:paraId="2769CA25">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7499761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2495</w:t>
            </w:r>
          </w:p>
        </w:tc>
        <w:tc>
          <w:tcPr>
            <w:tcW w:w="630" w:type="pct"/>
            <w:vAlign w:val="center"/>
          </w:tcPr>
          <w:p w14:paraId="431F5F26">
            <w:pPr>
              <w:spacing w:line="360" w:lineRule="auto"/>
              <w:jc w:val="center"/>
              <w:rPr>
                <w:rFonts w:eastAsiaTheme="minorEastAsia"/>
                <w:color w:val="auto"/>
              </w:rPr>
            </w:pPr>
            <w:r>
              <w:rPr>
                <w:rFonts w:hAnsiTheme="minorEastAsia" w:eastAsiaTheme="minorEastAsia"/>
                <w:color w:val="auto"/>
                <w:szCs w:val="21"/>
              </w:rPr>
              <w:t>居住区</w:t>
            </w:r>
          </w:p>
        </w:tc>
        <w:tc>
          <w:tcPr>
            <w:tcW w:w="520" w:type="pct"/>
            <w:vAlign w:val="center"/>
          </w:tcPr>
          <w:p w14:paraId="113CF960">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600</w:t>
            </w:r>
          </w:p>
        </w:tc>
      </w:tr>
      <w:tr w14:paraId="4F7B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79C8EBFC">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11</w:t>
            </w:r>
          </w:p>
        </w:tc>
        <w:tc>
          <w:tcPr>
            <w:tcW w:w="632" w:type="pct"/>
            <w:vAlign w:val="center"/>
          </w:tcPr>
          <w:p w14:paraId="358370AE">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天生</w:t>
            </w:r>
          </w:p>
        </w:tc>
        <w:tc>
          <w:tcPr>
            <w:tcW w:w="959" w:type="pct"/>
            <w:vAlign w:val="center"/>
          </w:tcPr>
          <w:p w14:paraId="1FE0A6A1">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103.23401928</w:t>
            </w:r>
          </w:p>
        </w:tc>
        <w:tc>
          <w:tcPr>
            <w:tcW w:w="922" w:type="pct"/>
            <w:vAlign w:val="center"/>
          </w:tcPr>
          <w:p w14:paraId="4D91DFE5">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25.63035250</w:t>
            </w:r>
          </w:p>
        </w:tc>
        <w:tc>
          <w:tcPr>
            <w:tcW w:w="536" w:type="pct"/>
            <w:vAlign w:val="center"/>
          </w:tcPr>
          <w:p w14:paraId="5B232F96">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6CEA7A9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2779</w:t>
            </w:r>
          </w:p>
        </w:tc>
        <w:tc>
          <w:tcPr>
            <w:tcW w:w="630" w:type="pct"/>
            <w:vAlign w:val="center"/>
          </w:tcPr>
          <w:p w14:paraId="21BBEE1B">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6CF7F84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500</w:t>
            </w:r>
          </w:p>
        </w:tc>
      </w:tr>
      <w:tr w14:paraId="4AE4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51AA5AC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12</w:t>
            </w:r>
          </w:p>
        </w:tc>
        <w:tc>
          <w:tcPr>
            <w:tcW w:w="632" w:type="pct"/>
            <w:vAlign w:val="center"/>
          </w:tcPr>
          <w:p w14:paraId="73B30E90">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新庄</w:t>
            </w:r>
          </w:p>
        </w:tc>
        <w:tc>
          <w:tcPr>
            <w:tcW w:w="959" w:type="pct"/>
            <w:vAlign w:val="center"/>
          </w:tcPr>
          <w:p w14:paraId="0AEC5A9C">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103.26242924</w:t>
            </w:r>
          </w:p>
        </w:tc>
        <w:tc>
          <w:tcPr>
            <w:tcW w:w="922" w:type="pct"/>
            <w:vAlign w:val="center"/>
          </w:tcPr>
          <w:p w14:paraId="62D6115C">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25.57951927</w:t>
            </w:r>
          </w:p>
        </w:tc>
        <w:tc>
          <w:tcPr>
            <w:tcW w:w="536" w:type="pct"/>
            <w:vAlign w:val="center"/>
          </w:tcPr>
          <w:p w14:paraId="4532A501">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东南</w:t>
            </w:r>
          </w:p>
        </w:tc>
        <w:tc>
          <w:tcPr>
            <w:tcW w:w="445" w:type="pct"/>
            <w:vAlign w:val="center"/>
          </w:tcPr>
          <w:p w14:paraId="528D564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2852</w:t>
            </w:r>
          </w:p>
        </w:tc>
        <w:tc>
          <w:tcPr>
            <w:tcW w:w="630" w:type="pct"/>
            <w:vAlign w:val="center"/>
          </w:tcPr>
          <w:p w14:paraId="6C5AF4A3">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3204A6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200</w:t>
            </w:r>
          </w:p>
        </w:tc>
      </w:tr>
      <w:tr w14:paraId="2328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660E593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13</w:t>
            </w:r>
          </w:p>
        </w:tc>
        <w:tc>
          <w:tcPr>
            <w:tcW w:w="632" w:type="pct"/>
            <w:vAlign w:val="center"/>
          </w:tcPr>
          <w:p w14:paraId="0D116A4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三眼井</w:t>
            </w:r>
          </w:p>
        </w:tc>
        <w:tc>
          <w:tcPr>
            <w:tcW w:w="959" w:type="pct"/>
            <w:vAlign w:val="center"/>
          </w:tcPr>
          <w:p w14:paraId="6FF2A5D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103.24363232</w:t>
            </w:r>
          </w:p>
        </w:tc>
        <w:tc>
          <w:tcPr>
            <w:tcW w:w="922" w:type="pct"/>
            <w:vAlign w:val="center"/>
          </w:tcPr>
          <w:p w14:paraId="36D0EB5A">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25.58548450</w:t>
            </w:r>
          </w:p>
        </w:tc>
        <w:tc>
          <w:tcPr>
            <w:tcW w:w="536" w:type="pct"/>
            <w:vAlign w:val="center"/>
          </w:tcPr>
          <w:p w14:paraId="4E9A4DB0">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西南</w:t>
            </w:r>
          </w:p>
        </w:tc>
        <w:tc>
          <w:tcPr>
            <w:tcW w:w="445" w:type="pct"/>
            <w:vAlign w:val="center"/>
          </w:tcPr>
          <w:p w14:paraId="1207F22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2939</w:t>
            </w:r>
          </w:p>
        </w:tc>
        <w:tc>
          <w:tcPr>
            <w:tcW w:w="630" w:type="pct"/>
            <w:vAlign w:val="center"/>
          </w:tcPr>
          <w:p w14:paraId="37339486">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425CBC0">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150</w:t>
            </w:r>
          </w:p>
        </w:tc>
      </w:tr>
      <w:tr w14:paraId="3248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262479C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14</w:t>
            </w:r>
          </w:p>
        </w:tc>
        <w:tc>
          <w:tcPr>
            <w:tcW w:w="632" w:type="pct"/>
            <w:vAlign w:val="center"/>
          </w:tcPr>
          <w:p w14:paraId="2FC69BFB">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雀吃沟</w:t>
            </w:r>
          </w:p>
        </w:tc>
        <w:tc>
          <w:tcPr>
            <w:tcW w:w="959" w:type="pct"/>
            <w:vAlign w:val="center"/>
          </w:tcPr>
          <w:p w14:paraId="6FD9AF6D">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103.22749615</w:t>
            </w:r>
          </w:p>
        </w:tc>
        <w:tc>
          <w:tcPr>
            <w:tcW w:w="922" w:type="pct"/>
            <w:vAlign w:val="center"/>
          </w:tcPr>
          <w:p w14:paraId="46DAB6C9">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25.59767246</w:t>
            </w:r>
          </w:p>
        </w:tc>
        <w:tc>
          <w:tcPr>
            <w:tcW w:w="536" w:type="pct"/>
            <w:vAlign w:val="center"/>
          </w:tcPr>
          <w:p w14:paraId="3DBBCD93">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西南</w:t>
            </w:r>
          </w:p>
        </w:tc>
        <w:tc>
          <w:tcPr>
            <w:tcW w:w="445" w:type="pct"/>
            <w:vAlign w:val="center"/>
          </w:tcPr>
          <w:p w14:paraId="45CB841A">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3200</w:t>
            </w:r>
          </w:p>
        </w:tc>
        <w:tc>
          <w:tcPr>
            <w:tcW w:w="630" w:type="pct"/>
            <w:vAlign w:val="center"/>
          </w:tcPr>
          <w:p w14:paraId="0F6FD05B">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43737BF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w:t>
            </w:r>
          </w:p>
        </w:tc>
      </w:tr>
      <w:tr w14:paraId="6C8C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7F98B7D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15</w:t>
            </w:r>
          </w:p>
        </w:tc>
        <w:tc>
          <w:tcPr>
            <w:tcW w:w="632" w:type="pct"/>
            <w:vAlign w:val="center"/>
          </w:tcPr>
          <w:p w14:paraId="641A46DD">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法子屋</w:t>
            </w:r>
          </w:p>
        </w:tc>
        <w:tc>
          <w:tcPr>
            <w:tcW w:w="959" w:type="pct"/>
            <w:vAlign w:val="center"/>
          </w:tcPr>
          <w:p w14:paraId="2528778E">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103.21668148</w:t>
            </w:r>
          </w:p>
        </w:tc>
        <w:tc>
          <w:tcPr>
            <w:tcW w:w="922" w:type="pct"/>
            <w:vAlign w:val="center"/>
          </w:tcPr>
          <w:p w14:paraId="73E35430">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25.62569618</w:t>
            </w:r>
          </w:p>
        </w:tc>
        <w:tc>
          <w:tcPr>
            <w:tcW w:w="536" w:type="pct"/>
            <w:vAlign w:val="center"/>
          </w:tcPr>
          <w:p w14:paraId="5DE0DA92">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西北</w:t>
            </w:r>
          </w:p>
        </w:tc>
        <w:tc>
          <w:tcPr>
            <w:tcW w:w="445" w:type="pct"/>
            <w:vAlign w:val="center"/>
          </w:tcPr>
          <w:p w14:paraId="036B2B99">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3499</w:t>
            </w:r>
          </w:p>
        </w:tc>
        <w:tc>
          <w:tcPr>
            <w:tcW w:w="630" w:type="pct"/>
            <w:vAlign w:val="center"/>
          </w:tcPr>
          <w:p w14:paraId="104C6350">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7940F3F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600</w:t>
            </w:r>
          </w:p>
        </w:tc>
      </w:tr>
      <w:tr w14:paraId="18E3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2449B38A">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16</w:t>
            </w:r>
          </w:p>
        </w:tc>
        <w:tc>
          <w:tcPr>
            <w:tcW w:w="632" w:type="pct"/>
            <w:vAlign w:val="center"/>
          </w:tcPr>
          <w:p w14:paraId="3D4C2C04">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马路坡</w:t>
            </w:r>
          </w:p>
        </w:tc>
        <w:tc>
          <w:tcPr>
            <w:tcW w:w="959" w:type="pct"/>
            <w:vAlign w:val="center"/>
          </w:tcPr>
          <w:p w14:paraId="75F7CFE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103.29356432</w:t>
            </w:r>
          </w:p>
        </w:tc>
        <w:tc>
          <w:tcPr>
            <w:tcW w:w="922" w:type="pct"/>
            <w:vAlign w:val="center"/>
          </w:tcPr>
          <w:p w14:paraId="532558D0">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25.60870171</w:t>
            </w:r>
          </w:p>
        </w:tc>
        <w:tc>
          <w:tcPr>
            <w:tcW w:w="536" w:type="pct"/>
            <w:vAlign w:val="center"/>
          </w:tcPr>
          <w:p w14:paraId="0347F4B2">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w:t>
            </w:r>
          </w:p>
        </w:tc>
        <w:tc>
          <w:tcPr>
            <w:tcW w:w="445" w:type="pct"/>
            <w:vAlign w:val="center"/>
          </w:tcPr>
          <w:p w14:paraId="6FF24EE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3456</w:t>
            </w:r>
          </w:p>
        </w:tc>
        <w:tc>
          <w:tcPr>
            <w:tcW w:w="630" w:type="pct"/>
            <w:vAlign w:val="center"/>
          </w:tcPr>
          <w:p w14:paraId="23B21318">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129C2B1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80</w:t>
            </w:r>
          </w:p>
        </w:tc>
      </w:tr>
      <w:tr w14:paraId="0D36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1512A91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17</w:t>
            </w:r>
          </w:p>
        </w:tc>
        <w:tc>
          <w:tcPr>
            <w:tcW w:w="632" w:type="pct"/>
            <w:vAlign w:val="center"/>
          </w:tcPr>
          <w:p w14:paraId="139D7E38">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白家哨</w:t>
            </w:r>
          </w:p>
        </w:tc>
        <w:tc>
          <w:tcPr>
            <w:tcW w:w="959" w:type="pct"/>
            <w:vAlign w:val="center"/>
          </w:tcPr>
          <w:p w14:paraId="57A93F25">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103.23037148</w:t>
            </w:r>
          </w:p>
        </w:tc>
        <w:tc>
          <w:tcPr>
            <w:tcW w:w="922" w:type="pct"/>
            <w:vAlign w:val="center"/>
          </w:tcPr>
          <w:p w14:paraId="5C36EE30">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25.63689709</w:t>
            </w:r>
          </w:p>
        </w:tc>
        <w:tc>
          <w:tcPr>
            <w:tcW w:w="536" w:type="pct"/>
            <w:vAlign w:val="center"/>
          </w:tcPr>
          <w:p w14:paraId="64EA6086">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西北</w:t>
            </w:r>
          </w:p>
        </w:tc>
        <w:tc>
          <w:tcPr>
            <w:tcW w:w="445" w:type="pct"/>
            <w:vAlign w:val="center"/>
          </w:tcPr>
          <w:p w14:paraId="6FDA4112">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3535</w:t>
            </w:r>
          </w:p>
        </w:tc>
        <w:tc>
          <w:tcPr>
            <w:tcW w:w="630" w:type="pct"/>
            <w:vAlign w:val="center"/>
          </w:tcPr>
          <w:p w14:paraId="1A838612">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1F21E8D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500</w:t>
            </w:r>
          </w:p>
        </w:tc>
      </w:tr>
      <w:tr w14:paraId="00A9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5989FE4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18</w:t>
            </w:r>
          </w:p>
        </w:tc>
        <w:tc>
          <w:tcPr>
            <w:tcW w:w="632" w:type="pct"/>
            <w:vAlign w:val="center"/>
          </w:tcPr>
          <w:p w14:paraId="3B3A55E8">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凉水井</w:t>
            </w:r>
          </w:p>
        </w:tc>
        <w:tc>
          <w:tcPr>
            <w:tcW w:w="959" w:type="pct"/>
            <w:vAlign w:val="center"/>
          </w:tcPr>
          <w:p w14:paraId="2C6FFAE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103.23492050</w:t>
            </w:r>
          </w:p>
        </w:tc>
        <w:tc>
          <w:tcPr>
            <w:tcW w:w="922" w:type="pct"/>
            <w:vAlign w:val="center"/>
          </w:tcPr>
          <w:p w14:paraId="7B0E4792">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25.58132172</w:t>
            </w:r>
          </w:p>
        </w:tc>
        <w:tc>
          <w:tcPr>
            <w:tcW w:w="536" w:type="pct"/>
            <w:vAlign w:val="center"/>
          </w:tcPr>
          <w:p w14:paraId="5526967B">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西南</w:t>
            </w:r>
          </w:p>
        </w:tc>
        <w:tc>
          <w:tcPr>
            <w:tcW w:w="445" w:type="pct"/>
            <w:vAlign w:val="center"/>
          </w:tcPr>
          <w:p w14:paraId="0CDD5CAA">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3602</w:t>
            </w:r>
          </w:p>
        </w:tc>
        <w:tc>
          <w:tcPr>
            <w:tcW w:w="630" w:type="pct"/>
            <w:vAlign w:val="center"/>
          </w:tcPr>
          <w:p w14:paraId="2CAEC022">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89B51A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150</w:t>
            </w:r>
          </w:p>
        </w:tc>
      </w:tr>
      <w:tr w14:paraId="2727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22BB4B02">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19</w:t>
            </w:r>
          </w:p>
        </w:tc>
        <w:tc>
          <w:tcPr>
            <w:tcW w:w="632" w:type="pct"/>
            <w:vAlign w:val="center"/>
          </w:tcPr>
          <w:p w14:paraId="0531D280">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黑泥沟</w:t>
            </w:r>
          </w:p>
        </w:tc>
        <w:tc>
          <w:tcPr>
            <w:tcW w:w="959" w:type="pct"/>
            <w:vAlign w:val="center"/>
          </w:tcPr>
          <w:p w14:paraId="303B7649">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103.25923204</w:t>
            </w:r>
          </w:p>
        </w:tc>
        <w:tc>
          <w:tcPr>
            <w:tcW w:w="922" w:type="pct"/>
            <w:vAlign w:val="center"/>
          </w:tcPr>
          <w:p w14:paraId="538DDE9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25.64374208</w:t>
            </w:r>
          </w:p>
        </w:tc>
        <w:tc>
          <w:tcPr>
            <w:tcW w:w="536" w:type="pct"/>
            <w:vAlign w:val="center"/>
          </w:tcPr>
          <w:p w14:paraId="2599661D">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北</w:t>
            </w:r>
          </w:p>
        </w:tc>
        <w:tc>
          <w:tcPr>
            <w:tcW w:w="445" w:type="pct"/>
            <w:vAlign w:val="center"/>
          </w:tcPr>
          <w:p w14:paraId="0961BD0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3521</w:t>
            </w:r>
          </w:p>
        </w:tc>
        <w:tc>
          <w:tcPr>
            <w:tcW w:w="630" w:type="pct"/>
            <w:vAlign w:val="center"/>
          </w:tcPr>
          <w:p w14:paraId="1729A4D0">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17F9E55A">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80</w:t>
            </w:r>
          </w:p>
        </w:tc>
      </w:tr>
      <w:tr w14:paraId="01DD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53DCF45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20</w:t>
            </w:r>
          </w:p>
        </w:tc>
        <w:tc>
          <w:tcPr>
            <w:tcW w:w="632" w:type="pct"/>
            <w:vAlign w:val="center"/>
          </w:tcPr>
          <w:p w14:paraId="189C3EAF">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坡脚村</w:t>
            </w:r>
          </w:p>
        </w:tc>
        <w:tc>
          <w:tcPr>
            <w:tcW w:w="959" w:type="pct"/>
            <w:vAlign w:val="center"/>
          </w:tcPr>
          <w:p w14:paraId="2F949F7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103.27401638</w:t>
            </w:r>
          </w:p>
        </w:tc>
        <w:tc>
          <w:tcPr>
            <w:tcW w:w="922" w:type="pct"/>
            <w:vAlign w:val="center"/>
          </w:tcPr>
          <w:p w14:paraId="5EB14E1E">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25.64269066</w:t>
            </w:r>
          </w:p>
        </w:tc>
        <w:tc>
          <w:tcPr>
            <w:tcW w:w="536" w:type="pct"/>
            <w:vAlign w:val="center"/>
          </w:tcPr>
          <w:p w14:paraId="21B3B09B">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东北</w:t>
            </w:r>
          </w:p>
        </w:tc>
        <w:tc>
          <w:tcPr>
            <w:tcW w:w="445" w:type="pct"/>
            <w:vAlign w:val="center"/>
          </w:tcPr>
          <w:p w14:paraId="0F6CAA2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3791</w:t>
            </w:r>
          </w:p>
        </w:tc>
        <w:tc>
          <w:tcPr>
            <w:tcW w:w="630" w:type="pct"/>
            <w:vAlign w:val="center"/>
          </w:tcPr>
          <w:p w14:paraId="629EC79A">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2065FB0">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150</w:t>
            </w:r>
          </w:p>
        </w:tc>
      </w:tr>
      <w:tr w14:paraId="548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49325A34">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21</w:t>
            </w:r>
          </w:p>
        </w:tc>
        <w:tc>
          <w:tcPr>
            <w:tcW w:w="632" w:type="pct"/>
            <w:vAlign w:val="center"/>
          </w:tcPr>
          <w:p w14:paraId="6ABCC1B3">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雨布村</w:t>
            </w:r>
          </w:p>
        </w:tc>
        <w:tc>
          <w:tcPr>
            <w:tcW w:w="959" w:type="pct"/>
            <w:vAlign w:val="center"/>
          </w:tcPr>
          <w:p w14:paraId="33F93F09">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103.27496052</w:t>
            </w:r>
          </w:p>
        </w:tc>
        <w:tc>
          <w:tcPr>
            <w:tcW w:w="922" w:type="pct"/>
            <w:vAlign w:val="center"/>
          </w:tcPr>
          <w:p w14:paraId="77F60348">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25.57617188</w:t>
            </w:r>
          </w:p>
        </w:tc>
        <w:tc>
          <w:tcPr>
            <w:tcW w:w="536" w:type="pct"/>
            <w:vAlign w:val="center"/>
          </w:tcPr>
          <w:p w14:paraId="61B6933E">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东南</w:t>
            </w:r>
          </w:p>
        </w:tc>
        <w:tc>
          <w:tcPr>
            <w:tcW w:w="445" w:type="pct"/>
            <w:vAlign w:val="center"/>
          </w:tcPr>
          <w:p w14:paraId="4662539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3715</w:t>
            </w:r>
          </w:p>
        </w:tc>
        <w:tc>
          <w:tcPr>
            <w:tcW w:w="630" w:type="pct"/>
            <w:vAlign w:val="center"/>
          </w:tcPr>
          <w:p w14:paraId="5ACB5197">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10C5597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400</w:t>
            </w:r>
          </w:p>
        </w:tc>
      </w:tr>
      <w:tr w14:paraId="628B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745C7DB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22</w:t>
            </w:r>
          </w:p>
        </w:tc>
        <w:tc>
          <w:tcPr>
            <w:tcW w:w="632" w:type="pct"/>
            <w:vAlign w:val="center"/>
          </w:tcPr>
          <w:p w14:paraId="3559E201">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教场坝</w:t>
            </w:r>
          </w:p>
        </w:tc>
        <w:tc>
          <w:tcPr>
            <w:tcW w:w="959" w:type="pct"/>
            <w:vAlign w:val="center"/>
          </w:tcPr>
          <w:p w14:paraId="324DE3D9">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103.26661348</w:t>
            </w:r>
          </w:p>
        </w:tc>
        <w:tc>
          <w:tcPr>
            <w:tcW w:w="922" w:type="pct"/>
            <w:vAlign w:val="center"/>
          </w:tcPr>
          <w:p w14:paraId="2CC0E387">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25.57477713</w:t>
            </w:r>
          </w:p>
        </w:tc>
        <w:tc>
          <w:tcPr>
            <w:tcW w:w="536" w:type="pct"/>
            <w:vAlign w:val="center"/>
          </w:tcPr>
          <w:p w14:paraId="522FC3EB">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东南</w:t>
            </w:r>
          </w:p>
        </w:tc>
        <w:tc>
          <w:tcPr>
            <w:tcW w:w="445" w:type="pct"/>
            <w:vAlign w:val="center"/>
          </w:tcPr>
          <w:p w14:paraId="58A4B3AC">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3803</w:t>
            </w:r>
          </w:p>
        </w:tc>
        <w:tc>
          <w:tcPr>
            <w:tcW w:w="630" w:type="pct"/>
            <w:vAlign w:val="center"/>
          </w:tcPr>
          <w:p w14:paraId="68A5EB50">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1495ED82">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500</w:t>
            </w:r>
          </w:p>
        </w:tc>
      </w:tr>
      <w:tr w14:paraId="492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11728CD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23</w:t>
            </w:r>
          </w:p>
        </w:tc>
        <w:tc>
          <w:tcPr>
            <w:tcW w:w="632" w:type="pct"/>
            <w:vAlign w:val="center"/>
          </w:tcPr>
          <w:p w14:paraId="3F06A818">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三家村</w:t>
            </w:r>
          </w:p>
        </w:tc>
        <w:tc>
          <w:tcPr>
            <w:tcW w:w="959" w:type="pct"/>
            <w:vAlign w:val="center"/>
          </w:tcPr>
          <w:p w14:paraId="10E2C819">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103.26328754</w:t>
            </w:r>
          </w:p>
        </w:tc>
        <w:tc>
          <w:tcPr>
            <w:tcW w:w="922" w:type="pct"/>
            <w:vAlign w:val="center"/>
          </w:tcPr>
          <w:p w14:paraId="290BDA62">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25.64681053</w:t>
            </w:r>
          </w:p>
        </w:tc>
        <w:tc>
          <w:tcPr>
            <w:tcW w:w="536" w:type="pct"/>
            <w:vAlign w:val="center"/>
          </w:tcPr>
          <w:p w14:paraId="6C7302C4">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7AC8A73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3937</w:t>
            </w:r>
          </w:p>
        </w:tc>
        <w:tc>
          <w:tcPr>
            <w:tcW w:w="630" w:type="pct"/>
            <w:vAlign w:val="center"/>
          </w:tcPr>
          <w:p w14:paraId="6BBE2A49">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463A799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100</w:t>
            </w:r>
          </w:p>
        </w:tc>
      </w:tr>
      <w:tr w14:paraId="2893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2C401DA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24</w:t>
            </w:r>
          </w:p>
        </w:tc>
        <w:tc>
          <w:tcPr>
            <w:tcW w:w="632" w:type="pct"/>
            <w:vAlign w:val="center"/>
          </w:tcPr>
          <w:p w14:paraId="6DF3CD46">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上额秧</w:t>
            </w:r>
          </w:p>
        </w:tc>
        <w:tc>
          <w:tcPr>
            <w:tcW w:w="959" w:type="pct"/>
            <w:vAlign w:val="center"/>
          </w:tcPr>
          <w:p w14:paraId="1D384FA1">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103.28249216</w:t>
            </w:r>
          </w:p>
        </w:tc>
        <w:tc>
          <w:tcPr>
            <w:tcW w:w="922" w:type="pct"/>
            <w:vAlign w:val="center"/>
          </w:tcPr>
          <w:p w14:paraId="65ED3445">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25.64693928</w:t>
            </w:r>
          </w:p>
        </w:tc>
        <w:tc>
          <w:tcPr>
            <w:tcW w:w="536" w:type="pct"/>
            <w:vAlign w:val="center"/>
          </w:tcPr>
          <w:p w14:paraId="5B9343E3">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0940E616">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4260</w:t>
            </w:r>
          </w:p>
        </w:tc>
        <w:tc>
          <w:tcPr>
            <w:tcW w:w="630" w:type="pct"/>
            <w:vAlign w:val="center"/>
          </w:tcPr>
          <w:p w14:paraId="01A0E7EB">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52C26C3D">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300</w:t>
            </w:r>
          </w:p>
        </w:tc>
      </w:tr>
      <w:tr w14:paraId="68F3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4FEF312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w:t>
            </w:r>
          </w:p>
        </w:tc>
        <w:tc>
          <w:tcPr>
            <w:tcW w:w="632" w:type="pct"/>
            <w:vAlign w:val="center"/>
          </w:tcPr>
          <w:p w14:paraId="56E8C67B">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金家坟</w:t>
            </w:r>
          </w:p>
        </w:tc>
        <w:tc>
          <w:tcPr>
            <w:tcW w:w="959" w:type="pct"/>
            <w:vAlign w:val="center"/>
          </w:tcPr>
          <w:p w14:paraId="6832FC8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103.27674150</w:t>
            </w:r>
          </w:p>
        </w:tc>
        <w:tc>
          <w:tcPr>
            <w:tcW w:w="922" w:type="pct"/>
            <w:vAlign w:val="center"/>
          </w:tcPr>
          <w:p w14:paraId="2CF569B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25.64625263</w:t>
            </w:r>
          </w:p>
        </w:tc>
        <w:tc>
          <w:tcPr>
            <w:tcW w:w="536" w:type="pct"/>
            <w:vAlign w:val="center"/>
          </w:tcPr>
          <w:p w14:paraId="7C8B18C0">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76ABFDB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4281</w:t>
            </w:r>
          </w:p>
        </w:tc>
        <w:tc>
          <w:tcPr>
            <w:tcW w:w="630" w:type="pct"/>
            <w:vAlign w:val="center"/>
          </w:tcPr>
          <w:p w14:paraId="15099109">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76EC3ED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200</w:t>
            </w:r>
          </w:p>
        </w:tc>
      </w:tr>
      <w:tr w14:paraId="3B44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65EABBC7">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26</w:t>
            </w:r>
          </w:p>
        </w:tc>
        <w:tc>
          <w:tcPr>
            <w:tcW w:w="632" w:type="pct"/>
            <w:vAlign w:val="center"/>
          </w:tcPr>
          <w:p w14:paraId="0FFB565E">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柳树河</w:t>
            </w:r>
          </w:p>
        </w:tc>
        <w:tc>
          <w:tcPr>
            <w:tcW w:w="959" w:type="pct"/>
            <w:vAlign w:val="center"/>
          </w:tcPr>
          <w:p w14:paraId="6D41994D">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103.25848103</w:t>
            </w:r>
          </w:p>
        </w:tc>
        <w:tc>
          <w:tcPr>
            <w:tcW w:w="922" w:type="pct"/>
            <w:vAlign w:val="center"/>
          </w:tcPr>
          <w:p w14:paraId="6B1291C8">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25.65187454</w:t>
            </w:r>
          </w:p>
        </w:tc>
        <w:tc>
          <w:tcPr>
            <w:tcW w:w="536" w:type="pct"/>
            <w:vAlign w:val="center"/>
          </w:tcPr>
          <w:p w14:paraId="7DC9DAF5">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w:t>
            </w:r>
          </w:p>
        </w:tc>
        <w:tc>
          <w:tcPr>
            <w:tcW w:w="445" w:type="pct"/>
            <w:vAlign w:val="center"/>
          </w:tcPr>
          <w:p w14:paraId="1774C77F">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4396</w:t>
            </w:r>
          </w:p>
        </w:tc>
        <w:tc>
          <w:tcPr>
            <w:tcW w:w="630" w:type="pct"/>
            <w:vAlign w:val="center"/>
          </w:tcPr>
          <w:p w14:paraId="12A70C4F">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65E0732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500</w:t>
            </w:r>
          </w:p>
        </w:tc>
      </w:tr>
      <w:tr w14:paraId="4610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23A4983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27</w:t>
            </w:r>
          </w:p>
        </w:tc>
        <w:tc>
          <w:tcPr>
            <w:tcW w:w="632" w:type="pct"/>
            <w:vAlign w:val="center"/>
          </w:tcPr>
          <w:p w14:paraId="494D117B">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大村子</w:t>
            </w:r>
          </w:p>
        </w:tc>
        <w:tc>
          <w:tcPr>
            <w:tcW w:w="959" w:type="pct"/>
            <w:vAlign w:val="center"/>
          </w:tcPr>
          <w:p w14:paraId="20BFC80F">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103.22878361</w:t>
            </w:r>
          </w:p>
        </w:tc>
        <w:tc>
          <w:tcPr>
            <w:tcW w:w="922" w:type="pct"/>
            <w:vAlign w:val="center"/>
          </w:tcPr>
          <w:p w14:paraId="788B9735">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25.57733059</w:t>
            </w:r>
          </w:p>
        </w:tc>
        <w:tc>
          <w:tcPr>
            <w:tcW w:w="536" w:type="pct"/>
            <w:vAlign w:val="center"/>
          </w:tcPr>
          <w:p w14:paraId="54CDBD75">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西南</w:t>
            </w:r>
          </w:p>
        </w:tc>
        <w:tc>
          <w:tcPr>
            <w:tcW w:w="445" w:type="pct"/>
            <w:vAlign w:val="center"/>
          </w:tcPr>
          <w:p w14:paraId="1C94048C">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4479</w:t>
            </w:r>
          </w:p>
        </w:tc>
        <w:tc>
          <w:tcPr>
            <w:tcW w:w="630" w:type="pct"/>
            <w:vAlign w:val="center"/>
          </w:tcPr>
          <w:p w14:paraId="013B9013">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28EE0458">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80</w:t>
            </w:r>
          </w:p>
        </w:tc>
      </w:tr>
      <w:tr w14:paraId="63C0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30323E4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28</w:t>
            </w:r>
          </w:p>
        </w:tc>
        <w:tc>
          <w:tcPr>
            <w:tcW w:w="632" w:type="pct"/>
            <w:vAlign w:val="center"/>
          </w:tcPr>
          <w:p w14:paraId="04478C81">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秧田冲</w:t>
            </w:r>
          </w:p>
        </w:tc>
        <w:tc>
          <w:tcPr>
            <w:tcW w:w="959" w:type="pct"/>
            <w:vAlign w:val="center"/>
          </w:tcPr>
          <w:p w14:paraId="47D75D33">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103.26549768</w:t>
            </w:r>
          </w:p>
        </w:tc>
        <w:tc>
          <w:tcPr>
            <w:tcW w:w="922" w:type="pct"/>
            <w:vAlign w:val="center"/>
          </w:tcPr>
          <w:p w14:paraId="47FD0CAD">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25.65376282</w:t>
            </w:r>
          </w:p>
        </w:tc>
        <w:tc>
          <w:tcPr>
            <w:tcW w:w="536" w:type="pct"/>
            <w:vAlign w:val="center"/>
          </w:tcPr>
          <w:p w14:paraId="035E5450">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东北</w:t>
            </w:r>
          </w:p>
        </w:tc>
        <w:tc>
          <w:tcPr>
            <w:tcW w:w="445" w:type="pct"/>
            <w:vAlign w:val="center"/>
          </w:tcPr>
          <w:p w14:paraId="3B0C2729">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4566</w:t>
            </w:r>
          </w:p>
        </w:tc>
        <w:tc>
          <w:tcPr>
            <w:tcW w:w="630" w:type="pct"/>
            <w:vAlign w:val="center"/>
          </w:tcPr>
          <w:p w14:paraId="301777F5">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6033A70">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100</w:t>
            </w:r>
          </w:p>
        </w:tc>
      </w:tr>
      <w:tr w14:paraId="6D02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74FF327E">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29</w:t>
            </w:r>
          </w:p>
        </w:tc>
        <w:tc>
          <w:tcPr>
            <w:tcW w:w="632" w:type="pct"/>
            <w:vAlign w:val="center"/>
          </w:tcPr>
          <w:p w14:paraId="6DFA92DE">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木家山</w:t>
            </w:r>
          </w:p>
        </w:tc>
        <w:tc>
          <w:tcPr>
            <w:tcW w:w="959" w:type="pct"/>
            <w:vAlign w:val="center"/>
          </w:tcPr>
          <w:p w14:paraId="6DFE731F">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103.28281403</w:t>
            </w:r>
          </w:p>
        </w:tc>
        <w:tc>
          <w:tcPr>
            <w:tcW w:w="922" w:type="pct"/>
            <w:vAlign w:val="center"/>
          </w:tcPr>
          <w:p w14:paraId="6D60DC76">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25.57080746</w:t>
            </w:r>
          </w:p>
        </w:tc>
        <w:tc>
          <w:tcPr>
            <w:tcW w:w="536" w:type="pct"/>
            <w:vAlign w:val="center"/>
          </w:tcPr>
          <w:p w14:paraId="0B232A19">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地块一</w:t>
            </w:r>
            <w:r>
              <w:rPr>
                <w:rFonts w:ascii="Times New Roman" w:cs="Times New Roman" w:hAnsiTheme="minorEastAsia" w:eastAsiaTheme="minorEastAsia"/>
                <w:color w:val="auto"/>
                <w:sz w:val="21"/>
                <w:szCs w:val="21"/>
              </w:rPr>
              <w:t>东南</w:t>
            </w:r>
          </w:p>
        </w:tc>
        <w:tc>
          <w:tcPr>
            <w:tcW w:w="445" w:type="pct"/>
            <w:vAlign w:val="center"/>
          </w:tcPr>
          <w:p w14:paraId="14FD972B">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4798</w:t>
            </w:r>
          </w:p>
        </w:tc>
        <w:tc>
          <w:tcPr>
            <w:tcW w:w="630" w:type="pct"/>
            <w:vAlign w:val="center"/>
          </w:tcPr>
          <w:p w14:paraId="108CC78B">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7E19F7C3">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100</w:t>
            </w:r>
          </w:p>
        </w:tc>
      </w:tr>
      <w:tr w14:paraId="4D0B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Align w:val="center"/>
          </w:tcPr>
          <w:p w14:paraId="7865FE0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30</w:t>
            </w:r>
          </w:p>
        </w:tc>
        <w:tc>
          <w:tcPr>
            <w:tcW w:w="632" w:type="pct"/>
            <w:vAlign w:val="center"/>
          </w:tcPr>
          <w:p w14:paraId="6D4FF35E">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仁德镇</w:t>
            </w:r>
          </w:p>
        </w:tc>
        <w:tc>
          <w:tcPr>
            <w:tcW w:w="959" w:type="pct"/>
            <w:vAlign w:val="center"/>
          </w:tcPr>
          <w:p w14:paraId="77CAC710">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103.25777292</w:t>
            </w:r>
          </w:p>
        </w:tc>
        <w:tc>
          <w:tcPr>
            <w:tcW w:w="922" w:type="pct"/>
            <w:vAlign w:val="center"/>
          </w:tcPr>
          <w:p w14:paraId="1D25E510">
            <w:pPr>
              <w:pStyle w:val="19"/>
              <w:spacing w:before="0" w:beforeAutospacing="0" w:after="0" w:afterAutospacing="0" w:line="360" w:lineRule="auto"/>
              <w:rPr>
                <w:rFonts w:ascii="Times New Roman" w:hAnsi="Times New Roman" w:eastAsiaTheme="minorEastAsia"/>
                <w:color w:val="auto"/>
                <w:sz w:val="21"/>
                <w:szCs w:val="21"/>
              </w:rPr>
            </w:pPr>
            <w:r>
              <w:rPr>
                <w:rFonts w:ascii="Times New Roman" w:hAnsi="Times New Roman" w:eastAsiaTheme="minorEastAsia"/>
                <w:color w:val="auto"/>
              </w:rPr>
              <w:t>25.56859732</w:t>
            </w:r>
          </w:p>
        </w:tc>
        <w:tc>
          <w:tcPr>
            <w:tcW w:w="536" w:type="pct"/>
            <w:vAlign w:val="center"/>
          </w:tcPr>
          <w:p w14:paraId="5AD6D323">
            <w:pPr>
              <w:pStyle w:val="31"/>
              <w:ind w:firstLine="0" w:firstLineChars="0"/>
              <w:jc w:val="center"/>
              <w:rPr>
                <w:rFonts w:ascii="Times New Roman" w:hAnsi="Times New Roman" w:cs="Times New Roman" w:eastAsiaTheme="minorEastAsia"/>
                <w:color w:val="auto"/>
                <w:sz w:val="21"/>
                <w:szCs w:val="21"/>
              </w:rPr>
            </w:pPr>
            <w:r>
              <w:rPr>
                <w:rFonts w:hint="eastAsia" w:ascii="Times New Roman" w:cs="Times New Roman" w:hAnsiTheme="minorEastAsia" w:eastAsiaTheme="minorEastAsia"/>
                <w:color w:val="auto"/>
                <w:sz w:val="21"/>
                <w:szCs w:val="21"/>
                <w:lang w:val="en-US" w:eastAsia="zh-CN"/>
              </w:rPr>
              <w:t>地块二</w:t>
            </w:r>
            <w:r>
              <w:rPr>
                <w:rFonts w:ascii="Times New Roman" w:cs="Times New Roman" w:hAnsiTheme="minorEastAsia" w:eastAsiaTheme="minorEastAsia"/>
                <w:color w:val="auto"/>
                <w:sz w:val="21"/>
                <w:szCs w:val="21"/>
              </w:rPr>
              <w:t>南</w:t>
            </w:r>
          </w:p>
        </w:tc>
        <w:tc>
          <w:tcPr>
            <w:tcW w:w="445" w:type="pct"/>
            <w:vAlign w:val="center"/>
          </w:tcPr>
          <w:p w14:paraId="02308B17">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4590</w:t>
            </w:r>
          </w:p>
        </w:tc>
        <w:tc>
          <w:tcPr>
            <w:tcW w:w="630" w:type="pct"/>
            <w:vAlign w:val="center"/>
          </w:tcPr>
          <w:p w14:paraId="4902EE52">
            <w:pPr>
              <w:spacing w:line="360" w:lineRule="auto"/>
              <w:jc w:val="center"/>
              <w:rPr>
                <w:rFonts w:eastAsiaTheme="minorEastAsia"/>
                <w:color w:val="auto"/>
                <w:szCs w:val="21"/>
              </w:rPr>
            </w:pPr>
            <w:r>
              <w:rPr>
                <w:rFonts w:hAnsiTheme="minorEastAsia" w:eastAsiaTheme="minorEastAsia"/>
                <w:color w:val="auto"/>
                <w:szCs w:val="21"/>
              </w:rPr>
              <w:t>居住区</w:t>
            </w:r>
          </w:p>
        </w:tc>
        <w:tc>
          <w:tcPr>
            <w:tcW w:w="520" w:type="pct"/>
            <w:vAlign w:val="center"/>
          </w:tcPr>
          <w:p w14:paraId="37FEE145">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12000</w:t>
            </w:r>
          </w:p>
        </w:tc>
      </w:tr>
      <w:tr w14:paraId="6624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9" w:type="pct"/>
            <w:gridSpan w:val="7"/>
            <w:vAlign w:val="center"/>
          </w:tcPr>
          <w:p w14:paraId="6661F657">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厂址周边</w:t>
            </w:r>
            <w:r>
              <w:rPr>
                <w:rFonts w:ascii="Times New Roman" w:hAnsi="Times New Roman" w:cs="Times New Roman" w:eastAsiaTheme="minorEastAsia"/>
                <w:color w:val="auto"/>
                <w:sz w:val="21"/>
                <w:szCs w:val="21"/>
              </w:rPr>
              <w:t>500m</w:t>
            </w:r>
            <w:r>
              <w:rPr>
                <w:rFonts w:ascii="Times New Roman" w:cs="Times New Roman" w:hAnsiTheme="minorEastAsia" w:eastAsiaTheme="minorEastAsia"/>
                <w:color w:val="auto"/>
                <w:sz w:val="21"/>
                <w:szCs w:val="21"/>
              </w:rPr>
              <w:t>范围内人口数小计</w:t>
            </w:r>
          </w:p>
        </w:tc>
        <w:tc>
          <w:tcPr>
            <w:tcW w:w="520" w:type="pct"/>
            <w:vAlign w:val="center"/>
          </w:tcPr>
          <w:p w14:paraId="642E04FE">
            <w:pPr>
              <w:pStyle w:val="31"/>
              <w:ind w:firstLine="0" w:firstLineChars="0"/>
              <w:jc w:val="center"/>
              <w:rPr>
                <w:rFonts w:hint="eastAsia" w:ascii="Times New Roman" w:hAnsi="Times New Roman" w:cs="Times New Roman" w:eastAsiaTheme="minorEastAsia"/>
                <w:color w:val="auto"/>
                <w:sz w:val="21"/>
                <w:szCs w:val="21"/>
                <w:lang w:eastAsia="zh-CN"/>
              </w:rPr>
            </w:pPr>
            <w:r>
              <w:rPr>
                <w:rFonts w:ascii="Times New Roman" w:hAnsi="Times New Roman" w:cs="Times New Roman" w:eastAsiaTheme="minorEastAsia"/>
                <w:color w:val="auto"/>
                <w:sz w:val="21"/>
                <w:szCs w:val="21"/>
              </w:rPr>
              <w:t>2</w:t>
            </w:r>
            <w:r>
              <w:rPr>
                <w:rFonts w:hint="eastAsia" w:ascii="Times New Roman" w:hAnsi="Times New Roman" w:cs="Times New Roman" w:eastAsiaTheme="minorEastAsia"/>
                <w:color w:val="auto"/>
                <w:sz w:val="21"/>
                <w:szCs w:val="21"/>
                <w:lang w:val="en-US" w:eastAsia="zh-CN"/>
              </w:rPr>
              <w:t>23</w:t>
            </w:r>
          </w:p>
        </w:tc>
      </w:tr>
      <w:tr w14:paraId="4B1A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9" w:type="pct"/>
            <w:gridSpan w:val="7"/>
            <w:vAlign w:val="center"/>
          </w:tcPr>
          <w:p w14:paraId="13687C2D">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厂址周边</w:t>
            </w:r>
            <w:r>
              <w:rPr>
                <w:rFonts w:ascii="Times New Roman" w:hAnsi="Times New Roman" w:cs="Times New Roman" w:eastAsiaTheme="minorEastAsia"/>
                <w:color w:val="auto"/>
                <w:sz w:val="21"/>
                <w:szCs w:val="21"/>
              </w:rPr>
              <w:t>5km</w:t>
            </w:r>
            <w:r>
              <w:rPr>
                <w:rFonts w:ascii="Times New Roman" w:cs="Times New Roman" w:hAnsiTheme="minorEastAsia" w:eastAsiaTheme="minorEastAsia"/>
                <w:color w:val="auto"/>
                <w:sz w:val="21"/>
                <w:szCs w:val="21"/>
              </w:rPr>
              <w:t>范围内人口数小计</w:t>
            </w:r>
          </w:p>
        </w:tc>
        <w:tc>
          <w:tcPr>
            <w:tcW w:w="520" w:type="pct"/>
            <w:vAlign w:val="center"/>
          </w:tcPr>
          <w:p w14:paraId="6A3CD40C">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18680</w:t>
            </w:r>
          </w:p>
        </w:tc>
      </w:tr>
      <w:tr w14:paraId="5777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9" w:type="pct"/>
            <w:gridSpan w:val="7"/>
            <w:vAlign w:val="center"/>
          </w:tcPr>
          <w:p w14:paraId="2B9C5B63">
            <w:pPr>
              <w:pStyle w:val="31"/>
              <w:ind w:firstLine="0" w:firstLineChars="0"/>
              <w:jc w:val="center"/>
              <w:rPr>
                <w:rFonts w:ascii="Times New Roman" w:hAnsi="Times New Roman" w:cs="Times New Roman" w:eastAsiaTheme="minorEastAsia"/>
                <w:color w:val="auto"/>
                <w:sz w:val="21"/>
                <w:szCs w:val="21"/>
              </w:rPr>
            </w:pPr>
            <w:r>
              <w:rPr>
                <w:rFonts w:ascii="Times New Roman" w:cs="Times New Roman" w:hAnsiTheme="minorEastAsia" w:eastAsiaTheme="minorEastAsia"/>
                <w:color w:val="auto"/>
                <w:sz w:val="21"/>
                <w:szCs w:val="21"/>
              </w:rPr>
              <w:t>大气环境敏感程度</w:t>
            </w:r>
            <w:r>
              <w:rPr>
                <w:rFonts w:ascii="Times New Roman" w:hAnsi="Times New Roman" w:cs="Times New Roman" w:eastAsiaTheme="minorEastAsia"/>
                <w:color w:val="auto"/>
                <w:sz w:val="21"/>
                <w:szCs w:val="21"/>
              </w:rPr>
              <w:t>E</w:t>
            </w:r>
            <w:r>
              <w:rPr>
                <w:rFonts w:ascii="Times New Roman" w:cs="Times New Roman" w:hAnsiTheme="minorEastAsia" w:eastAsiaTheme="minorEastAsia"/>
                <w:color w:val="auto"/>
                <w:sz w:val="21"/>
                <w:szCs w:val="21"/>
              </w:rPr>
              <w:t>值</w:t>
            </w:r>
          </w:p>
        </w:tc>
        <w:tc>
          <w:tcPr>
            <w:tcW w:w="520" w:type="pct"/>
            <w:vAlign w:val="center"/>
          </w:tcPr>
          <w:p w14:paraId="384AC041">
            <w:pPr>
              <w:pStyle w:val="31"/>
              <w:ind w:firstLine="0" w:firstLineChars="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E2</w:t>
            </w:r>
          </w:p>
        </w:tc>
      </w:tr>
    </w:tbl>
    <w:p w14:paraId="7EA930B1">
      <w:pPr>
        <w:spacing w:line="360" w:lineRule="auto"/>
        <w:ind w:firstLine="482" w:firstLineChars="200"/>
        <w:rPr>
          <w:b/>
          <w:bCs/>
          <w:color w:val="auto"/>
          <w:sz w:val="24"/>
          <w:szCs w:val="24"/>
        </w:rPr>
      </w:pPr>
      <w:r>
        <w:rPr>
          <w:rFonts w:hint="eastAsia"/>
          <w:b/>
          <w:color w:val="auto"/>
          <w:sz w:val="24"/>
          <w:szCs w:val="24"/>
        </w:rPr>
        <w:t>二、项目</w:t>
      </w:r>
      <w:r>
        <w:rPr>
          <w:b/>
          <w:bCs/>
          <w:color w:val="auto"/>
          <w:sz w:val="24"/>
          <w:szCs w:val="24"/>
        </w:rPr>
        <w:t>环境风险潜势初判</w:t>
      </w:r>
    </w:p>
    <w:p w14:paraId="520D1AEC">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危险化学品重大危险源辨识》(GB18218-2018)；单元内存在的危险化学品为单一品种，则该危险化学品的数量即为单元内危险化学品的总量，若等于或超过相应的临界量，则定为重大危险源。《危险化学品重大危险源辨识》(GB18218-2018)表 2 中的</w:t>
      </w:r>
      <w:r>
        <w:rPr>
          <w:rFonts w:hint="eastAsia" w:ascii="Times New Roman" w:hAnsi="Times New Roman" w:eastAsia="宋体" w:cs="Times New Roman"/>
          <w:color w:val="auto"/>
          <w:sz w:val="24"/>
          <w:szCs w:val="24"/>
          <w:lang w:val="en-US" w:eastAsia="zh-CN"/>
        </w:rPr>
        <w:t>1.3</w:t>
      </w:r>
      <w:r>
        <w:rPr>
          <w:rFonts w:hint="eastAsia" w:ascii="Times New Roman" w:hAnsi="Times New Roman" w:eastAsia="宋体" w:cs="Times New Roman"/>
          <w:color w:val="auto"/>
          <w:sz w:val="24"/>
          <w:szCs w:val="24"/>
        </w:rPr>
        <w:t>项爆炸</w:t>
      </w:r>
      <w:r>
        <w:rPr>
          <w:rFonts w:hint="eastAsia" w:ascii="Times New Roman" w:hAnsi="Times New Roman" w:eastAsia="宋体" w:cs="Times New Roman"/>
          <w:color w:val="auto"/>
          <w:sz w:val="24"/>
          <w:szCs w:val="24"/>
          <w:lang w:val="en-US" w:eastAsia="zh-CN"/>
        </w:rPr>
        <w:t>物</w:t>
      </w:r>
      <w:r>
        <w:rPr>
          <w:rFonts w:hint="eastAsia" w:ascii="Times New Roman" w:hAnsi="Times New Roman" w:eastAsia="宋体" w:cs="Times New Roman"/>
          <w:color w:val="auto"/>
          <w:sz w:val="24"/>
          <w:szCs w:val="24"/>
        </w:rPr>
        <w:t>临界量为10t</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1.1</w:t>
      </w:r>
      <w:r>
        <w:rPr>
          <w:rFonts w:hint="eastAsia" w:ascii="Times New Roman" w:hAnsi="Times New Roman" w:eastAsia="宋体" w:cs="Times New Roman"/>
          <w:color w:val="auto"/>
          <w:sz w:val="24"/>
          <w:szCs w:val="24"/>
        </w:rPr>
        <w:t>项爆炸</w:t>
      </w:r>
      <w:r>
        <w:rPr>
          <w:rFonts w:hint="eastAsia" w:ascii="Times New Roman" w:hAnsi="Times New Roman" w:eastAsia="宋体" w:cs="Times New Roman"/>
          <w:color w:val="auto"/>
          <w:sz w:val="24"/>
          <w:szCs w:val="24"/>
          <w:lang w:val="en-US" w:eastAsia="zh-CN"/>
        </w:rPr>
        <w:t>物</w:t>
      </w:r>
      <w:r>
        <w:rPr>
          <w:rFonts w:hint="eastAsia" w:ascii="Times New Roman" w:hAnsi="Times New Roman" w:eastAsia="宋体" w:cs="Times New Roman"/>
          <w:color w:val="auto"/>
          <w:sz w:val="24"/>
          <w:szCs w:val="24"/>
        </w:rPr>
        <w:t>临界量为1t。根据 HJ169-2018《建设项目环境风险评价技术导则》，具体等级划分依据见表3。</w:t>
      </w:r>
    </w:p>
    <w:p w14:paraId="46284C87">
      <w:pPr>
        <w:pStyle w:val="31"/>
        <w:ind w:firstLine="211" w:firstLineChars="10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表4  环境风险评价工作等级</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2"/>
      </w:tblGrid>
      <w:tr w14:paraId="2F0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1BD03F74">
            <w:pPr>
              <w:spacing w:line="360" w:lineRule="auto"/>
              <w:jc w:val="center"/>
              <w:rPr>
                <w:color w:val="auto"/>
              </w:rPr>
            </w:pPr>
            <w:r>
              <w:rPr>
                <w:rFonts w:hint="eastAsia"/>
                <w:color w:val="auto"/>
              </w:rPr>
              <w:t>环境风险潜势</w:t>
            </w:r>
          </w:p>
        </w:tc>
        <w:tc>
          <w:tcPr>
            <w:tcW w:w="1812" w:type="dxa"/>
            <w:vAlign w:val="center"/>
          </w:tcPr>
          <w:p w14:paraId="337A0319">
            <w:pPr>
              <w:spacing w:line="360" w:lineRule="auto"/>
              <w:jc w:val="center"/>
              <w:rPr>
                <w:color w:val="auto"/>
              </w:rPr>
            </w:pPr>
            <w:r>
              <w:rPr>
                <w:rFonts w:hint="eastAsia"/>
                <w:color w:val="auto"/>
              </w:rPr>
              <w:t>Ⅳ、Ⅳ+</w:t>
            </w:r>
          </w:p>
        </w:tc>
        <w:tc>
          <w:tcPr>
            <w:tcW w:w="1812" w:type="dxa"/>
            <w:vAlign w:val="center"/>
          </w:tcPr>
          <w:p w14:paraId="2958794A">
            <w:pPr>
              <w:spacing w:line="360" w:lineRule="auto"/>
              <w:jc w:val="center"/>
              <w:rPr>
                <w:color w:val="auto"/>
              </w:rPr>
            </w:pPr>
            <w:r>
              <w:rPr>
                <w:rFonts w:hint="eastAsia"/>
                <w:color w:val="auto"/>
              </w:rPr>
              <w:t>Ⅲ</w:t>
            </w:r>
          </w:p>
        </w:tc>
        <w:tc>
          <w:tcPr>
            <w:tcW w:w="1812" w:type="dxa"/>
            <w:vAlign w:val="center"/>
          </w:tcPr>
          <w:p w14:paraId="5253785F">
            <w:pPr>
              <w:spacing w:line="360" w:lineRule="auto"/>
              <w:jc w:val="center"/>
              <w:rPr>
                <w:color w:val="auto"/>
              </w:rPr>
            </w:pPr>
            <w:r>
              <w:rPr>
                <w:rFonts w:hint="eastAsia"/>
                <w:color w:val="auto"/>
              </w:rPr>
              <w:t>Ⅱ</w:t>
            </w:r>
          </w:p>
        </w:tc>
        <w:tc>
          <w:tcPr>
            <w:tcW w:w="1812" w:type="dxa"/>
            <w:vAlign w:val="center"/>
          </w:tcPr>
          <w:p w14:paraId="7CFC0083">
            <w:pPr>
              <w:spacing w:line="360" w:lineRule="auto"/>
              <w:jc w:val="center"/>
              <w:rPr>
                <w:color w:val="auto"/>
              </w:rPr>
            </w:pPr>
            <w:r>
              <w:rPr>
                <w:rFonts w:hint="eastAsia"/>
                <w:color w:val="auto"/>
              </w:rPr>
              <w:t>Ⅰ</w:t>
            </w:r>
          </w:p>
        </w:tc>
      </w:tr>
      <w:tr w14:paraId="0BBB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38231C40">
            <w:pPr>
              <w:spacing w:line="360" w:lineRule="auto"/>
              <w:jc w:val="center"/>
              <w:rPr>
                <w:color w:val="auto"/>
              </w:rPr>
            </w:pPr>
            <w:r>
              <w:rPr>
                <w:rFonts w:hint="eastAsia"/>
                <w:color w:val="auto"/>
              </w:rPr>
              <w:t>评价工作等级</w:t>
            </w:r>
          </w:p>
        </w:tc>
        <w:tc>
          <w:tcPr>
            <w:tcW w:w="1812" w:type="dxa"/>
            <w:vAlign w:val="center"/>
          </w:tcPr>
          <w:p w14:paraId="12F3DCE3">
            <w:pPr>
              <w:spacing w:line="360" w:lineRule="auto"/>
              <w:jc w:val="center"/>
              <w:rPr>
                <w:color w:val="auto"/>
              </w:rPr>
            </w:pPr>
            <w:r>
              <w:rPr>
                <w:rFonts w:hint="eastAsia"/>
                <w:color w:val="auto"/>
              </w:rPr>
              <w:t>一</w:t>
            </w:r>
          </w:p>
        </w:tc>
        <w:tc>
          <w:tcPr>
            <w:tcW w:w="1812" w:type="dxa"/>
            <w:vAlign w:val="center"/>
          </w:tcPr>
          <w:p w14:paraId="441BF341">
            <w:pPr>
              <w:spacing w:line="360" w:lineRule="auto"/>
              <w:jc w:val="center"/>
              <w:rPr>
                <w:color w:val="auto"/>
              </w:rPr>
            </w:pPr>
            <w:r>
              <w:rPr>
                <w:rFonts w:hint="eastAsia"/>
                <w:color w:val="auto"/>
              </w:rPr>
              <w:t>二</w:t>
            </w:r>
          </w:p>
        </w:tc>
        <w:tc>
          <w:tcPr>
            <w:tcW w:w="1812" w:type="dxa"/>
            <w:vAlign w:val="center"/>
          </w:tcPr>
          <w:p w14:paraId="62A6409C">
            <w:pPr>
              <w:spacing w:line="360" w:lineRule="auto"/>
              <w:jc w:val="center"/>
              <w:rPr>
                <w:color w:val="auto"/>
              </w:rPr>
            </w:pPr>
            <w:r>
              <w:rPr>
                <w:rFonts w:hint="eastAsia"/>
                <w:color w:val="auto"/>
              </w:rPr>
              <w:t>三</w:t>
            </w:r>
          </w:p>
        </w:tc>
        <w:tc>
          <w:tcPr>
            <w:tcW w:w="1812" w:type="dxa"/>
            <w:vAlign w:val="center"/>
          </w:tcPr>
          <w:p w14:paraId="254709F1">
            <w:pPr>
              <w:spacing w:line="360" w:lineRule="auto"/>
              <w:jc w:val="center"/>
              <w:rPr>
                <w:color w:val="auto"/>
              </w:rPr>
            </w:pPr>
            <w:r>
              <w:rPr>
                <w:rFonts w:hint="eastAsia"/>
                <w:color w:val="auto"/>
              </w:rPr>
              <w:t>简单分析</w:t>
            </w:r>
          </w:p>
        </w:tc>
      </w:tr>
    </w:tbl>
    <w:p w14:paraId="2DB42079">
      <w:pPr>
        <w:spacing w:line="360" w:lineRule="auto"/>
        <w:ind w:firstLine="482" w:firstLineChars="200"/>
        <w:rPr>
          <w:b/>
          <w:bCs/>
          <w:color w:val="auto"/>
          <w:sz w:val="24"/>
          <w:szCs w:val="24"/>
        </w:rPr>
      </w:pPr>
      <w:r>
        <w:rPr>
          <w:rFonts w:hint="eastAsia"/>
          <w:b/>
          <w:bCs/>
          <w:color w:val="auto"/>
          <w:sz w:val="24"/>
          <w:szCs w:val="24"/>
        </w:rPr>
        <w:t>1.</w:t>
      </w:r>
      <w:r>
        <w:rPr>
          <w:b/>
          <w:bCs/>
          <w:color w:val="auto"/>
          <w:sz w:val="24"/>
          <w:szCs w:val="24"/>
        </w:rPr>
        <w:t>危险物质数量与临界量的比值（Q）判定</w:t>
      </w:r>
    </w:p>
    <w:p w14:paraId="69683993">
      <w:pPr>
        <w:spacing w:line="360" w:lineRule="auto"/>
        <w:ind w:firstLine="480" w:firstLineChars="200"/>
        <w:rPr>
          <w:color w:val="auto"/>
          <w:sz w:val="24"/>
          <w:szCs w:val="24"/>
        </w:rPr>
      </w:pPr>
      <w:r>
        <w:rPr>
          <w:color w:val="auto"/>
          <w:sz w:val="24"/>
          <w:szCs w:val="24"/>
        </w:rPr>
        <w:t>对照 HJ169-2018《建设项目环境风险评价技术导则》附录C，危险物质数量与临界量的比值（Q）如下：</w:t>
      </w:r>
    </w:p>
    <w:p w14:paraId="3C7827B6">
      <w:pPr>
        <w:spacing w:line="360" w:lineRule="auto"/>
        <w:ind w:firstLine="480" w:firstLineChars="200"/>
        <w:rPr>
          <w:color w:val="auto"/>
          <w:sz w:val="24"/>
          <w:szCs w:val="24"/>
        </w:rPr>
      </w:pPr>
      <w:r>
        <w:rPr>
          <w:color w:val="auto"/>
          <w:sz w:val="24"/>
          <w:szCs w:val="24"/>
        </w:rPr>
        <w:t>当只涉及一种危险物质时，计算该物质总量与临界量的比值，即为Q；</w:t>
      </w:r>
    </w:p>
    <w:p w14:paraId="17C61AE6">
      <w:pPr>
        <w:spacing w:line="360" w:lineRule="auto"/>
        <w:ind w:firstLine="480" w:firstLineChars="200"/>
        <w:rPr>
          <w:color w:val="auto"/>
          <w:sz w:val="24"/>
          <w:szCs w:val="24"/>
        </w:rPr>
      </w:pPr>
      <w:r>
        <w:rPr>
          <w:color w:val="auto"/>
          <w:sz w:val="24"/>
          <w:szCs w:val="24"/>
        </w:rPr>
        <w:t>当存在多种危险物质时，按照下列</w:t>
      </w:r>
      <w:r>
        <w:rPr>
          <w:rFonts w:hint="eastAsia"/>
          <w:color w:val="auto"/>
          <w:sz w:val="24"/>
          <w:szCs w:val="24"/>
          <w:lang w:eastAsia="zh-CN"/>
        </w:rPr>
        <w:t>公式</w:t>
      </w:r>
      <w:r>
        <w:rPr>
          <w:color w:val="auto"/>
          <w:sz w:val="24"/>
          <w:szCs w:val="24"/>
        </w:rPr>
        <w:t>计算物质总量与临界量的比值（Q）；</w:t>
      </w:r>
    </w:p>
    <w:p w14:paraId="4C61CB1C">
      <w:pPr>
        <w:spacing w:line="360" w:lineRule="auto"/>
        <w:jc w:val="center"/>
        <w:rPr>
          <w:color w:val="auto"/>
          <w:szCs w:val="21"/>
        </w:rPr>
      </w:pPr>
      <w:r>
        <w:rPr>
          <w:color w:val="auto"/>
          <w:szCs w:val="21"/>
        </w:rPr>
        <w:drawing>
          <wp:inline distT="0" distB="0" distL="114300" distR="114300">
            <wp:extent cx="2185035" cy="628015"/>
            <wp:effectExtent l="0" t="0" r="0" b="63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21">
                      <a:clrChange>
                        <a:clrFrom>
                          <a:srgbClr val="FFFFFF">
                            <a:alpha val="100000"/>
                          </a:srgbClr>
                        </a:clrFrom>
                        <a:clrTo>
                          <a:srgbClr val="FFFFFF">
                            <a:alpha val="100000"/>
                            <a:alpha val="0"/>
                          </a:srgbClr>
                        </a:clrTo>
                      </a:clrChange>
                    </a:blip>
                    <a:stretch>
                      <a:fillRect/>
                    </a:stretch>
                  </pic:blipFill>
                  <pic:spPr>
                    <a:xfrm>
                      <a:off x="0" y="0"/>
                      <a:ext cx="2185035" cy="628015"/>
                    </a:xfrm>
                    <a:prstGeom prst="rect">
                      <a:avLst/>
                    </a:prstGeom>
                    <a:noFill/>
                    <a:ln>
                      <a:noFill/>
                    </a:ln>
                  </pic:spPr>
                </pic:pic>
              </a:graphicData>
            </a:graphic>
          </wp:inline>
        </w:drawing>
      </w:r>
    </w:p>
    <w:p w14:paraId="54DB8D94">
      <w:pPr>
        <w:spacing w:line="360" w:lineRule="auto"/>
        <w:ind w:firstLine="1920" w:firstLineChars="800"/>
        <w:rPr>
          <w:color w:val="auto"/>
          <w:sz w:val="24"/>
          <w:szCs w:val="24"/>
        </w:rPr>
      </w:pPr>
      <w:r>
        <w:rPr>
          <w:color w:val="auto"/>
          <w:sz w:val="24"/>
          <w:szCs w:val="24"/>
        </w:rPr>
        <w:t>式中：q1、q2····qn—每种危险物质最大存在总量（t）。</w:t>
      </w:r>
    </w:p>
    <w:p w14:paraId="2157DC23">
      <w:pPr>
        <w:spacing w:line="360" w:lineRule="auto"/>
        <w:ind w:firstLine="2160" w:firstLineChars="900"/>
        <w:rPr>
          <w:color w:val="auto"/>
          <w:sz w:val="24"/>
          <w:szCs w:val="24"/>
        </w:rPr>
      </w:pPr>
      <w:r>
        <w:rPr>
          <w:color w:val="auto"/>
          <w:sz w:val="24"/>
          <w:szCs w:val="24"/>
        </w:rPr>
        <w:t>Q1、Q2····Qn—每种物质的临界量（t）。</w:t>
      </w:r>
    </w:p>
    <w:p w14:paraId="6E3B9F3B">
      <w:pPr>
        <w:spacing w:line="360" w:lineRule="auto"/>
        <w:ind w:firstLine="480" w:firstLineChars="200"/>
        <w:rPr>
          <w:color w:val="auto"/>
          <w:sz w:val="24"/>
          <w:szCs w:val="24"/>
        </w:rPr>
      </w:pPr>
      <w:r>
        <w:rPr>
          <w:color w:val="auto"/>
          <w:sz w:val="24"/>
          <w:szCs w:val="24"/>
        </w:rPr>
        <w:t>当＜1时，该项目环境风险潜势划为Ⅰ。</w:t>
      </w:r>
    </w:p>
    <w:p w14:paraId="469FF073">
      <w:pPr>
        <w:spacing w:line="360" w:lineRule="auto"/>
        <w:ind w:firstLine="480" w:firstLineChars="200"/>
        <w:rPr>
          <w:color w:val="auto"/>
          <w:sz w:val="24"/>
          <w:szCs w:val="24"/>
        </w:rPr>
      </w:pPr>
      <w:r>
        <w:rPr>
          <w:color w:val="auto"/>
          <w:sz w:val="24"/>
          <w:szCs w:val="24"/>
        </w:rPr>
        <w:t>当Q≥1时，将Q值划分为：（1）1≤Q＜10；（2）10≤Q＜100；（2）Q≥100。</w:t>
      </w:r>
    </w:p>
    <w:p w14:paraId="343BCFCA">
      <w:pPr>
        <w:pStyle w:val="3"/>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eastAsia="宋体"/>
          <w:color w:val="auto"/>
          <w:lang w:eastAsia="zh-CN"/>
        </w:rPr>
      </w:pPr>
      <w:r>
        <w:rPr>
          <w:rFonts w:hint="eastAsia" w:ascii="Times New Roman" w:hAnsi="Times New Roman" w:eastAsia="宋体" w:cs="Times New Roman"/>
          <w:color w:val="auto"/>
          <w:sz w:val="24"/>
          <w:szCs w:val="24"/>
          <w:lang w:val="en-US" w:eastAsia="zh-CN"/>
        </w:rPr>
        <w:t>现有项目1.3级</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仓库</w:t>
      </w:r>
      <w:r>
        <w:rPr>
          <w:rFonts w:hint="eastAsia" w:ascii="Times New Roman" w:hAnsi="Times New Roman" w:eastAsia="宋体" w:cs="Times New Roman"/>
          <w:color w:val="auto"/>
          <w:sz w:val="24"/>
          <w:szCs w:val="24"/>
        </w:rPr>
        <w:t>最大储存量为</w:t>
      </w:r>
      <w:r>
        <w:rPr>
          <w:rFonts w:hint="eastAsia" w:ascii="Times New Roman" w:hAnsi="Times New Roman" w:eastAsia="宋体" w:cs="Times New Roman"/>
          <w:color w:val="auto"/>
          <w:sz w:val="24"/>
          <w:szCs w:val="24"/>
          <w:lang w:val="en-US" w:eastAsia="zh-CN"/>
        </w:rPr>
        <w:t>60</w:t>
      </w:r>
      <w:r>
        <w:rPr>
          <w:rFonts w:hint="eastAsia" w:ascii="Times New Roman" w:hAnsi="Times New Roman" w:eastAsia="宋体" w:cs="Times New Roman"/>
          <w:color w:val="auto"/>
          <w:sz w:val="24"/>
          <w:szCs w:val="24"/>
        </w:rPr>
        <w:t>t</w:t>
      </w:r>
      <w:r>
        <w:rPr>
          <w:rFonts w:hint="eastAsia" w:ascii="Times New Roman" w:hAnsi="Times New Roman" w:eastAsia="宋体" w:cs="Times New Roman"/>
          <w:color w:val="auto"/>
          <w:sz w:val="24"/>
          <w:szCs w:val="24"/>
          <w:lang w:val="en-US" w:eastAsia="zh-CN"/>
        </w:rPr>
        <w:t>，扩建</w:t>
      </w:r>
      <w:r>
        <w:rPr>
          <w:rFonts w:hint="eastAsia" w:ascii="Times New Roman" w:hAnsi="Times New Roman" w:eastAsia="宋体" w:cs="Times New Roman"/>
          <w:color w:val="auto"/>
          <w:sz w:val="24"/>
          <w:szCs w:val="24"/>
        </w:rPr>
        <w:t>项目</w:t>
      </w:r>
      <w:r>
        <w:rPr>
          <w:rFonts w:hint="eastAsia" w:ascii="Times New Roman" w:hAnsi="Times New Roman" w:eastAsia="宋体" w:cs="Times New Roman"/>
          <w:color w:val="auto"/>
          <w:sz w:val="24"/>
          <w:szCs w:val="24"/>
          <w:lang w:val="en-US" w:eastAsia="zh-CN"/>
        </w:rPr>
        <w:t>1.3级</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仓库</w:t>
      </w:r>
      <w:r>
        <w:rPr>
          <w:rFonts w:hint="eastAsia" w:ascii="Times New Roman" w:hAnsi="Times New Roman" w:eastAsia="宋体" w:cs="Times New Roman"/>
          <w:color w:val="auto"/>
          <w:sz w:val="24"/>
          <w:szCs w:val="24"/>
        </w:rPr>
        <w:t>最大储存量为</w:t>
      </w:r>
      <w:r>
        <w:rPr>
          <w:rFonts w:hint="eastAsia" w:ascii="Times New Roman" w:hAnsi="Times New Roman" w:eastAsia="宋体" w:cs="Times New Roman"/>
          <w:color w:val="auto"/>
          <w:sz w:val="24"/>
          <w:szCs w:val="24"/>
          <w:lang w:val="en-US" w:eastAsia="zh-CN"/>
        </w:rPr>
        <w:t>40</w:t>
      </w:r>
      <w:r>
        <w:rPr>
          <w:rFonts w:hint="eastAsia" w:ascii="Times New Roman" w:hAnsi="Times New Roman" w:eastAsia="宋体" w:cs="Times New Roman"/>
          <w:color w:val="auto"/>
          <w:sz w:val="24"/>
          <w:szCs w:val="24"/>
        </w:rPr>
        <w:t>t</w:t>
      </w:r>
      <w:r>
        <w:rPr>
          <w:rFonts w:hint="eastAsia" w:ascii="Times New Roman" w:hAnsi="Times New Roman" w:eastAsia="宋体" w:cs="Times New Roman"/>
          <w:color w:val="auto"/>
          <w:sz w:val="24"/>
          <w:szCs w:val="24"/>
          <w:lang w:val="en-US" w:eastAsia="zh-CN"/>
        </w:rPr>
        <w:t>，1.1</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级</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仓库</w:t>
      </w:r>
      <w:r>
        <w:rPr>
          <w:rFonts w:hint="eastAsia" w:ascii="Times New Roman" w:hAnsi="Times New Roman" w:eastAsia="宋体" w:cs="Times New Roman"/>
          <w:color w:val="auto"/>
          <w:sz w:val="24"/>
          <w:szCs w:val="24"/>
        </w:rPr>
        <w:t>最大储存量为</w:t>
      </w:r>
      <w:r>
        <w:rPr>
          <w:rFonts w:hint="eastAsia" w:ascii="Times New Roman" w:hAnsi="Times New Roman" w:eastAsia="宋体" w:cs="Times New Roman"/>
          <w:color w:val="auto"/>
          <w:sz w:val="24"/>
          <w:szCs w:val="24"/>
          <w:lang w:val="en-US" w:eastAsia="zh-CN"/>
        </w:rPr>
        <w:t>10</w:t>
      </w:r>
      <w:r>
        <w:rPr>
          <w:rFonts w:hint="eastAsia" w:ascii="Times New Roman" w:hAnsi="Times New Roman" w:eastAsia="宋体" w:cs="Times New Roman"/>
          <w:color w:val="auto"/>
          <w:sz w:val="24"/>
          <w:szCs w:val="24"/>
        </w:rPr>
        <w:t>t。根据《危险化学品重大危险源辨识》(GB18218-2018)，</w:t>
      </w:r>
      <w:r>
        <w:rPr>
          <w:rFonts w:hint="eastAsia" w:ascii="Times New Roman" w:hAnsi="Times New Roman" w:eastAsia="宋体" w:cs="Times New Roman"/>
          <w:color w:val="auto"/>
          <w:sz w:val="24"/>
          <w:szCs w:val="24"/>
          <w:lang w:val="en-US" w:eastAsia="zh-CN"/>
        </w:rPr>
        <w:t>1.3级</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仓库</w:t>
      </w:r>
      <w:r>
        <w:rPr>
          <w:rFonts w:hint="eastAsia" w:ascii="Times New Roman" w:hAnsi="Times New Roman" w:eastAsia="宋体" w:cs="Times New Roman"/>
          <w:color w:val="auto"/>
          <w:sz w:val="24"/>
          <w:szCs w:val="24"/>
        </w:rPr>
        <w:t>属于《危险化学品重大危险源辨识》(GB18218-2018)表2中爆炸物，临界量10t，</w:t>
      </w:r>
      <w:r>
        <w:rPr>
          <w:rFonts w:hint="eastAsia" w:ascii="Times New Roman" w:hAnsi="Times New Roman" w:eastAsia="宋体" w:cs="Times New Roman"/>
          <w:color w:val="auto"/>
          <w:sz w:val="24"/>
          <w:szCs w:val="24"/>
          <w:lang w:val="en-US" w:eastAsia="zh-CN"/>
        </w:rPr>
        <w:t>1.1</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级</w:t>
      </w:r>
      <w:r>
        <w:rPr>
          <w:rFonts w:hint="eastAsia" w:ascii="Times New Roman" w:hAnsi="Times New Roman" w:eastAsia="宋体" w:cs="Times New Roman"/>
          <w:color w:val="auto"/>
          <w:sz w:val="24"/>
          <w:szCs w:val="24"/>
        </w:rPr>
        <w:t>烟花爆竹</w:t>
      </w:r>
      <w:r>
        <w:rPr>
          <w:rFonts w:hint="eastAsia" w:ascii="Times New Roman" w:hAnsi="Times New Roman" w:eastAsia="宋体" w:cs="Times New Roman"/>
          <w:color w:val="auto"/>
          <w:sz w:val="24"/>
          <w:szCs w:val="24"/>
          <w:lang w:val="en-US" w:eastAsia="zh-CN"/>
        </w:rPr>
        <w:t>仓库中爆炸物</w:t>
      </w:r>
      <w:r>
        <w:rPr>
          <w:rFonts w:hint="eastAsia" w:ascii="Times New Roman" w:hAnsi="Times New Roman" w:eastAsia="宋体" w:cs="Times New Roman"/>
          <w:color w:val="auto"/>
          <w:sz w:val="24"/>
          <w:szCs w:val="24"/>
        </w:rPr>
        <w:t>临界量1t</w:t>
      </w:r>
      <w:r>
        <w:rPr>
          <w:rFonts w:hint="eastAsia" w:cs="Times New Roman"/>
          <w:color w:val="auto"/>
          <w:sz w:val="24"/>
          <w:szCs w:val="24"/>
          <w:lang w:eastAsia="zh-CN"/>
        </w:rPr>
        <w:t>。</w:t>
      </w:r>
    </w:p>
    <w:p w14:paraId="189CE5BD">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w:t>
      </w:r>
      <w:r>
        <w:rPr>
          <w:rFonts w:hint="eastAsia" w:cs="Times New Roman"/>
          <w:b/>
          <w:bCs/>
          <w:color w:val="auto"/>
          <w:sz w:val="21"/>
          <w:szCs w:val="21"/>
          <w:lang w:val="en-US" w:eastAsia="zh-CN"/>
        </w:rPr>
        <w:t>5</w:t>
      </w:r>
      <w:r>
        <w:rPr>
          <w:rFonts w:hint="default" w:ascii="Times New Roman" w:hAnsi="Times New Roman" w:eastAsia="宋体" w:cs="Times New Roman"/>
          <w:b/>
          <w:bCs/>
          <w:color w:val="auto"/>
          <w:sz w:val="21"/>
          <w:szCs w:val="21"/>
          <w:lang w:val="en-US" w:eastAsia="zh-CN"/>
        </w:rPr>
        <w:t xml:space="preserve">  建设项目Q值确定表</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1535"/>
        <w:gridCol w:w="1511"/>
        <w:gridCol w:w="1908"/>
        <w:gridCol w:w="1250"/>
        <w:gridCol w:w="906"/>
        <w:gridCol w:w="906"/>
      </w:tblGrid>
      <w:tr w14:paraId="6FD1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Align w:val="center"/>
          </w:tcPr>
          <w:p w14:paraId="7C77D0BD">
            <w:pPr>
              <w:spacing w:line="360" w:lineRule="auto"/>
              <w:jc w:val="center"/>
              <w:rPr>
                <w:rFonts w:hint="eastAsia" w:eastAsia="宋体"/>
                <w:b/>
                <w:color w:val="auto"/>
                <w:lang w:eastAsia="zh-CN"/>
              </w:rPr>
            </w:pPr>
            <w:r>
              <w:rPr>
                <w:rFonts w:hint="eastAsia"/>
                <w:b/>
                <w:color w:val="auto"/>
                <w:lang w:val="en-US" w:eastAsia="zh-CN"/>
              </w:rPr>
              <w:t>地块</w:t>
            </w:r>
          </w:p>
        </w:tc>
        <w:tc>
          <w:tcPr>
            <w:tcW w:w="847" w:type="pct"/>
            <w:vAlign w:val="center"/>
          </w:tcPr>
          <w:p w14:paraId="0ACC2920">
            <w:pPr>
              <w:spacing w:line="360" w:lineRule="auto"/>
              <w:jc w:val="center"/>
              <w:rPr>
                <w:rFonts w:hint="eastAsia"/>
                <w:b/>
                <w:color w:val="auto"/>
              </w:rPr>
            </w:pPr>
            <w:r>
              <w:rPr>
                <w:rFonts w:hint="eastAsia"/>
                <w:b/>
                <w:color w:val="auto"/>
              </w:rPr>
              <w:t>危险物质名称</w:t>
            </w:r>
          </w:p>
        </w:tc>
        <w:tc>
          <w:tcPr>
            <w:tcW w:w="833" w:type="pct"/>
            <w:vAlign w:val="center"/>
          </w:tcPr>
          <w:p w14:paraId="4C5F0A63">
            <w:pPr>
              <w:spacing w:line="360" w:lineRule="auto"/>
              <w:jc w:val="center"/>
              <w:rPr>
                <w:b/>
                <w:color w:val="auto"/>
              </w:rPr>
            </w:pPr>
            <w:r>
              <w:rPr>
                <w:rFonts w:hint="eastAsia"/>
                <w:b/>
                <w:color w:val="auto"/>
              </w:rPr>
              <w:t>存放地点</w:t>
            </w:r>
          </w:p>
        </w:tc>
        <w:tc>
          <w:tcPr>
            <w:tcW w:w="1053" w:type="pct"/>
            <w:vAlign w:val="center"/>
          </w:tcPr>
          <w:p w14:paraId="57F8D8BC">
            <w:pPr>
              <w:spacing w:line="360" w:lineRule="auto"/>
              <w:jc w:val="center"/>
              <w:rPr>
                <w:b/>
                <w:color w:val="auto"/>
              </w:rPr>
            </w:pPr>
            <w:r>
              <w:rPr>
                <w:rFonts w:hint="eastAsia"/>
                <w:b/>
                <w:color w:val="auto"/>
              </w:rPr>
              <w:t>最大贮存药量</w:t>
            </w:r>
          </w:p>
        </w:tc>
        <w:tc>
          <w:tcPr>
            <w:tcW w:w="690" w:type="pct"/>
            <w:vAlign w:val="center"/>
          </w:tcPr>
          <w:p w14:paraId="3A8D7FB9">
            <w:pPr>
              <w:spacing w:line="360" w:lineRule="auto"/>
              <w:jc w:val="center"/>
              <w:rPr>
                <w:rFonts w:hint="eastAsia"/>
                <w:b/>
                <w:color w:val="auto"/>
              </w:rPr>
            </w:pPr>
            <w:r>
              <w:rPr>
                <w:rFonts w:hint="eastAsia" w:ascii="Times New Roman" w:hAnsi="Times New Roman" w:eastAsia="宋体" w:cs="Times New Roman"/>
                <w:b/>
                <w:color w:val="auto"/>
                <w:sz w:val="21"/>
                <w:szCs w:val="21"/>
                <w:lang w:val="en-US" w:eastAsia="zh-CN"/>
              </w:rPr>
              <w:t>在线使用量</w:t>
            </w:r>
            <w:r>
              <w:rPr>
                <w:rFonts w:hint="default" w:ascii="Times New Roman" w:hAnsi="Times New Roman" w:eastAsia="宋体" w:cs="Times New Roman"/>
                <w:b/>
                <w:color w:val="auto"/>
                <w:sz w:val="21"/>
                <w:szCs w:val="21"/>
              </w:rPr>
              <w:t>(t)</w:t>
            </w:r>
          </w:p>
        </w:tc>
        <w:tc>
          <w:tcPr>
            <w:tcW w:w="500" w:type="pct"/>
            <w:vAlign w:val="center"/>
          </w:tcPr>
          <w:p w14:paraId="2B982FAA">
            <w:pPr>
              <w:spacing w:line="360" w:lineRule="auto"/>
              <w:jc w:val="center"/>
              <w:rPr>
                <w:b/>
                <w:color w:val="auto"/>
              </w:rPr>
            </w:pPr>
            <w:r>
              <w:rPr>
                <w:rFonts w:hint="eastAsia"/>
                <w:b/>
                <w:color w:val="auto"/>
              </w:rPr>
              <w:t>临界量</w:t>
            </w:r>
          </w:p>
        </w:tc>
        <w:tc>
          <w:tcPr>
            <w:tcW w:w="500" w:type="pct"/>
            <w:vAlign w:val="center"/>
          </w:tcPr>
          <w:p w14:paraId="576F7863">
            <w:pPr>
              <w:spacing w:line="360" w:lineRule="auto"/>
              <w:jc w:val="center"/>
              <w:rPr>
                <w:rFonts w:hint="eastAsia"/>
                <w:b/>
                <w:color w:val="auto"/>
              </w:rPr>
            </w:pPr>
            <w:r>
              <w:rPr>
                <w:rFonts w:hint="default" w:ascii="Times New Roman" w:hAnsi="Times New Roman" w:eastAsia="宋体" w:cs="Times New Roman"/>
                <w:b/>
                <w:color w:val="auto"/>
                <w:sz w:val="21"/>
                <w:szCs w:val="21"/>
              </w:rPr>
              <w:t>qn/Qn</w:t>
            </w:r>
          </w:p>
        </w:tc>
      </w:tr>
      <w:tr w14:paraId="2578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Merge w:val="restart"/>
            <w:vAlign w:val="center"/>
          </w:tcPr>
          <w:p w14:paraId="3DCD2889">
            <w:pPr>
              <w:spacing w:line="360" w:lineRule="auto"/>
              <w:jc w:val="center"/>
              <w:rPr>
                <w:rFonts w:hint="default"/>
                <w:b/>
                <w:color w:val="auto"/>
                <w:lang w:val="en-US" w:eastAsia="zh-CN"/>
              </w:rPr>
            </w:pPr>
            <w:r>
              <w:rPr>
                <w:rFonts w:hint="eastAsia"/>
                <w:b/>
                <w:color w:val="auto"/>
                <w:lang w:val="en-US" w:eastAsia="zh-CN"/>
              </w:rPr>
              <w:t>现有项目</w:t>
            </w:r>
          </w:p>
        </w:tc>
        <w:tc>
          <w:tcPr>
            <w:tcW w:w="847" w:type="pct"/>
            <w:vAlign w:val="center"/>
          </w:tcPr>
          <w:p w14:paraId="62F38B6F">
            <w:pPr>
              <w:spacing w:line="360" w:lineRule="auto"/>
              <w:jc w:val="center"/>
              <w:rPr>
                <w:rFonts w:hint="eastAsia"/>
                <w:b/>
                <w:color w:val="auto"/>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833" w:type="pct"/>
            <w:vAlign w:val="center"/>
          </w:tcPr>
          <w:p w14:paraId="07799F2D">
            <w:pPr>
              <w:spacing w:line="360" w:lineRule="auto"/>
              <w:jc w:val="center"/>
              <w:rPr>
                <w:rFonts w:hint="default" w:ascii="Times New Roman" w:hAnsi="Times New Roman" w:cs="Times New Roman"/>
                <w:b/>
                <w:color w:val="auto"/>
              </w:rPr>
            </w:pPr>
            <w:r>
              <w:rPr>
                <w:rFonts w:hint="default" w:ascii="Times New Roman" w:hAnsi="Times New Roman" w:eastAsia="宋体" w:cs="Times New Roman"/>
                <w:b w:val="0"/>
                <w:bCs w:val="0"/>
                <w:color w:val="auto"/>
                <w:kern w:val="2"/>
                <w:sz w:val="21"/>
                <w:szCs w:val="21"/>
                <w:lang w:val="en-US" w:eastAsia="zh-CN" w:bidi="ar-SA"/>
              </w:rPr>
              <w:t>①号烟花爆竹成品库</w:t>
            </w:r>
          </w:p>
        </w:tc>
        <w:tc>
          <w:tcPr>
            <w:tcW w:w="1053" w:type="pct"/>
            <w:vAlign w:val="center"/>
          </w:tcPr>
          <w:p w14:paraId="2B1D874A">
            <w:pPr>
              <w:spacing w:line="360" w:lineRule="auto"/>
              <w:jc w:val="center"/>
              <w:rPr>
                <w:rFonts w:hint="eastAsia"/>
                <w:b/>
                <w:color w:val="auto"/>
              </w:rPr>
            </w:pPr>
            <w:r>
              <w:rPr>
                <w:rFonts w:hint="default" w:ascii="Times New Roman" w:hAnsi="Times New Roman" w:eastAsia="宋体" w:cs="Times New Roman"/>
                <w:b w:val="0"/>
                <w:bCs w:val="0"/>
                <w:color w:val="auto"/>
                <w:kern w:val="2"/>
                <w:sz w:val="21"/>
                <w:szCs w:val="21"/>
                <w:lang w:val="en-US" w:eastAsia="zh-CN" w:bidi="ar-SA"/>
              </w:rPr>
              <w:t>20000kg</w:t>
            </w:r>
          </w:p>
        </w:tc>
        <w:tc>
          <w:tcPr>
            <w:tcW w:w="690" w:type="pct"/>
            <w:vAlign w:val="center"/>
          </w:tcPr>
          <w:p w14:paraId="4F1AA0ED">
            <w:pPr>
              <w:spacing w:line="360" w:lineRule="auto"/>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0</w:t>
            </w:r>
          </w:p>
        </w:tc>
        <w:tc>
          <w:tcPr>
            <w:tcW w:w="500" w:type="pct"/>
            <w:vAlign w:val="center"/>
          </w:tcPr>
          <w:p w14:paraId="0DEC7022">
            <w:pPr>
              <w:spacing w:line="360" w:lineRule="auto"/>
              <w:jc w:val="center"/>
              <w:rPr>
                <w:rFonts w:hint="default" w:eastAsia="宋体"/>
                <w:b/>
                <w:color w:val="auto"/>
                <w:lang w:val="en-US" w:eastAsia="zh-CN"/>
              </w:rPr>
            </w:pPr>
            <w:r>
              <w:rPr>
                <w:rFonts w:hint="eastAsia"/>
                <w:b/>
                <w:color w:val="auto"/>
                <w:lang w:val="en-US" w:eastAsia="zh-CN"/>
              </w:rPr>
              <w:t>10t</w:t>
            </w:r>
          </w:p>
        </w:tc>
        <w:tc>
          <w:tcPr>
            <w:tcW w:w="500" w:type="pct"/>
            <w:vAlign w:val="center"/>
          </w:tcPr>
          <w:p w14:paraId="56B6CEDD">
            <w:pPr>
              <w:spacing w:line="360" w:lineRule="auto"/>
              <w:jc w:val="center"/>
              <w:rPr>
                <w:rFonts w:hint="default"/>
                <w:b/>
                <w:color w:val="auto"/>
                <w:lang w:val="en-US" w:eastAsia="zh-CN"/>
              </w:rPr>
            </w:pPr>
            <w:r>
              <w:rPr>
                <w:rFonts w:hint="eastAsia"/>
                <w:b/>
                <w:color w:val="auto"/>
                <w:lang w:val="en-US" w:eastAsia="zh-CN"/>
              </w:rPr>
              <w:t>2</w:t>
            </w:r>
          </w:p>
        </w:tc>
      </w:tr>
      <w:tr w14:paraId="488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Merge w:val="continue"/>
            <w:vAlign w:val="center"/>
          </w:tcPr>
          <w:p w14:paraId="2B8C901C">
            <w:pPr>
              <w:spacing w:line="360" w:lineRule="auto"/>
              <w:jc w:val="center"/>
              <w:rPr>
                <w:rFonts w:hint="eastAsia"/>
                <w:b/>
                <w:color w:val="auto"/>
                <w:lang w:val="en-US" w:eastAsia="zh-CN"/>
              </w:rPr>
            </w:pPr>
          </w:p>
        </w:tc>
        <w:tc>
          <w:tcPr>
            <w:tcW w:w="847" w:type="pct"/>
            <w:shd w:val="clear" w:color="auto" w:fill="auto"/>
            <w:vAlign w:val="center"/>
          </w:tcPr>
          <w:p w14:paraId="763C2211">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833" w:type="pct"/>
            <w:shd w:val="clear" w:color="auto" w:fill="auto"/>
            <w:vAlign w:val="center"/>
          </w:tcPr>
          <w:p w14:paraId="346EC846">
            <w:pPr>
              <w:pStyle w:val="30"/>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②号烟花爆竹成品库</w:t>
            </w:r>
          </w:p>
        </w:tc>
        <w:tc>
          <w:tcPr>
            <w:tcW w:w="1053" w:type="pct"/>
            <w:shd w:val="clear" w:color="auto" w:fill="auto"/>
            <w:vAlign w:val="center"/>
          </w:tcPr>
          <w:p w14:paraId="058CA2B2">
            <w:pPr>
              <w:pStyle w:val="30"/>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20000kg</w:t>
            </w:r>
          </w:p>
        </w:tc>
        <w:tc>
          <w:tcPr>
            <w:tcW w:w="690" w:type="pct"/>
            <w:shd w:val="clear" w:color="auto" w:fill="auto"/>
            <w:vAlign w:val="center"/>
          </w:tcPr>
          <w:p w14:paraId="0FE2C6D4">
            <w:pPr>
              <w:pStyle w:val="30"/>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0</w:t>
            </w:r>
          </w:p>
        </w:tc>
        <w:tc>
          <w:tcPr>
            <w:tcW w:w="500" w:type="pct"/>
            <w:vAlign w:val="center"/>
          </w:tcPr>
          <w:p w14:paraId="3632DCA5">
            <w:pPr>
              <w:spacing w:line="360" w:lineRule="auto"/>
              <w:jc w:val="center"/>
              <w:rPr>
                <w:rFonts w:hint="default" w:eastAsia="宋体"/>
                <w:b/>
                <w:color w:val="auto"/>
                <w:lang w:val="en-US" w:eastAsia="zh-CN"/>
              </w:rPr>
            </w:pPr>
            <w:r>
              <w:rPr>
                <w:rFonts w:hint="eastAsia"/>
                <w:b/>
                <w:color w:val="auto"/>
                <w:lang w:val="en-US" w:eastAsia="zh-CN"/>
              </w:rPr>
              <w:t>10t</w:t>
            </w:r>
          </w:p>
        </w:tc>
        <w:tc>
          <w:tcPr>
            <w:tcW w:w="500" w:type="pct"/>
            <w:vAlign w:val="center"/>
          </w:tcPr>
          <w:p w14:paraId="1EFE9A0F">
            <w:pPr>
              <w:spacing w:line="360" w:lineRule="auto"/>
              <w:jc w:val="center"/>
              <w:rPr>
                <w:rFonts w:hint="default"/>
                <w:b/>
                <w:color w:val="auto"/>
                <w:lang w:val="en-US" w:eastAsia="zh-CN"/>
              </w:rPr>
            </w:pPr>
            <w:r>
              <w:rPr>
                <w:rFonts w:hint="eastAsia"/>
                <w:b/>
                <w:color w:val="auto"/>
                <w:lang w:val="en-US" w:eastAsia="zh-CN"/>
              </w:rPr>
              <w:t>2</w:t>
            </w:r>
          </w:p>
        </w:tc>
      </w:tr>
      <w:tr w14:paraId="793F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Merge w:val="continue"/>
            <w:vAlign w:val="center"/>
          </w:tcPr>
          <w:p w14:paraId="610302D4">
            <w:pPr>
              <w:spacing w:line="360" w:lineRule="auto"/>
              <w:jc w:val="center"/>
              <w:rPr>
                <w:rFonts w:hint="eastAsia"/>
                <w:b/>
                <w:color w:val="auto"/>
                <w:lang w:val="en-US" w:eastAsia="zh-CN"/>
              </w:rPr>
            </w:pPr>
          </w:p>
        </w:tc>
        <w:tc>
          <w:tcPr>
            <w:tcW w:w="847" w:type="pct"/>
            <w:shd w:val="clear" w:color="auto" w:fill="auto"/>
            <w:vAlign w:val="center"/>
          </w:tcPr>
          <w:p w14:paraId="1CC9FE13">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833" w:type="pct"/>
            <w:shd w:val="clear" w:color="auto" w:fill="auto"/>
            <w:vAlign w:val="center"/>
          </w:tcPr>
          <w:p w14:paraId="555A7587">
            <w:pPr>
              <w:pStyle w:val="30"/>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③号烟花爆竹成品库</w:t>
            </w:r>
          </w:p>
        </w:tc>
        <w:tc>
          <w:tcPr>
            <w:tcW w:w="1053" w:type="pct"/>
            <w:shd w:val="clear" w:color="auto" w:fill="auto"/>
            <w:vAlign w:val="center"/>
          </w:tcPr>
          <w:p w14:paraId="13EC2ADC">
            <w:pPr>
              <w:numPr>
                <w:ilvl w:val="0"/>
                <w:numId w:val="0"/>
              </w:numPr>
              <w:ind w:left="0" w:lef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20000kg</w:t>
            </w:r>
          </w:p>
        </w:tc>
        <w:tc>
          <w:tcPr>
            <w:tcW w:w="690" w:type="pct"/>
            <w:shd w:val="clear" w:color="auto" w:fill="auto"/>
            <w:vAlign w:val="center"/>
          </w:tcPr>
          <w:p w14:paraId="6BB67006">
            <w:pPr>
              <w:numPr>
                <w:ilvl w:val="0"/>
                <w:numId w:val="0"/>
              </w:numPr>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0</w:t>
            </w:r>
          </w:p>
        </w:tc>
        <w:tc>
          <w:tcPr>
            <w:tcW w:w="500" w:type="pct"/>
            <w:vAlign w:val="center"/>
          </w:tcPr>
          <w:p w14:paraId="341D6A09">
            <w:pPr>
              <w:spacing w:line="360" w:lineRule="auto"/>
              <w:jc w:val="center"/>
              <w:rPr>
                <w:rFonts w:hint="default" w:eastAsia="宋体"/>
                <w:b/>
                <w:color w:val="auto"/>
                <w:lang w:val="en-US" w:eastAsia="zh-CN"/>
              </w:rPr>
            </w:pPr>
            <w:r>
              <w:rPr>
                <w:rFonts w:hint="eastAsia"/>
                <w:b/>
                <w:color w:val="auto"/>
                <w:lang w:val="en-US" w:eastAsia="zh-CN"/>
              </w:rPr>
              <w:t>10t</w:t>
            </w:r>
          </w:p>
        </w:tc>
        <w:tc>
          <w:tcPr>
            <w:tcW w:w="500" w:type="pct"/>
            <w:vAlign w:val="center"/>
          </w:tcPr>
          <w:p w14:paraId="5FB93EA0">
            <w:pPr>
              <w:spacing w:line="360" w:lineRule="auto"/>
              <w:jc w:val="center"/>
              <w:rPr>
                <w:rFonts w:hint="default"/>
                <w:b/>
                <w:color w:val="auto"/>
                <w:lang w:val="en-US" w:eastAsia="zh-CN"/>
              </w:rPr>
            </w:pPr>
            <w:r>
              <w:rPr>
                <w:rFonts w:hint="eastAsia"/>
                <w:b/>
                <w:color w:val="auto"/>
                <w:lang w:val="en-US" w:eastAsia="zh-CN"/>
              </w:rPr>
              <w:t>2</w:t>
            </w:r>
          </w:p>
        </w:tc>
      </w:tr>
      <w:tr w14:paraId="17F0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Merge w:val="restart"/>
            <w:vAlign w:val="center"/>
          </w:tcPr>
          <w:p w14:paraId="1D53F691">
            <w:pPr>
              <w:pStyle w:val="31"/>
              <w:ind w:firstLine="0" w:firstLineChars="0"/>
              <w:jc w:val="center"/>
              <w:rPr>
                <w:rFonts w:hint="default"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地块一</w:t>
            </w:r>
          </w:p>
        </w:tc>
        <w:tc>
          <w:tcPr>
            <w:tcW w:w="847" w:type="pct"/>
            <w:vAlign w:val="center"/>
          </w:tcPr>
          <w:p w14:paraId="49241C3D">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833" w:type="pct"/>
            <w:vAlign w:val="center"/>
          </w:tcPr>
          <w:p w14:paraId="70C3CCF2">
            <w:pPr>
              <w:pStyle w:val="31"/>
              <w:numPr>
                <w:ilvl w:val="0"/>
                <w:numId w:val="0"/>
              </w:numPr>
              <w:ind w:leftChars="0"/>
              <w:jc w:val="center"/>
              <w:rPr>
                <w:rFonts w:hint="default" w:ascii="Times New Roman" w:hAnsi="Times New Roman" w:eastAsia="宋体" w:cs="Times New Roman"/>
                <w:b/>
                <w:color w:val="auto"/>
                <w:sz w:val="21"/>
                <w:szCs w:val="21"/>
              </w:rPr>
            </w:pPr>
            <w:r>
              <w:rPr>
                <w:rFonts w:hint="eastAsia"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rPr>
              <w:t>烟花爆竹成品库</w:t>
            </w:r>
          </w:p>
        </w:tc>
        <w:tc>
          <w:tcPr>
            <w:tcW w:w="1053" w:type="pct"/>
            <w:vAlign w:val="center"/>
          </w:tcPr>
          <w:p w14:paraId="58F79505">
            <w:pPr>
              <w:pStyle w:val="31"/>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20000kg</w:t>
            </w:r>
          </w:p>
        </w:tc>
        <w:tc>
          <w:tcPr>
            <w:tcW w:w="690" w:type="pct"/>
            <w:vAlign w:val="center"/>
          </w:tcPr>
          <w:p w14:paraId="24F31EB4">
            <w:pPr>
              <w:pStyle w:val="31"/>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500" w:type="pct"/>
            <w:vAlign w:val="center"/>
          </w:tcPr>
          <w:p w14:paraId="4ECA84F4">
            <w:pPr>
              <w:pStyle w:val="31"/>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10t</w:t>
            </w:r>
          </w:p>
        </w:tc>
        <w:tc>
          <w:tcPr>
            <w:tcW w:w="500" w:type="pct"/>
            <w:vAlign w:val="center"/>
          </w:tcPr>
          <w:p w14:paraId="2BEC17AE">
            <w:pPr>
              <w:pStyle w:val="31"/>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r>
      <w:tr w14:paraId="3EAE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Merge w:val="continue"/>
            <w:vAlign w:val="center"/>
          </w:tcPr>
          <w:p w14:paraId="6F6373C0">
            <w:pPr>
              <w:pStyle w:val="31"/>
              <w:ind w:firstLine="0" w:firstLineChars="0"/>
              <w:jc w:val="center"/>
              <w:rPr>
                <w:rFonts w:ascii="Times New Roman" w:hAnsi="Times New Roman" w:eastAsia="宋体" w:cs="Times New Roman"/>
                <w:color w:val="auto"/>
                <w:sz w:val="21"/>
              </w:rPr>
            </w:pPr>
          </w:p>
        </w:tc>
        <w:tc>
          <w:tcPr>
            <w:tcW w:w="847" w:type="pct"/>
            <w:vAlign w:val="center"/>
          </w:tcPr>
          <w:p w14:paraId="1819C9A0">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ascii="Times New Roman" w:hAnsi="Times New Roman" w:eastAsia="宋体" w:cs="Times New Roman"/>
                <w:color w:val="auto"/>
                <w:sz w:val="21"/>
              </w:rPr>
              <w:t>C、D级</w:t>
            </w:r>
            <w:r>
              <w:rPr>
                <w:rFonts w:hint="eastAsia" w:ascii="Times New Roman" w:hAnsi="Times New Roman" w:eastAsia="宋体" w:cs="Times New Roman"/>
                <w:color w:val="auto"/>
                <w:sz w:val="21"/>
              </w:rPr>
              <w:t>，1.3级）</w:t>
            </w:r>
          </w:p>
        </w:tc>
        <w:tc>
          <w:tcPr>
            <w:tcW w:w="833" w:type="pct"/>
            <w:vAlign w:val="center"/>
          </w:tcPr>
          <w:p w14:paraId="5432C837">
            <w:pPr>
              <w:pStyle w:val="31"/>
              <w:numPr>
                <w:ilvl w:val="0"/>
                <w:numId w:val="0"/>
              </w:numPr>
              <w:ind w:left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rPr>
              <w:t>烟花爆竹成品库</w:t>
            </w:r>
          </w:p>
        </w:tc>
        <w:tc>
          <w:tcPr>
            <w:tcW w:w="1053" w:type="pct"/>
          </w:tcPr>
          <w:p w14:paraId="0B4B68FE">
            <w:pPr>
              <w:spacing w:line="360" w:lineRule="auto"/>
              <w:jc w:val="center"/>
              <w:rPr>
                <w:color w:val="auto"/>
              </w:rPr>
            </w:pPr>
            <w:r>
              <w:rPr>
                <w:rFonts w:hint="eastAsia"/>
                <w:color w:val="auto"/>
                <w:szCs w:val="21"/>
              </w:rPr>
              <w:t>20000kg</w:t>
            </w:r>
          </w:p>
        </w:tc>
        <w:tc>
          <w:tcPr>
            <w:tcW w:w="690" w:type="pct"/>
          </w:tcPr>
          <w:p w14:paraId="56DECD8A">
            <w:pPr>
              <w:spacing w:line="360" w:lineRule="auto"/>
              <w:jc w:val="center"/>
              <w:rPr>
                <w:rFonts w:hint="eastAsia" w:eastAsia="宋体"/>
                <w:color w:val="auto"/>
                <w:szCs w:val="21"/>
                <w:lang w:val="en-US" w:eastAsia="zh-CN"/>
              </w:rPr>
            </w:pPr>
            <w:r>
              <w:rPr>
                <w:rFonts w:hint="eastAsia"/>
                <w:color w:val="auto"/>
                <w:szCs w:val="21"/>
                <w:lang w:val="en-US" w:eastAsia="zh-CN"/>
              </w:rPr>
              <w:t>0</w:t>
            </w:r>
          </w:p>
        </w:tc>
        <w:tc>
          <w:tcPr>
            <w:tcW w:w="500" w:type="pct"/>
          </w:tcPr>
          <w:p w14:paraId="2FD8A8E4">
            <w:pPr>
              <w:spacing w:line="360" w:lineRule="auto"/>
              <w:jc w:val="center"/>
              <w:rPr>
                <w:color w:val="auto"/>
              </w:rPr>
            </w:pPr>
            <w:r>
              <w:rPr>
                <w:rFonts w:hint="eastAsia"/>
                <w:color w:val="auto"/>
                <w:szCs w:val="21"/>
              </w:rPr>
              <w:t>10t</w:t>
            </w:r>
          </w:p>
        </w:tc>
        <w:tc>
          <w:tcPr>
            <w:tcW w:w="500" w:type="pct"/>
          </w:tcPr>
          <w:p w14:paraId="7EABDDB2">
            <w:pPr>
              <w:spacing w:line="360" w:lineRule="auto"/>
              <w:jc w:val="center"/>
              <w:rPr>
                <w:rFonts w:hint="eastAsia" w:eastAsia="宋体"/>
                <w:color w:val="auto"/>
                <w:szCs w:val="21"/>
                <w:lang w:val="en-US" w:eastAsia="zh-CN"/>
              </w:rPr>
            </w:pPr>
            <w:r>
              <w:rPr>
                <w:rFonts w:hint="eastAsia"/>
                <w:color w:val="auto"/>
                <w:szCs w:val="21"/>
                <w:lang w:val="en-US" w:eastAsia="zh-CN"/>
              </w:rPr>
              <w:t>2</w:t>
            </w:r>
          </w:p>
        </w:tc>
      </w:tr>
      <w:tr w14:paraId="52A9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pct"/>
            <w:vAlign w:val="center"/>
          </w:tcPr>
          <w:p w14:paraId="3A37A9A7">
            <w:pPr>
              <w:pStyle w:val="31"/>
              <w:ind w:firstLine="0" w:firstLineChars="0"/>
              <w:jc w:val="center"/>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地块二</w:t>
            </w:r>
          </w:p>
        </w:tc>
        <w:tc>
          <w:tcPr>
            <w:tcW w:w="847" w:type="pct"/>
            <w:vAlign w:val="center"/>
          </w:tcPr>
          <w:p w14:paraId="3296502C">
            <w:pPr>
              <w:pStyle w:val="31"/>
              <w:ind w:firstLine="0" w:firstLineChars="0"/>
              <w:jc w:val="center"/>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烟花爆竹（</w:t>
            </w:r>
            <w:r>
              <w:rPr>
                <w:rFonts w:hint="eastAsia" w:ascii="Times New Roman" w:hAnsi="Times New Roman" w:eastAsia="宋体" w:cs="Times New Roman"/>
                <w:color w:val="auto"/>
                <w:sz w:val="21"/>
                <w:lang w:val="en-US" w:eastAsia="zh-CN"/>
              </w:rPr>
              <w:t>A</w:t>
            </w:r>
            <w:r>
              <w:rPr>
                <w:rFonts w:ascii="Times New Roman" w:hAnsi="Times New Roman" w:eastAsia="宋体" w:cs="Times New Roman"/>
                <w:color w:val="auto"/>
                <w:sz w:val="21"/>
              </w:rPr>
              <w:t>、</w:t>
            </w:r>
            <w:r>
              <w:rPr>
                <w:rFonts w:hint="eastAsia" w:ascii="Times New Roman" w:hAnsi="Times New Roman" w:eastAsia="宋体" w:cs="Times New Roman"/>
                <w:color w:val="auto"/>
                <w:sz w:val="21"/>
                <w:lang w:val="en-US" w:eastAsia="zh-CN"/>
              </w:rPr>
              <w:t>B</w:t>
            </w:r>
            <w:r>
              <w:rPr>
                <w:rFonts w:ascii="Times New Roman" w:hAnsi="Times New Roman" w:eastAsia="宋体" w:cs="Times New Roman"/>
                <w:color w:val="auto"/>
                <w:sz w:val="21"/>
              </w:rPr>
              <w:t>级</w:t>
            </w:r>
            <w:r>
              <w:rPr>
                <w:rFonts w:hint="eastAsia"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1</w:t>
            </w:r>
            <w:r>
              <w:rPr>
                <w:rFonts w:hint="eastAsia" w:ascii="Times New Roman" w:hAnsi="Times New Roman" w:eastAsia="宋体" w:cs="Times New Roman"/>
                <w:color w:val="auto"/>
                <w:sz w:val="21"/>
                <w:vertAlign w:val="superscript"/>
                <w:lang w:val="en-US" w:eastAsia="zh-CN"/>
              </w:rPr>
              <w:t>-2</w:t>
            </w:r>
            <w:r>
              <w:rPr>
                <w:rFonts w:hint="eastAsia" w:ascii="Times New Roman" w:hAnsi="Times New Roman" w:eastAsia="宋体" w:cs="Times New Roman"/>
                <w:color w:val="auto"/>
                <w:sz w:val="21"/>
              </w:rPr>
              <w:t>级）</w:t>
            </w:r>
          </w:p>
        </w:tc>
        <w:tc>
          <w:tcPr>
            <w:tcW w:w="833" w:type="pct"/>
            <w:vAlign w:val="center"/>
          </w:tcPr>
          <w:p w14:paraId="62CAACC2">
            <w:pPr>
              <w:pStyle w:val="31"/>
              <w:numPr>
                <w:ilvl w:val="0"/>
                <w:numId w:val="0"/>
              </w:numPr>
              <w:ind w:lef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烟花爆竹成品库</w:t>
            </w:r>
          </w:p>
        </w:tc>
        <w:tc>
          <w:tcPr>
            <w:tcW w:w="1053" w:type="pct"/>
          </w:tcPr>
          <w:p w14:paraId="1C3C1DAA">
            <w:pPr>
              <w:spacing w:line="360" w:lineRule="auto"/>
              <w:jc w:val="center"/>
              <w:rPr>
                <w:color w:val="auto"/>
              </w:rPr>
            </w:pPr>
            <w:r>
              <w:rPr>
                <w:rFonts w:hint="eastAsia"/>
                <w:color w:val="auto"/>
                <w:szCs w:val="21"/>
                <w:lang w:val="en-US" w:eastAsia="zh-CN"/>
              </w:rPr>
              <w:t>1</w:t>
            </w:r>
            <w:r>
              <w:rPr>
                <w:rFonts w:hint="eastAsia"/>
                <w:color w:val="auto"/>
                <w:szCs w:val="21"/>
              </w:rPr>
              <w:t>0000kg</w:t>
            </w:r>
          </w:p>
        </w:tc>
        <w:tc>
          <w:tcPr>
            <w:tcW w:w="690" w:type="pct"/>
          </w:tcPr>
          <w:p w14:paraId="5F725F84">
            <w:pPr>
              <w:spacing w:line="360" w:lineRule="auto"/>
              <w:jc w:val="center"/>
              <w:rPr>
                <w:rFonts w:hint="default"/>
                <w:color w:val="auto"/>
                <w:szCs w:val="21"/>
                <w:lang w:val="en-US" w:eastAsia="zh-CN"/>
              </w:rPr>
            </w:pPr>
            <w:r>
              <w:rPr>
                <w:rFonts w:hint="eastAsia"/>
                <w:color w:val="auto"/>
                <w:szCs w:val="21"/>
                <w:lang w:val="en-US" w:eastAsia="zh-CN"/>
              </w:rPr>
              <w:t>0</w:t>
            </w:r>
          </w:p>
        </w:tc>
        <w:tc>
          <w:tcPr>
            <w:tcW w:w="500" w:type="pct"/>
          </w:tcPr>
          <w:p w14:paraId="70967A89">
            <w:pPr>
              <w:spacing w:line="360" w:lineRule="auto"/>
              <w:jc w:val="center"/>
              <w:rPr>
                <w:color w:val="auto"/>
              </w:rPr>
            </w:pPr>
            <w:r>
              <w:rPr>
                <w:rFonts w:hint="eastAsia"/>
                <w:color w:val="auto"/>
                <w:szCs w:val="21"/>
              </w:rPr>
              <w:t>1t</w:t>
            </w:r>
          </w:p>
        </w:tc>
        <w:tc>
          <w:tcPr>
            <w:tcW w:w="500" w:type="pct"/>
          </w:tcPr>
          <w:p w14:paraId="5173E4F9">
            <w:pPr>
              <w:spacing w:line="360" w:lineRule="auto"/>
              <w:jc w:val="center"/>
              <w:rPr>
                <w:rFonts w:hint="default" w:eastAsia="宋体"/>
                <w:color w:val="auto"/>
                <w:szCs w:val="21"/>
                <w:lang w:val="en-US" w:eastAsia="zh-CN"/>
              </w:rPr>
            </w:pPr>
            <w:r>
              <w:rPr>
                <w:rFonts w:hint="eastAsia"/>
                <w:color w:val="auto"/>
                <w:szCs w:val="21"/>
                <w:lang w:val="en-US" w:eastAsia="zh-CN"/>
              </w:rPr>
              <w:t>10</w:t>
            </w:r>
          </w:p>
        </w:tc>
      </w:tr>
      <w:tr w14:paraId="62F7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gridSpan w:val="3"/>
            <w:vAlign w:val="center"/>
          </w:tcPr>
          <w:p w14:paraId="40CC0DE0">
            <w:pPr>
              <w:pStyle w:val="31"/>
              <w:numPr>
                <w:ilvl w:val="0"/>
                <w:numId w:val="0"/>
              </w:numPr>
              <w:ind w:leftChars="0"/>
              <w:jc w:val="center"/>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lang w:val="en-US" w:eastAsia="zh-CN"/>
              </w:rPr>
              <w:t>合计</w:t>
            </w:r>
          </w:p>
        </w:tc>
        <w:tc>
          <w:tcPr>
            <w:tcW w:w="1053" w:type="pct"/>
          </w:tcPr>
          <w:p w14:paraId="1D8AFDB4">
            <w:pPr>
              <w:spacing w:line="360" w:lineRule="auto"/>
              <w:jc w:val="center"/>
              <w:rPr>
                <w:rFonts w:hint="eastAsia"/>
                <w:b/>
                <w:bCs/>
                <w:color w:val="auto"/>
                <w:szCs w:val="21"/>
                <w:lang w:val="en-US" w:eastAsia="zh-CN"/>
              </w:rPr>
            </w:pPr>
          </w:p>
        </w:tc>
        <w:tc>
          <w:tcPr>
            <w:tcW w:w="690" w:type="pct"/>
          </w:tcPr>
          <w:p w14:paraId="55CC02DA">
            <w:pPr>
              <w:spacing w:line="360" w:lineRule="auto"/>
              <w:jc w:val="center"/>
              <w:rPr>
                <w:rFonts w:hint="eastAsia"/>
                <w:b/>
                <w:bCs/>
                <w:color w:val="auto"/>
                <w:szCs w:val="21"/>
                <w:lang w:val="en-US" w:eastAsia="zh-CN"/>
              </w:rPr>
            </w:pPr>
          </w:p>
        </w:tc>
        <w:tc>
          <w:tcPr>
            <w:tcW w:w="500" w:type="pct"/>
          </w:tcPr>
          <w:p w14:paraId="07ED1359">
            <w:pPr>
              <w:spacing w:line="360" w:lineRule="auto"/>
              <w:jc w:val="center"/>
              <w:rPr>
                <w:rFonts w:hint="eastAsia"/>
                <w:b/>
                <w:bCs/>
                <w:color w:val="auto"/>
                <w:szCs w:val="21"/>
              </w:rPr>
            </w:pPr>
          </w:p>
        </w:tc>
        <w:tc>
          <w:tcPr>
            <w:tcW w:w="500" w:type="pct"/>
          </w:tcPr>
          <w:p w14:paraId="7A367CEF">
            <w:pPr>
              <w:spacing w:line="360" w:lineRule="auto"/>
              <w:jc w:val="center"/>
              <w:rPr>
                <w:rFonts w:hint="default" w:eastAsia="宋体"/>
                <w:b/>
                <w:bCs/>
                <w:color w:val="auto"/>
                <w:szCs w:val="21"/>
                <w:lang w:val="en-US" w:eastAsia="zh-CN"/>
              </w:rPr>
            </w:pPr>
            <w:r>
              <w:rPr>
                <w:rFonts w:hint="eastAsia"/>
                <w:b/>
                <w:bCs/>
                <w:color w:val="auto"/>
                <w:szCs w:val="21"/>
                <w:lang w:val="en-US" w:eastAsia="zh-CN"/>
              </w:rPr>
              <w:t>20</w:t>
            </w:r>
          </w:p>
        </w:tc>
      </w:tr>
    </w:tbl>
    <w:p w14:paraId="4AEB4634">
      <w:pPr>
        <w:pStyle w:val="31"/>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4"/>
          <w:szCs w:val="24"/>
          <w:lang w:val="en-US" w:eastAsia="zh-CN"/>
        </w:rPr>
        <w:t>计算得出</w:t>
      </w:r>
      <w:r>
        <w:rPr>
          <w:rFonts w:hint="eastAsia" w:ascii="Times New Roman" w:hAnsi="Times New Roman" w:eastAsia="宋体" w:cs="Times New Roman"/>
          <w:color w:val="auto"/>
          <w:sz w:val="24"/>
          <w:szCs w:val="24"/>
        </w:rPr>
        <w:t>Q值计算为</w:t>
      </w:r>
      <w:r>
        <w:rPr>
          <w:rFonts w:hint="eastAsia"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rPr>
        <w:t>＞1。</w:t>
      </w:r>
    </w:p>
    <w:p w14:paraId="06952A93">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2.评价工作等级判定</w:t>
      </w:r>
    </w:p>
    <w:p w14:paraId="209AC79B">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报告采用评分法对企业生产工艺过程、大气环境风险防控措施及突发大气环境事件发生情况进行评估，将各项指标分值累加，确定企业生产工艺过程与大气环境风险控制水平（M）。分析项目所属行业及生产工艺特点，按照下表评估生产工艺情况。具有多套工艺单元的项目，对每套生产工艺分别评分并求和。将M划分为(1)M&gt;20；(2)10&lt;M≤20；(3)5&lt;M≤10；(4)M=5，分别以M1、M2、M3和M4表示。</w:t>
      </w:r>
    </w:p>
    <w:p w14:paraId="6CD5CB80">
      <w:pPr>
        <w:pStyle w:val="31"/>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6</w:t>
      </w:r>
      <w:r>
        <w:rPr>
          <w:rFonts w:hint="eastAsia" w:ascii="Times New Roman" w:hAnsi="Times New Roman" w:eastAsia="宋体" w:cs="Times New Roman"/>
          <w:b/>
          <w:color w:val="auto"/>
          <w:sz w:val="21"/>
          <w:szCs w:val="21"/>
        </w:rPr>
        <w:t xml:space="preserve">  行业及生产工艺过程评估</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5266"/>
        <w:gridCol w:w="1255"/>
        <w:gridCol w:w="1155"/>
      </w:tblGrid>
      <w:tr w14:paraId="44D0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474E92BF">
            <w:pPr>
              <w:spacing w:line="240" w:lineRule="auto"/>
              <w:jc w:val="center"/>
              <w:rPr>
                <w:b/>
                <w:bCs/>
                <w:color w:val="auto"/>
              </w:rPr>
            </w:pPr>
            <w:r>
              <w:rPr>
                <w:rFonts w:hint="eastAsia"/>
                <w:b/>
                <w:bCs/>
                <w:color w:val="auto"/>
              </w:rPr>
              <w:t>行业</w:t>
            </w:r>
          </w:p>
        </w:tc>
        <w:tc>
          <w:tcPr>
            <w:tcW w:w="5266" w:type="dxa"/>
            <w:vAlign w:val="center"/>
          </w:tcPr>
          <w:p w14:paraId="36BE6A7B">
            <w:pPr>
              <w:spacing w:line="240" w:lineRule="auto"/>
              <w:jc w:val="center"/>
              <w:rPr>
                <w:b/>
                <w:bCs/>
                <w:color w:val="auto"/>
              </w:rPr>
            </w:pPr>
            <w:r>
              <w:rPr>
                <w:rFonts w:hint="eastAsia"/>
                <w:b/>
                <w:bCs/>
                <w:color w:val="auto"/>
              </w:rPr>
              <w:t>评估依据</w:t>
            </w:r>
          </w:p>
        </w:tc>
        <w:tc>
          <w:tcPr>
            <w:tcW w:w="1255" w:type="dxa"/>
            <w:vAlign w:val="center"/>
          </w:tcPr>
          <w:p w14:paraId="38B10DA3">
            <w:pPr>
              <w:spacing w:line="240" w:lineRule="auto"/>
              <w:jc w:val="center"/>
              <w:rPr>
                <w:b/>
                <w:bCs/>
                <w:color w:val="auto"/>
              </w:rPr>
            </w:pPr>
            <w:r>
              <w:rPr>
                <w:rFonts w:hint="eastAsia"/>
                <w:b/>
                <w:bCs/>
                <w:color w:val="auto"/>
              </w:rPr>
              <w:t>分值</w:t>
            </w:r>
          </w:p>
        </w:tc>
        <w:tc>
          <w:tcPr>
            <w:tcW w:w="1155" w:type="dxa"/>
            <w:vAlign w:val="center"/>
          </w:tcPr>
          <w:p w14:paraId="30B03C17">
            <w:pPr>
              <w:spacing w:line="240" w:lineRule="auto"/>
              <w:jc w:val="center"/>
              <w:rPr>
                <w:b/>
                <w:bCs/>
                <w:color w:val="auto"/>
              </w:rPr>
            </w:pPr>
            <w:r>
              <w:rPr>
                <w:rFonts w:hint="eastAsia"/>
                <w:b/>
                <w:bCs/>
                <w:color w:val="auto"/>
              </w:rPr>
              <w:t>本项目</w:t>
            </w:r>
          </w:p>
        </w:tc>
      </w:tr>
      <w:tr w14:paraId="1849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vAlign w:val="center"/>
          </w:tcPr>
          <w:p w14:paraId="731583C0">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石油、化工、医药、轻工、化纤、有色冶炼等。</w:t>
            </w:r>
          </w:p>
        </w:tc>
        <w:tc>
          <w:tcPr>
            <w:tcW w:w="5266" w:type="dxa"/>
            <w:vAlign w:val="center"/>
          </w:tcPr>
          <w:p w14:paraId="6FEDADD5">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255" w:type="dxa"/>
            <w:vAlign w:val="center"/>
          </w:tcPr>
          <w:p w14:paraId="3321ACE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10/套</w:t>
            </w:r>
          </w:p>
        </w:tc>
        <w:tc>
          <w:tcPr>
            <w:tcW w:w="1155" w:type="dxa"/>
            <w:vAlign w:val="center"/>
          </w:tcPr>
          <w:p w14:paraId="5F0085F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本项目均不涉及</w:t>
            </w:r>
          </w:p>
        </w:tc>
      </w:tr>
      <w:tr w14:paraId="3660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5364CAC0">
            <w:pPr>
              <w:pStyle w:val="31"/>
              <w:spacing w:line="240" w:lineRule="auto"/>
              <w:ind w:firstLine="0" w:firstLineChars="0"/>
              <w:jc w:val="center"/>
              <w:rPr>
                <w:rFonts w:ascii="Times New Roman" w:hAnsi="Times New Roman" w:eastAsia="宋体" w:cs="Times New Roman"/>
                <w:b/>
                <w:color w:val="auto"/>
                <w:sz w:val="21"/>
                <w:szCs w:val="21"/>
              </w:rPr>
            </w:pPr>
          </w:p>
        </w:tc>
        <w:tc>
          <w:tcPr>
            <w:tcW w:w="5266" w:type="dxa"/>
            <w:vAlign w:val="center"/>
          </w:tcPr>
          <w:p w14:paraId="2E000E47">
            <w:pPr>
              <w:spacing w:line="240" w:lineRule="auto"/>
              <w:jc w:val="center"/>
              <w:rPr>
                <w:color w:val="auto"/>
              </w:rPr>
            </w:pPr>
            <w:r>
              <w:rPr>
                <w:rFonts w:hint="eastAsia"/>
                <w:color w:val="auto"/>
              </w:rPr>
              <w:t>无机酸制酸工艺、焦化工艺</w:t>
            </w:r>
          </w:p>
        </w:tc>
        <w:tc>
          <w:tcPr>
            <w:tcW w:w="1255" w:type="dxa"/>
            <w:vAlign w:val="center"/>
          </w:tcPr>
          <w:p w14:paraId="0A6F19AF">
            <w:pPr>
              <w:spacing w:line="240" w:lineRule="auto"/>
              <w:jc w:val="center"/>
              <w:rPr>
                <w:color w:val="auto"/>
              </w:rPr>
            </w:pPr>
            <w:r>
              <w:rPr>
                <w:rFonts w:hint="eastAsia"/>
                <w:color w:val="auto"/>
              </w:rPr>
              <w:t>5/套</w:t>
            </w:r>
          </w:p>
        </w:tc>
        <w:tc>
          <w:tcPr>
            <w:tcW w:w="1155" w:type="dxa"/>
            <w:vAlign w:val="center"/>
          </w:tcPr>
          <w:p w14:paraId="348356D7">
            <w:pPr>
              <w:spacing w:line="240" w:lineRule="auto"/>
              <w:jc w:val="center"/>
              <w:rPr>
                <w:color w:val="auto"/>
              </w:rPr>
            </w:pPr>
            <w:r>
              <w:rPr>
                <w:rFonts w:hint="eastAsia"/>
                <w:color w:val="auto"/>
              </w:rPr>
              <w:t>本项目均不涉及</w:t>
            </w:r>
          </w:p>
        </w:tc>
      </w:tr>
      <w:tr w14:paraId="741B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1C961A54">
            <w:pPr>
              <w:pStyle w:val="31"/>
              <w:spacing w:line="240" w:lineRule="auto"/>
              <w:ind w:firstLine="0" w:firstLineChars="0"/>
              <w:jc w:val="center"/>
              <w:rPr>
                <w:rFonts w:ascii="Times New Roman" w:hAnsi="Times New Roman" w:eastAsia="宋体" w:cs="Times New Roman"/>
                <w:b/>
                <w:color w:val="auto"/>
                <w:sz w:val="21"/>
                <w:szCs w:val="21"/>
              </w:rPr>
            </w:pPr>
          </w:p>
        </w:tc>
        <w:tc>
          <w:tcPr>
            <w:tcW w:w="5266" w:type="dxa"/>
            <w:vAlign w:val="center"/>
          </w:tcPr>
          <w:p w14:paraId="4E2001F8">
            <w:pPr>
              <w:spacing w:line="240" w:lineRule="auto"/>
              <w:jc w:val="center"/>
              <w:rPr>
                <w:color w:val="auto"/>
              </w:rPr>
            </w:pPr>
            <w:r>
              <w:rPr>
                <w:rFonts w:hint="eastAsia"/>
                <w:color w:val="auto"/>
              </w:rPr>
              <w:t>其他高温或高压，且涉及危险物质的工艺过程 a、危险物质贮存灌区</w:t>
            </w:r>
          </w:p>
        </w:tc>
        <w:tc>
          <w:tcPr>
            <w:tcW w:w="1255" w:type="dxa"/>
            <w:vAlign w:val="center"/>
          </w:tcPr>
          <w:p w14:paraId="15155DF5">
            <w:pPr>
              <w:spacing w:line="240" w:lineRule="auto"/>
              <w:jc w:val="center"/>
              <w:rPr>
                <w:color w:val="auto"/>
              </w:rPr>
            </w:pPr>
            <w:r>
              <w:rPr>
                <w:rFonts w:hint="eastAsia"/>
                <w:color w:val="auto"/>
              </w:rPr>
              <w:t>5/套（灌</w:t>
            </w:r>
          </w:p>
          <w:p w14:paraId="515510FF">
            <w:pPr>
              <w:spacing w:line="240" w:lineRule="auto"/>
              <w:jc w:val="center"/>
              <w:rPr>
                <w:color w:val="auto"/>
              </w:rPr>
            </w:pPr>
            <w:r>
              <w:rPr>
                <w:rFonts w:hint="eastAsia"/>
                <w:color w:val="auto"/>
              </w:rPr>
              <w:t>区）</w:t>
            </w:r>
          </w:p>
        </w:tc>
        <w:tc>
          <w:tcPr>
            <w:tcW w:w="1155" w:type="dxa"/>
            <w:vAlign w:val="center"/>
          </w:tcPr>
          <w:p w14:paraId="036DEA4B">
            <w:pPr>
              <w:spacing w:line="240" w:lineRule="auto"/>
              <w:jc w:val="center"/>
              <w:rPr>
                <w:color w:val="auto"/>
              </w:rPr>
            </w:pPr>
            <w:r>
              <w:rPr>
                <w:rFonts w:hint="eastAsia"/>
                <w:color w:val="auto"/>
              </w:rPr>
              <w:t>本项目不涉及</w:t>
            </w:r>
          </w:p>
        </w:tc>
      </w:tr>
      <w:tr w14:paraId="6B48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2773F45D">
            <w:pPr>
              <w:spacing w:line="240" w:lineRule="auto"/>
              <w:jc w:val="center"/>
              <w:rPr>
                <w:color w:val="auto"/>
              </w:rPr>
            </w:pPr>
            <w:r>
              <w:rPr>
                <w:rFonts w:hint="eastAsia"/>
                <w:color w:val="auto"/>
              </w:rPr>
              <w:t>管道、港口/码头等</w:t>
            </w:r>
          </w:p>
        </w:tc>
        <w:tc>
          <w:tcPr>
            <w:tcW w:w="5266" w:type="dxa"/>
            <w:vAlign w:val="center"/>
          </w:tcPr>
          <w:p w14:paraId="4CBCFA27">
            <w:pPr>
              <w:spacing w:line="240" w:lineRule="auto"/>
              <w:jc w:val="center"/>
              <w:rPr>
                <w:color w:val="auto"/>
              </w:rPr>
            </w:pPr>
            <w:r>
              <w:rPr>
                <w:rFonts w:hint="eastAsia"/>
                <w:color w:val="auto"/>
              </w:rPr>
              <w:t>涉及危险物质管道运输项目、港口/码头等</w:t>
            </w:r>
          </w:p>
        </w:tc>
        <w:tc>
          <w:tcPr>
            <w:tcW w:w="1255" w:type="dxa"/>
            <w:vAlign w:val="center"/>
          </w:tcPr>
          <w:p w14:paraId="76493872">
            <w:pPr>
              <w:spacing w:line="240" w:lineRule="auto"/>
              <w:jc w:val="center"/>
              <w:rPr>
                <w:color w:val="auto"/>
              </w:rPr>
            </w:pPr>
            <w:r>
              <w:rPr>
                <w:rFonts w:hint="eastAsia"/>
                <w:color w:val="auto"/>
              </w:rPr>
              <w:t>10</w:t>
            </w:r>
          </w:p>
        </w:tc>
        <w:tc>
          <w:tcPr>
            <w:tcW w:w="1155" w:type="dxa"/>
            <w:vAlign w:val="center"/>
          </w:tcPr>
          <w:p w14:paraId="063C7F32">
            <w:pPr>
              <w:spacing w:line="240" w:lineRule="auto"/>
              <w:jc w:val="center"/>
              <w:rPr>
                <w:color w:val="auto"/>
              </w:rPr>
            </w:pPr>
            <w:r>
              <w:rPr>
                <w:rFonts w:hint="eastAsia"/>
                <w:color w:val="auto"/>
              </w:rPr>
              <w:t>本项目均不涉及</w:t>
            </w:r>
          </w:p>
        </w:tc>
      </w:tr>
      <w:tr w14:paraId="3442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4343C124">
            <w:pPr>
              <w:pStyle w:val="31"/>
              <w:spacing w:line="240" w:lineRule="auto"/>
              <w:ind w:firstLine="0" w:firstLineChars="0"/>
              <w:jc w:val="center"/>
              <w:rPr>
                <w:rFonts w:ascii="Times New Roman" w:hAnsi="Times New Roman" w:eastAsia="宋体" w:cs="Times New Roman"/>
                <w:color w:val="auto"/>
                <w:sz w:val="21"/>
              </w:rPr>
            </w:pPr>
            <w:r>
              <w:rPr>
                <w:rFonts w:hint="eastAsia" w:ascii="Times New Roman" w:hAnsi="Times New Roman" w:eastAsia="宋体" w:cs="Times New Roman"/>
                <w:color w:val="auto"/>
                <w:sz w:val="21"/>
              </w:rPr>
              <w:t>石油天然气</w:t>
            </w:r>
          </w:p>
        </w:tc>
        <w:tc>
          <w:tcPr>
            <w:tcW w:w="5266" w:type="dxa"/>
            <w:vAlign w:val="center"/>
          </w:tcPr>
          <w:p w14:paraId="43D088AA">
            <w:pPr>
              <w:spacing w:line="240" w:lineRule="auto"/>
              <w:jc w:val="center"/>
              <w:rPr>
                <w:color w:val="auto"/>
              </w:rPr>
            </w:pPr>
            <w:r>
              <w:rPr>
                <w:rFonts w:hint="eastAsia"/>
                <w:color w:val="auto"/>
              </w:rPr>
              <w:t>石油、天然气、页岩气开采(含净化)，气库(不含</w:t>
            </w:r>
          </w:p>
          <w:p w14:paraId="784111A5">
            <w:pPr>
              <w:spacing w:line="240" w:lineRule="auto"/>
              <w:jc w:val="center"/>
              <w:rPr>
                <w:color w:val="auto"/>
              </w:rPr>
            </w:pPr>
            <w:r>
              <w:rPr>
                <w:rFonts w:hint="eastAsia"/>
                <w:color w:val="auto"/>
              </w:rPr>
              <w:t>加气站的气库)，油库(不含加气站的油库)、油气</w:t>
            </w:r>
          </w:p>
          <w:p w14:paraId="3632AB02">
            <w:pPr>
              <w:spacing w:line="240" w:lineRule="auto"/>
              <w:jc w:val="center"/>
              <w:rPr>
                <w:color w:val="auto"/>
              </w:rPr>
            </w:pPr>
            <w:r>
              <w:rPr>
                <w:rFonts w:hint="eastAsia"/>
                <w:color w:val="auto"/>
              </w:rPr>
              <w:t>管线</w:t>
            </w:r>
          </w:p>
          <w:p w14:paraId="6B680415">
            <w:pPr>
              <w:spacing w:line="240" w:lineRule="auto"/>
              <w:jc w:val="center"/>
              <w:rPr>
                <w:color w:val="auto"/>
              </w:rPr>
            </w:pPr>
            <w:r>
              <w:rPr>
                <w:rFonts w:hint="eastAsia"/>
                <w:color w:val="auto"/>
              </w:rPr>
              <w:t>b (不含城镇燃气管线)</w:t>
            </w:r>
          </w:p>
        </w:tc>
        <w:tc>
          <w:tcPr>
            <w:tcW w:w="1255" w:type="dxa"/>
            <w:vAlign w:val="center"/>
          </w:tcPr>
          <w:p w14:paraId="08AD2035">
            <w:pPr>
              <w:spacing w:line="240" w:lineRule="auto"/>
              <w:jc w:val="center"/>
              <w:rPr>
                <w:color w:val="auto"/>
              </w:rPr>
            </w:pPr>
            <w:r>
              <w:rPr>
                <w:rFonts w:hint="eastAsia"/>
                <w:color w:val="auto"/>
              </w:rPr>
              <w:t>10</w:t>
            </w:r>
          </w:p>
        </w:tc>
        <w:tc>
          <w:tcPr>
            <w:tcW w:w="1155" w:type="dxa"/>
            <w:vAlign w:val="center"/>
          </w:tcPr>
          <w:p w14:paraId="0503EE45">
            <w:pPr>
              <w:spacing w:line="240" w:lineRule="auto"/>
              <w:jc w:val="center"/>
              <w:rPr>
                <w:color w:val="auto"/>
              </w:rPr>
            </w:pPr>
            <w:r>
              <w:rPr>
                <w:rFonts w:hint="eastAsia"/>
                <w:color w:val="auto"/>
              </w:rPr>
              <w:t>本项目均不涉及</w:t>
            </w:r>
          </w:p>
        </w:tc>
      </w:tr>
      <w:tr w14:paraId="1D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71AB455E">
            <w:pPr>
              <w:pStyle w:val="31"/>
              <w:spacing w:line="240" w:lineRule="auto"/>
              <w:ind w:firstLine="0" w:firstLineChars="0"/>
              <w:jc w:val="center"/>
              <w:rPr>
                <w:rFonts w:ascii="Times New Roman" w:hAnsi="Times New Roman" w:eastAsia="宋体" w:cs="Times New Roman"/>
                <w:color w:val="auto"/>
                <w:sz w:val="21"/>
              </w:rPr>
            </w:pPr>
            <w:r>
              <w:rPr>
                <w:rFonts w:hint="eastAsia" w:ascii="Times New Roman" w:hAnsi="Times New Roman" w:eastAsia="宋体" w:cs="Times New Roman"/>
                <w:color w:val="auto"/>
                <w:sz w:val="21"/>
              </w:rPr>
              <w:t>其他</w:t>
            </w:r>
          </w:p>
        </w:tc>
        <w:tc>
          <w:tcPr>
            <w:tcW w:w="5266" w:type="dxa"/>
            <w:vAlign w:val="center"/>
          </w:tcPr>
          <w:p w14:paraId="40344ECE">
            <w:pPr>
              <w:spacing w:line="240" w:lineRule="auto"/>
              <w:jc w:val="center"/>
              <w:rPr>
                <w:color w:val="auto"/>
              </w:rPr>
            </w:pPr>
            <w:r>
              <w:rPr>
                <w:rFonts w:hint="eastAsia"/>
                <w:color w:val="auto"/>
              </w:rPr>
              <w:t>涉及危险物质使用、贮存的项目</w:t>
            </w:r>
          </w:p>
        </w:tc>
        <w:tc>
          <w:tcPr>
            <w:tcW w:w="1255" w:type="dxa"/>
            <w:vAlign w:val="center"/>
          </w:tcPr>
          <w:p w14:paraId="7C684BFB">
            <w:pPr>
              <w:spacing w:line="240" w:lineRule="auto"/>
              <w:jc w:val="center"/>
              <w:rPr>
                <w:color w:val="auto"/>
              </w:rPr>
            </w:pPr>
            <w:r>
              <w:rPr>
                <w:rFonts w:hint="eastAsia"/>
                <w:color w:val="auto"/>
              </w:rPr>
              <w:t>5</w:t>
            </w:r>
          </w:p>
        </w:tc>
        <w:tc>
          <w:tcPr>
            <w:tcW w:w="1155" w:type="dxa"/>
            <w:vAlign w:val="center"/>
          </w:tcPr>
          <w:p w14:paraId="79E1B565">
            <w:pPr>
              <w:spacing w:line="240" w:lineRule="auto"/>
              <w:jc w:val="center"/>
              <w:rPr>
                <w:color w:val="auto"/>
              </w:rPr>
            </w:pPr>
            <w:r>
              <w:rPr>
                <w:rFonts w:hint="eastAsia"/>
                <w:color w:val="auto"/>
              </w:rPr>
              <w:t>本项目为烟花爆竹仓库，5分</w:t>
            </w:r>
          </w:p>
        </w:tc>
      </w:tr>
      <w:tr w14:paraId="1017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4"/>
            <w:vAlign w:val="center"/>
          </w:tcPr>
          <w:p w14:paraId="00817924">
            <w:pPr>
              <w:spacing w:line="240" w:lineRule="auto"/>
              <w:jc w:val="left"/>
              <w:rPr>
                <w:color w:val="auto"/>
              </w:rPr>
            </w:pPr>
            <w:r>
              <w:rPr>
                <w:rFonts w:hint="eastAsia"/>
                <w:color w:val="auto"/>
              </w:rPr>
              <w:t>a高温指工艺温度≥300 C，高压指压力容器的设计压力(P)=10.0 MP；</w:t>
            </w:r>
          </w:p>
          <w:p w14:paraId="72A4DA30">
            <w:pPr>
              <w:spacing w:line="240" w:lineRule="auto"/>
              <w:jc w:val="left"/>
              <w:rPr>
                <w:color w:val="auto"/>
              </w:rPr>
            </w:pPr>
            <w:r>
              <w:rPr>
                <w:rFonts w:hint="eastAsia"/>
                <w:color w:val="auto"/>
              </w:rPr>
              <w:t>b长输管道运输项目应按站场、管线分段进行评价。</w:t>
            </w:r>
          </w:p>
        </w:tc>
      </w:tr>
    </w:tbl>
    <w:p w14:paraId="694BC305">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根据上表可知，本项目M值为5分，为M4水平。</w:t>
      </w:r>
    </w:p>
    <w:p w14:paraId="39808A3A">
      <w:pPr>
        <w:pStyle w:val="31"/>
        <w:ind w:firstLine="422"/>
        <w:jc w:val="left"/>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3.危险物质及工艺系统危险性(P)分级</w:t>
      </w:r>
    </w:p>
    <w:p w14:paraId="55C6F5EA">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根据危险物质数量与临界量比值(Q)和行业及生产工艺(M)，按照下表确定危险物质及工艺系统危险性等级(P)，分别以 P1、P2、P3、P4 表示。</w:t>
      </w:r>
    </w:p>
    <w:p w14:paraId="23B9CF90">
      <w:pPr>
        <w:pStyle w:val="31"/>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7</w:t>
      </w:r>
      <w:r>
        <w:rPr>
          <w:rFonts w:hint="eastAsia" w:ascii="Times New Roman" w:hAnsi="Times New Roman" w:eastAsia="宋体" w:cs="Times New Roman"/>
          <w:b/>
          <w:color w:val="auto"/>
          <w:sz w:val="21"/>
          <w:szCs w:val="21"/>
        </w:rPr>
        <w:t xml:space="preserve">  危险物质及工艺系统危险性等级判断（P）</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2"/>
      </w:tblGrid>
      <w:tr w14:paraId="417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restart"/>
            <w:vAlign w:val="center"/>
          </w:tcPr>
          <w:p w14:paraId="000654BA">
            <w:pPr>
              <w:pStyle w:val="31"/>
              <w:spacing w:line="240" w:lineRule="auto"/>
              <w:ind w:firstLine="0" w:firstLineChars="0"/>
              <w:jc w:val="center"/>
              <w:rPr>
                <w:rFonts w:ascii="Times New Roman" w:hAnsi="Times New Roman" w:cs="Times New Roman" w:eastAsiaTheme="minorEastAsia"/>
                <w:b/>
                <w:color w:val="auto"/>
                <w:sz w:val="21"/>
                <w:szCs w:val="21"/>
              </w:rPr>
            </w:pPr>
            <w:r>
              <w:rPr>
                <w:rFonts w:ascii="Times New Roman" w:hAnsi="Times New Roman" w:eastAsia="宋体" w:cs="Times New Roman"/>
                <w:b/>
                <w:color w:val="auto"/>
                <w:sz w:val="21"/>
                <w:szCs w:val="21"/>
              </w:rPr>
              <w:t>危险物质数量与临界量比值（Q）</w:t>
            </w:r>
          </w:p>
        </w:tc>
        <w:tc>
          <w:tcPr>
            <w:tcW w:w="7248" w:type="dxa"/>
            <w:gridSpan w:val="4"/>
            <w:vAlign w:val="center"/>
          </w:tcPr>
          <w:p w14:paraId="5E0D41BA">
            <w:pPr>
              <w:pStyle w:val="31"/>
              <w:spacing w:line="240" w:lineRule="auto"/>
              <w:ind w:firstLine="0" w:firstLineChars="0"/>
              <w:jc w:val="center"/>
              <w:rPr>
                <w:rFonts w:ascii="Times New Roman" w:hAnsi="Times New Roman" w:cs="Times New Roman" w:eastAsiaTheme="minorEastAsia"/>
                <w:b/>
                <w:color w:val="auto"/>
                <w:sz w:val="21"/>
                <w:szCs w:val="21"/>
              </w:rPr>
            </w:pPr>
            <w:r>
              <w:rPr>
                <w:rFonts w:ascii="Times New Roman" w:cs="Times New Roman" w:hAnsiTheme="minorEastAsia" w:eastAsiaTheme="minorEastAsia"/>
                <w:b/>
                <w:color w:val="auto"/>
                <w:sz w:val="21"/>
                <w:szCs w:val="21"/>
              </w:rPr>
              <w:t>行业及生产工艺（</w:t>
            </w:r>
            <w:r>
              <w:rPr>
                <w:rFonts w:ascii="Times New Roman" w:hAnsi="Times New Roman" w:cs="Times New Roman" w:eastAsiaTheme="minorEastAsia"/>
                <w:b/>
                <w:color w:val="auto"/>
                <w:sz w:val="21"/>
                <w:szCs w:val="21"/>
              </w:rPr>
              <w:t>M</w:t>
            </w:r>
            <w:r>
              <w:rPr>
                <w:rFonts w:ascii="Times New Roman" w:cs="Times New Roman" w:hAnsiTheme="minorEastAsia" w:eastAsiaTheme="minorEastAsia"/>
                <w:b/>
                <w:color w:val="auto"/>
                <w:sz w:val="21"/>
                <w:szCs w:val="21"/>
              </w:rPr>
              <w:t>）</w:t>
            </w:r>
          </w:p>
        </w:tc>
      </w:tr>
      <w:tr w14:paraId="7C82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continue"/>
            <w:vAlign w:val="center"/>
          </w:tcPr>
          <w:p w14:paraId="1E6EB84A">
            <w:pPr>
              <w:pStyle w:val="31"/>
              <w:spacing w:line="240" w:lineRule="auto"/>
              <w:ind w:firstLine="0" w:firstLineChars="0"/>
              <w:jc w:val="center"/>
              <w:rPr>
                <w:rFonts w:ascii="Times New Roman" w:hAnsi="Times New Roman" w:cs="Times New Roman" w:eastAsiaTheme="minorEastAsia"/>
                <w:b/>
                <w:color w:val="auto"/>
                <w:sz w:val="21"/>
                <w:szCs w:val="21"/>
              </w:rPr>
            </w:pPr>
          </w:p>
        </w:tc>
        <w:tc>
          <w:tcPr>
            <w:tcW w:w="1812" w:type="dxa"/>
            <w:vAlign w:val="center"/>
          </w:tcPr>
          <w:p w14:paraId="5C170CDF">
            <w:pPr>
              <w:spacing w:line="240" w:lineRule="auto"/>
              <w:jc w:val="center"/>
              <w:rPr>
                <w:rFonts w:eastAsiaTheme="minorEastAsia"/>
                <w:color w:val="auto"/>
              </w:rPr>
            </w:pPr>
            <w:r>
              <w:rPr>
                <w:rFonts w:eastAsiaTheme="minorEastAsia"/>
                <w:color w:val="auto"/>
              </w:rPr>
              <w:t>M1</w:t>
            </w:r>
          </w:p>
        </w:tc>
        <w:tc>
          <w:tcPr>
            <w:tcW w:w="1812" w:type="dxa"/>
            <w:vAlign w:val="center"/>
          </w:tcPr>
          <w:p w14:paraId="0DF0CB3A">
            <w:pPr>
              <w:spacing w:line="240" w:lineRule="auto"/>
              <w:jc w:val="center"/>
              <w:rPr>
                <w:rFonts w:eastAsiaTheme="minorEastAsia"/>
                <w:color w:val="auto"/>
              </w:rPr>
            </w:pPr>
            <w:r>
              <w:rPr>
                <w:rFonts w:eastAsiaTheme="minorEastAsia"/>
                <w:color w:val="auto"/>
              </w:rPr>
              <w:t>M2</w:t>
            </w:r>
          </w:p>
        </w:tc>
        <w:tc>
          <w:tcPr>
            <w:tcW w:w="1812" w:type="dxa"/>
            <w:vAlign w:val="center"/>
          </w:tcPr>
          <w:p w14:paraId="4107CEC8">
            <w:pPr>
              <w:spacing w:line="240" w:lineRule="auto"/>
              <w:jc w:val="center"/>
              <w:rPr>
                <w:rFonts w:eastAsiaTheme="minorEastAsia"/>
                <w:color w:val="auto"/>
              </w:rPr>
            </w:pPr>
            <w:r>
              <w:rPr>
                <w:rFonts w:eastAsiaTheme="minorEastAsia"/>
                <w:color w:val="auto"/>
              </w:rPr>
              <w:t>M3</w:t>
            </w:r>
          </w:p>
        </w:tc>
        <w:tc>
          <w:tcPr>
            <w:tcW w:w="1812" w:type="dxa"/>
            <w:vAlign w:val="center"/>
          </w:tcPr>
          <w:p w14:paraId="75517297">
            <w:pPr>
              <w:spacing w:line="240" w:lineRule="auto"/>
              <w:jc w:val="center"/>
              <w:rPr>
                <w:rFonts w:eastAsiaTheme="minorEastAsia"/>
                <w:color w:val="auto"/>
              </w:rPr>
            </w:pPr>
            <w:r>
              <w:rPr>
                <w:rFonts w:eastAsiaTheme="minorEastAsia"/>
                <w:color w:val="auto"/>
              </w:rPr>
              <w:t>M4</w:t>
            </w:r>
          </w:p>
        </w:tc>
      </w:tr>
      <w:tr w14:paraId="7386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0BEEDFCB">
            <w:pPr>
              <w:spacing w:line="240" w:lineRule="auto"/>
              <w:jc w:val="center"/>
              <w:rPr>
                <w:rFonts w:eastAsiaTheme="minorEastAsia"/>
                <w:color w:val="auto"/>
              </w:rPr>
            </w:pPr>
            <w:r>
              <w:rPr>
                <w:rFonts w:eastAsiaTheme="minorEastAsia"/>
                <w:color w:val="auto"/>
              </w:rPr>
              <w:t>Q≥100</w:t>
            </w:r>
          </w:p>
        </w:tc>
        <w:tc>
          <w:tcPr>
            <w:tcW w:w="1812" w:type="dxa"/>
            <w:vAlign w:val="center"/>
          </w:tcPr>
          <w:p w14:paraId="7F48DAE0">
            <w:pPr>
              <w:spacing w:line="240" w:lineRule="auto"/>
              <w:jc w:val="center"/>
              <w:rPr>
                <w:rFonts w:eastAsiaTheme="minorEastAsia"/>
                <w:color w:val="auto"/>
              </w:rPr>
            </w:pPr>
            <w:r>
              <w:rPr>
                <w:rFonts w:eastAsiaTheme="minorEastAsia"/>
                <w:color w:val="auto"/>
              </w:rPr>
              <w:t>P1</w:t>
            </w:r>
          </w:p>
        </w:tc>
        <w:tc>
          <w:tcPr>
            <w:tcW w:w="1812" w:type="dxa"/>
            <w:vAlign w:val="center"/>
          </w:tcPr>
          <w:p w14:paraId="0E3FBF9A">
            <w:pPr>
              <w:spacing w:line="240" w:lineRule="auto"/>
              <w:jc w:val="center"/>
              <w:rPr>
                <w:rFonts w:eastAsiaTheme="minorEastAsia"/>
                <w:color w:val="auto"/>
              </w:rPr>
            </w:pPr>
            <w:r>
              <w:rPr>
                <w:rFonts w:eastAsiaTheme="minorEastAsia"/>
                <w:color w:val="auto"/>
              </w:rPr>
              <w:t>P1</w:t>
            </w:r>
          </w:p>
        </w:tc>
        <w:tc>
          <w:tcPr>
            <w:tcW w:w="1812" w:type="dxa"/>
            <w:vAlign w:val="center"/>
          </w:tcPr>
          <w:p w14:paraId="4424DCBD">
            <w:pPr>
              <w:spacing w:line="240" w:lineRule="auto"/>
              <w:jc w:val="center"/>
              <w:rPr>
                <w:rFonts w:eastAsiaTheme="minorEastAsia"/>
                <w:color w:val="auto"/>
              </w:rPr>
            </w:pPr>
            <w:r>
              <w:rPr>
                <w:rFonts w:eastAsiaTheme="minorEastAsia"/>
                <w:color w:val="auto"/>
              </w:rPr>
              <w:t>P2</w:t>
            </w:r>
          </w:p>
        </w:tc>
        <w:tc>
          <w:tcPr>
            <w:tcW w:w="1812" w:type="dxa"/>
            <w:vAlign w:val="center"/>
          </w:tcPr>
          <w:p w14:paraId="45EC064B">
            <w:pPr>
              <w:spacing w:line="240" w:lineRule="auto"/>
              <w:jc w:val="center"/>
              <w:rPr>
                <w:rFonts w:eastAsiaTheme="minorEastAsia"/>
                <w:color w:val="auto"/>
              </w:rPr>
            </w:pPr>
            <w:r>
              <w:rPr>
                <w:rFonts w:eastAsiaTheme="minorEastAsia"/>
                <w:color w:val="auto"/>
              </w:rPr>
              <w:t>P3</w:t>
            </w:r>
          </w:p>
        </w:tc>
      </w:tr>
      <w:tr w14:paraId="4DC1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1284CFAF">
            <w:pPr>
              <w:spacing w:line="240" w:lineRule="auto"/>
              <w:jc w:val="center"/>
              <w:rPr>
                <w:rFonts w:eastAsiaTheme="minorEastAsia"/>
                <w:color w:val="auto"/>
              </w:rPr>
            </w:pPr>
            <w:r>
              <w:rPr>
                <w:rFonts w:eastAsiaTheme="minorEastAsia"/>
                <w:color w:val="auto"/>
              </w:rPr>
              <w:t>10≤Q≤100</w:t>
            </w:r>
          </w:p>
        </w:tc>
        <w:tc>
          <w:tcPr>
            <w:tcW w:w="1812" w:type="dxa"/>
            <w:vAlign w:val="center"/>
          </w:tcPr>
          <w:p w14:paraId="157FDB58">
            <w:pPr>
              <w:spacing w:line="240" w:lineRule="auto"/>
              <w:jc w:val="center"/>
              <w:rPr>
                <w:rFonts w:eastAsiaTheme="minorEastAsia"/>
                <w:color w:val="auto"/>
              </w:rPr>
            </w:pPr>
            <w:r>
              <w:rPr>
                <w:rFonts w:eastAsiaTheme="minorEastAsia"/>
                <w:color w:val="auto"/>
              </w:rPr>
              <w:t>P1</w:t>
            </w:r>
          </w:p>
        </w:tc>
        <w:tc>
          <w:tcPr>
            <w:tcW w:w="1812" w:type="dxa"/>
            <w:vAlign w:val="center"/>
          </w:tcPr>
          <w:p w14:paraId="363BEABB">
            <w:pPr>
              <w:spacing w:line="240" w:lineRule="auto"/>
              <w:jc w:val="center"/>
              <w:rPr>
                <w:rFonts w:eastAsiaTheme="minorEastAsia"/>
                <w:color w:val="auto"/>
              </w:rPr>
            </w:pPr>
            <w:r>
              <w:rPr>
                <w:rFonts w:eastAsiaTheme="minorEastAsia"/>
                <w:color w:val="auto"/>
              </w:rPr>
              <w:t>P2</w:t>
            </w:r>
          </w:p>
        </w:tc>
        <w:tc>
          <w:tcPr>
            <w:tcW w:w="1812" w:type="dxa"/>
            <w:vAlign w:val="center"/>
          </w:tcPr>
          <w:p w14:paraId="2A06F482">
            <w:pPr>
              <w:spacing w:line="240" w:lineRule="auto"/>
              <w:jc w:val="center"/>
              <w:rPr>
                <w:rFonts w:eastAsiaTheme="minorEastAsia"/>
                <w:color w:val="auto"/>
              </w:rPr>
            </w:pPr>
            <w:r>
              <w:rPr>
                <w:rFonts w:eastAsiaTheme="minorEastAsia"/>
                <w:color w:val="auto"/>
              </w:rPr>
              <w:t>P3</w:t>
            </w:r>
          </w:p>
        </w:tc>
        <w:tc>
          <w:tcPr>
            <w:tcW w:w="1812" w:type="dxa"/>
            <w:vAlign w:val="center"/>
          </w:tcPr>
          <w:p w14:paraId="6A3AA782">
            <w:pPr>
              <w:spacing w:line="240" w:lineRule="auto"/>
              <w:jc w:val="center"/>
              <w:rPr>
                <w:rFonts w:eastAsiaTheme="minorEastAsia"/>
                <w:color w:val="auto"/>
              </w:rPr>
            </w:pPr>
            <w:r>
              <w:rPr>
                <w:rFonts w:eastAsiaTheme="minorEastAsia"/>
                <w:b/>
                <w:bCs/>
                <w:color w:val="auto"/>
              </w:rPr>
              <w:t>P4</w:t>
            </w:r>
          </w:p>
        </w:tc>
      </w:tr>
      <w:tr w14:paraId="6425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6EA4C58D">
            <w:pPr>
              <w:spacing w:line="240" w:lineRule="auto"/>
              <w:jc w:val="center"/>
              <w:rPr>
                <w:rFonts w:eastAsiaTheme="minorEastAsia"/>
                <w:color w:val="auto"/>
              </w:rPr>
            </w:pPr>
            <w:r>
              <w:rPr>
                <w:rFonts w:eastAsiaTheme="minorEastAsia"/>
                <w:color w:val="auto"/>
              </w:rPr>
              <w:t>1≤Q≤10</w:t>
            </w:r>
          </w:p>
        </w:tc>
        <w:tc>
          <w:tcPr>
            <w:tcW w:w="1812" w:type="dxa"/>
            <w:vAlign w:val="center"/>
          </w:tcPr>
          <w:p w14:paraId="6BC5B513">
            <w:pPr>
              <w:spacing w:line="240" w:lineRule="auto"/>
              <w:jc w:val="center"/>
              <w:rPr>
                <w:rFonts w:eastAsiaTheme="minorEastAsia"/>
                <w:color w:val="auto"/>
              </w:rPr>
            </w:pPr>
            <w:r>
              <w:rPr>
                <w:rFonts w:eastAsiaTheme="minorEastAsia"/>
                <w:color w:val="auto"/>
              </w:rPr>
              <w:t>P2</w:t>
            </w:r>
          </w:p>
        </w:tc>
        <w:tc>
          <w:tcPr>
            <w:tcW w:w="1812" w:type="dxa"/>
            <w:vAlign w:val="center"/>
          </w:tcPr>
          <w:p w14:paraId="121DB044">
            <w:pPr>
              <w:spacing w:line="240" w:lineRule="auto"/>
              <w:jc w:val="center"/>
              <w:rPr>
                <w:rFonts w:eastAsiaTheme="minorEastAsia"/>
                <w:color w:val="auto"/>
              </w:rPr>
            </w:pPr>
            <w:r>
              <w:rPr>
                <w:rFonts w:eastAsiaTheme="minorEastAsia"/>
                <w:color w:val="auto"/>
              </w:rPr>
              <w:t>P3</w:t>
            </w:r>
          </w:p>
        </w:tc>
        <w:tc>
          <w:tcPr>
            <w:tcW w:w="1812" w:type="dxa"/>
            <w:vAlign w:val="center"/>
          </w:tcPr>
          <w:p w14:paraId="2DD9EE10">
            <w:pPr>
              <w:spacing w:line="240" w:lineRule="auto"/>
              <w:jc w:val="center"/>
              <w:rPr>
                <w:rFonts w:eastAsiaTheme="minorEastAsia"/>
                <w:color w:val="auto"/>
              </w:rPr>
            </w:pPr>
            <w:r>
              <w:rPr>
                <w:rFonts w:eastAsiaTheme="minorEastAsia"/>
                <w:color w:val="auto"/>
              </w:rPr>
              <w:t>P4</w:t>
            </w:r>
          </w:p>
        </w:tc>
        <w:tc>
          <w:tcPr>
            <w:tcW w:w="1812" w:type="dxa"/>
            <w:vAlign w:val="center"/>
          </w:tcPr>
          <w:p w14:paraId="48206BC1">
            <w:pPr>
              <w:spacing w:line="240" w:lineRule="auto"/>
              <w:jc w:val="center"/>
              <w:rPr>
                <w:rFonts w:eastAsiaTheme="minorEastAsia"/>
                <w:color w:val="auto"/>
              </w:rPr>
            </w:pPr>
            <w:r>
              <w:rPr>
                <w:rFonts w:eastAsiaTheme="minorEastAsia"/>
                <w:color w:val="auto"/>
              </w:rPr>
              <w:t>P4</w:t>
            </w:r>
          </w:p>
        </w:tc>
      </w:tr>
    </w:tbl>
    <w:p w14:paraId="6C23111B">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本项目Q =</w:t>
      </w:r>
      <w:r>
        <w:rPr>
          <w:rFonts w:hint="eastAsia"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rPr>
        <w:t>，属于</w:t>
      </w:r>
      <w:r>
        <w:rPr>
          <w:rFonts w:hint="eastAsia" w:ascii="Times New Roman" w:hAnsi="Times New Roman" w:eastAsia="宋体" w:cs="Times New Roman"/>
          <w:color w:val="auto"/>
          <w:sz w:val="24"/>
          <w:szCs w:val="24"/>
          <w:lang w:val="en-US" w:eastAsia="zh-CN"/>
        </w:rPr>
        <w:t>10</w:t>
      </w:r>
      <w:r>
        <w:rPr>
          <w:rFonts w:hint="eastAsia" w:ascii="Times New Roman" w:hAnsi="Times New Roman" w:eastAsia="宋体" w:cs="Times New Roman"/>
          <w:color w:val="auto"/>
          <w:sz w:val="24"/>
          <w:szCs w:val="24"/>
        </w:rPr>
        <w:t>≤Q≤1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0，M 值为M4，故本项目危险物质及工艺系统危险性等级为P4。</w:t>
      </w:r>
    </w:p>
    <w:p w14:paraId="2A3661F8">
      <w:pPr>
        <w:pStyle w:val="31"/>
        <w:ind w:firstLine="422"/>
        <w:jc w:val="left"/>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4.环境敏感程度E值的判断</w:t>
      </w:r>
    </w:p>
    <w:p w14:paraId="39153922">
      <w:pPr>
        <w:pStyle w:val="31"/>
        <w:ind w:firstLine="42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依据环境敏感目标环境敏感性及人口密度划分环境风险受体的敏感性，共分为三种类型，E1为环境高度敏感区，E2为环境中度敏感区，E3为环境低度敏感区，分级原则见表。</w:t>
      </w:r>
    </w:p>
    <w:p w14:paraId="5AC66A57">
      <w:pPr>
        <w:pStyle w:val="31"/>
        <w:spacing w:line="240" w:lineRule="auto"/>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8</w:t>
      </w:r>
      <w:r>
        <w:rPr>
          <w:rFonts w:hint="eastAsia" w:ascii="Times New Roman" w:hAnsi="Times New Roman" w:eastAsia="宋体" w:cs="Times New Roman"/>
          <w:b/>
          <w:color w:val="auto"/>
          <w:sz w:val="21"/>
          <w:szCs w:val="21"/>
        </w:rPr>
        <w:t xml:space="preserve">  大气环境敏感程度分级</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8101"/>
      </w:tblGrid>
      <w:tr w14:paraId="1774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A9C8116">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分级</w:t>
            </w:r>
          </w:p>
        </w:tc>
        <w:tc>
          <w:tcPr>
            <w:tcW w:w="8101" w:type="dxa"/>
            <w:vAlign w:val="center"/>
          </w:tcPr>
          <w:p w14:paraId="62C8FF5C">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大气环境敏感性</w:t>
            </w:r>
          </w:p>
        </w:tc>
      </w:tr>
      <w:tr w14:paraId="6105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7F0B23E">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8101" w:type="dxa"/>
            <w:vAlign w:val="center"/>
          </w:tcPr>
          <w:p w14:paraId="730EA1AC">
            <w:pPr>
              <w:spacing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周边5km范围内居住区、医疗卫生、文化教育、科研、行政办公等机构人口总数大</w:t>
            </w:r>
          </w:p>
          <w:p w14:paraId="31AC9DC2">
            <w:pPr>
              <w:spacing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于5万人，或其他需要特殊保护区域;或周边500m范围内人口总数大于1000人；</w:t>
            </w:r>
          </w:p>
          <w:p w14:paraId="3C755D03">
            <w:pPr>
              <w:spacing w:line="240" w:lineRule="auto"/>
              <w:jc w:val="lef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油气、化学品输送管线管段周边200m范围内，每千米管段人口数大于200人</w:t>
            </w:r>
            <w:r>
              <w:rPr>
                <w:rFonts w:hint="default" w:ascii="Times New Roman" w:hAnsi="Times New Roman" w:eastAsia="宋体" w:cs="Times New Roman"/>
                <w:color w:val="auto"/>
                <w:sz w:val="21"/>
                <w:szCs w:val="21"/>
                <w:lang w:eastAsia="zh-CN"/>
              </w:rPr>
              <w:t>。</w:t>
            </w:r>
          </w:p>
        </w:tc>
      </w:tr>
      <w:tr w14:paraId="3BF2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629A301">
            <w:pPr>
              <w:pStyle w:val="31"/>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E2</w:t>
            </w:r>
          </w:p>
        </w:tc>
        <w:tc>
          <w:tcPr>
            <w:tcW w:w="8101" w:type="dxa"/>
            <w:vAlign w:val="center"/>
          </w:tcPr>
          <w:p w14:paraId="62BD94A4">
            <w:pPr>
              <w:pStyle w:val="31"/>
              <w:spacing w:line="240" w:lineRule="auto"/>
              <w:ind w:firstLine="0" w:firstLineChars="0"/>
              <w:jc w:val="lef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周边5km范围内居住区、医疗卫生、文化教育、科研、行政办公等机构人口总数大于 1 万人，小于5万人；或周边500m范围内人口总数大于500人，小于1000人；油气、化学品输送管线管段周边200m范围内，每千米管段人口数大于100人，小于200人</w:t>
            </w:r>
            <w:r>
              <w:rPr>
                <w:rFonts w:hint="default" w:ascii="Times New Roman" w:hAnsi="Times New Roman" w:eastAsia="宋体" w:cs="Times New Roman"/>
                <w:color w:val="auto"/>
                <w:sz w:val="21"/>
                <w:szCs w:val="21"/>
                <w:lang w:eastAsia="zh-CN"/>
              </w:rPr>
              <w:t>。</w:t>
            </w:r>
          </w:p>
        </w:tc>
      </w:tr>
      <w:tr w14:paraId="72E2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2F01D85">
            <w:pPr>
              <w:pStyle w:val="31"/>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E3</w:t>
            </w:r>
          </w:p>
        </w:tc>
        <w:tc>
          <w:tcPr>
            <w:tcW w:w="8101" w:type="dxa"/>
            <w:vAlign w:val="center"/>
          </w:tcPr>
          <w:p w14:paraId="2C4E96DC">
            <w:pPr>
              <w:pStyle w:val="31"/>
              <w:spacing w:line="240" w:lineRule="auto"/>
              <w:ind w:firstLine="0" w:firstLineChars="0"/>
              <w:jc w:val="lef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周边5km范围内居住区、医疗卫生、文化教育、科研、行政办公等机构人口总数小于1万人；或周边500m范围内人口总数小于500人；油气、化学品输送管线管段周边200m范围内，每千米管段人口数小于100人</w:t>
            </w:r>
            <w:r>
              <w:rPr>
                <w:rFonts w:hint="default" w:ascii="Times New Roman" w:hAnsi="Times New Roman" w:eastAsia="宋体" w:cs="Times New Roman"/>
                <w:color w:val="auto"/>
                <w:sz w:val="21"/>
                <w:szCs w:val="21"/>
                <w:lang w:eastAsia="zh-CN"/>
              </w:rPr>
              <w:t>。</w:t>
            </w:r>
          </w:p>
        </w:tc>
      </w:tr>
    </w:tbl>
    <w:p w14:paraId="4CE0C2FB">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本项目周边5km范围内居住区、医疗卫生、文化教育、科研、行政办公等机构人口总数为18680人，大于1万人，小于5万人，为E2水准。</w:t>
      </w:r>
    </w:p>
    <w:p w14:paraId="2AD6BCAB">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5.地表水环境</w:t>
      </w:r>
    </w:p>
    <w:p w14:paraId="4484C93F">
      <w:pPr>
        <w:spacing w:line="360" w:lineRule="auto"/>
        <w:ind w:firstLine="480" w:firstLineChars="200"/>
        <w:rPr>
          <w:rFonts w:hint="default" w:eastAsia="宋体"/>
          <w:color w:val="auto"/>
          <w:sz w:val="24"/>
          <w:szCs w:val="24"/>
          <w:lang w:val="en-US" w:eastAsia="zh-CN"/>
        </w:rPr>
      </w:pPr>
      <w:r>
        <w:rPr>
          <w:rFonts w:hint="eastAsia"/>
          <w:color w:val="auto"/>
          <w:sz w:val="24"/>
          <w:szCs w:val="24"/>
        </w:rPr>
        <w:t>对照风险导则附录D中分级原则，</w:t>
      </w:r>
      <w:r>
        <w:rPr>
          <w:rFonts w:hint="eastAsia"/>
          <w:color w:val="auto"/>
          <w:sz w:val="24"/>
          <w:szCs w:val="24"/>
          <w:lang w:val="en-US" w:eastAsia="zh-CN"/>
        </w:rPr>
        <w:t>地表水环境敏感程度分级如下表。</w:t>
      </w:r>
    </w:p>
    <w:p w14:paraId="3D9E6FE4">
      <w:pPr>
        <w:spacing w:line="240" w:lineRule="auto"/>
        <w:ind w:firstLine="422" w:firstLineChars="200"/>
        <w:jc w:val="center"/>
        <w:rPr>
          <w:rFonts w:hint="default" w:eastAsia="宋体"/>
          <w:b/>
          <w:bCs/>
          <w:color w:val="auto"/>
          <w:szCs w:val="21"/>
          <w:lang w:val="en-US" w:eastAsia="zh-CN"/>
        </w:rPr>
      </w:pPr>
      <w:r>
        <w:rPr>
          <w:rFonts w:hint="eastAsia"/>
          <w:b/>
          <w:bCs/>
          <w:color w:val="auto"/>
          <w:szCs w:val="21"/>
          <w:lang w:val="en-US" w:eastAsia="zh-CN"/>
        </w:rPr>
        <w:t>表9  地表水环境敏感程度分级</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5"/>
      </w:tblGrid>
      <w:tr w14:paraId="6AA4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vAlign w:val="center"/>
          </w:tcPr>
          <w:p w14:paraId="32368A6A">
            <w:pPr>
              <w:spacing w:line="360" w:lineRule="auto"/>
              <w:jc w:val="center"/>
              <w:rPr>
                <w:rFonts w:hint="default" w:eastAsia="宋体"/>
                <w:color w:val="auto"/>
                <w:szCs w:val="21"/>
                <w:vertAlign w:val="baseline"/>
                <w:lang w:val="en-US" w:eastAsia="zh-CN"/>
              </w:rPr>
            </w:pPr>
            <w:r>
              <w:rPr>
                <w:rFonts w:hint="eastAsia"/>
                <w:b/>
                <w:bCs/>
                <w:color w:val="auto"/>
                <w:szCs w:val="21"/>
                <w:vertAlign w:val="baseline"/>
                <w:lang w:val="en-US" w:eastAsia="zh-CN"/>
              </w:rPr>
              <w:t>环境敏感目标</w:t>
            </w:r>
          </w:p>
        </w:tc>
        <w:tc>
          <w:tcPr>
            <w:tcW w:w="3750" w:type="pct"/>
            <w:gridSpan w:val="3"/>
            <w:vAlign w:val="center"/>
          </w:tcPr>
          <w:p w14:paraId="04877605">
            <w:pPr>
              <w:spacing w:line="360" w:lineRule="auto"/>
              <w:jc w:val="center"/>
              <w:rPr>
                <w:rFonts w:hint="eastAsia"/>
                <w:color w:val="auto"/>
                <w:szCs w:val="21"/>
                <w:vertAlign w:val="baseline"/>
              </w:rPr>
            </w:pPr>
            <w:r>
              <w:rPr>
                <w:rFonts w:hint="eastAsia"/>
                <w:b/>
                <w:bCs/>
                <w:color w:val="auto"/>
                <w:szCs w:val="21"/>
                <w:vertAlign w:val="baseline"/>
                <w:lang w:val="en-US" w:eastAsia="zh-CN"/>
              </w:rPr>
              <w:t>地表水功能敏感性</w:t>
            </w:r>
          </w:p>
        </w:tc>
      </w:tr>
      <w:tr w14:paraId="2FB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vAlign w:val="center"/>
          </w:tcPr>
          <w:p w14:paraId="030729D8">
            <w:pPr>
              <w:spacing w:line="360" w:lineRule="auto"/>
              <w:jc w:val="center"/>
              <w:rPr>
                <w:rFonts w:hint="default" w:eastAsia="宋体"/>
                <w:color w:val="auto"/>
                <w:szCs w:val="21"/>
                <w:vertAlign w:val="baseline"/>
                <w:lang w:val="en-US" w:eastAsia="zh-CN"/>
              </w:rPr>
            </w:pPr>
          </w:p>
        </w:tc>
        <w:tc>
          <w:tcPr>
            <w:tcW w:w="1250" w:type="pct"/>
            <w:vAlign w:val="center"/>
          </w:tcPr>
          <w:p w14:paraId="53B9D9C9">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F1</w:t>
            </w:r>
          </w:p>
        </w:tc>
        <w:tc>
          <w:tcPr>
            <w:tcW w:w="1250" w:type="pct"/>
            <w:vAlign w:val="center"/>
          </w:tcPr>
          <w:p w14:paraId="57EFCD6B">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F2</w:t>
            </w:r>
          </w:p>
        </w:tc>
        <w:tc>
          <w:tcPr>
            <w:tcW w:w="1250" w:type="pct"/>
            <w:vAlign w:val="center"/>
          </w:tcPr>
          <w:p w14:paraId="14DE2248">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F3</w:t>
            </w:r>
          </w:p>
        </w:tc>
      </w:tr>
      <w:tr w14:paraId="5DE6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508D723A">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S1</w:t>
            </w:r>
          </w:p>
        </w:tc>
        <w:tc>
          <w:tcPr>
            <w:tcW w:w="1250" w:type="pct"/>
            <w:vAlign w:val="center"/>
          </w:tcPr>
          <w:p w14:paraId="77B8619E">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E1</w:t>
            </w:r>
          </w:p>
        </w:tc>
        <w:tc>
          <w:tcPr>
            <w:tcW w:w="1250" w:type="pct"/>
            <w:vAlign w:val="center"/>
          </w:tcPr>
          <w:p w14:paraId="498446D7">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E1</w:t>
            </w:r>
          </w:p>
        </w:tc>
        <w:tc>
          <w:tcPr>
            <w:tcW w:w="1250" w:type="pct"/>
            <w:vAlign w:val="center"/>
          </w:tcPr>
          <w:p w14:paraId="3EDB4A9D">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E2</w:t>
            </w:r>
          </w:p>
        </w:tc>
      </w:tr>
      <w:tr w14:paraId="5556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7C4C8E94">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S2</w:t>
            </w:r>
          </w:p>
        </w:tc>
        <w:tc>
          <w:tcPr>
            <w:tcW w:w="1250" w:type="pct"/>
            <w:vAlign w:val="center"/>
          </w:tcPr>
          <w:p w14:paraId="28B54921">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E1</w:t>
            </w:r>
          </w:p>
        </w:tc>
        <w:tc>
          <w:tcPr>
            <w:tcW w:w="1250" w:type="pct"/>
            <w:vAlign w:val="center"/>
          </w:tcPr>
          <w:p w14:paraId="43766E20">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E2</w:t>
            </w:r>
          </w:p>
        </w:tc>
        <w:tc>
          <w:tcPr>
            <w:tcW w:w="1250" w:type="pct"/>
            <w:vAlign w:val="center"/>
          </w:tcPr>
          <w:p w14:paraId="757792CD">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E3</w:t>
            </w:r>
          </w:p>
        </w:tc>
      </w:tr>
      <w:tr w14:paraId="0FF9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0250F334">
            <w:pPr>
              <w:spacing w:line="360" w:lineRule="auto"/>
              <w:jc w:val="center"/>
              <w:rPr>
                <w:rFonts w:hint="eastAsia"/>
                <w:color w:val="auto"/>
                <w:szCs w:val="21"/>
                <w:vertAlign w:val="baseline"/>
                <w:lang w:val="en-US" w:eastAsia="zh-CN"/>
              </w:rPr>
            </w:pPr>
            <w:r>
              <w:rPr>
                <w:rFonts w:hint="eastAsia"/>
                <w:color w:val="auto"/>
                <w:szCs w:val="21"/>
                <w:vertAlign w:val="baseline"/>
                <w:lang w:val="en-US" w:eastAsia="zh-CN"/>
              </w:rPr>
              <w:t>S3</w:t>
            </w:r>
          </w:p>
        </w:tc>
        <w:tc>
          <w:tcPr>
            <w:tcW w:w="1250" w:type="pct"/>
            <w:vAlign w:val="center"/>
          </w:tcPr>
          <w:p w14:paraId="69AB4E0A">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E1</w:t>
            </w:r>
          </w:p>
        </w:tc>
        <w:tc>
          <w:tcPr>
            <w:tcW w:w="1250" w:type="pct"/>
            <w:vAlign w:val="center"/>
          </w:tcPr>
          <w:p w14:paraId="11B72EBD">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E2</w:t>
            </w:r>
          </w:p>
        </w:tc>
        <w:tc>
          <w:tcPr>
            <w:tcW w:w="1250" w:type="pct"/>
            <w:vAlign w:val="center"/>
          </w:tcPr>
          <w:p w14:paraId="780F27F2">
            <w:pPr>
              <w:spacing w:line="360" w:lineRule="auto"/>
              <w:jc w:val="center"/>
              <w:rPr>
                <w:rFonts w:hint="default" w:eastAsia="宋体"/>
                <w:color w:val="auto"/>
                <w:szCs w:val="21"/>
                <w:vertAlign w:val="baseline"/>
                <w:lang w:val="en-US" w:eastAsia="zh-CN"/>
              </w:rPr>
            </w:pPr>
            <w:r>
              <w:rPr>
                <w:rFonts w:hint="eastAsia"/>
                <w:color w:val="auto"/>
                <w:szCs w:val="21"/>
                <w:vertAlign w:val="baseline"/>
                <w:lang w:val="en-US" w:eastAsia="zh-CN"/>
              </w:rPr>
              <w:t>E3</w:t>
            </w:r>
          </w:p>
        </w:tc>
      </w:tr>
    </w:tbl>
    <w:p w14:paraId="32FA5CC9">
      <w:pPr>
        <w:spacing w:line="240" w:lineRule="auto"/>
        <w:ind w:firstLine="422" w:firstLineChars="200"/>
        <w:jc w:val="center"/>
        <w:rPr>
          <w:rFonts w:hint="default" w:eastAsia="宋体"/>
          <w:b/>
          <w:bCs/>
          <w:color w:val="auto"/>
          <w:sz w:val="21"/>
          <w:szCs w:val="21"/>
          <w:lang w:val="en-US" w:eastAsia="zh-CN"/>
        </w:rPr>
      </w:pPr>
      <w:r>
        <w:rPr>
          <w:rFonts w:hint="eastAsia"/>
          <w:b/>
          <w:bCs/>
          <w:color w:val="auto"/>
          <w:sz w:val="21"/>
          <w:szCs w:val="21"/>
          <w:lang w:val="en-US" w:eastAsia="zh-CN"/>
        </w:rPr>
        <w:t xml:space="preserve">表10  </w:t>
      </w:r>
      <w:r>
        <w:rPr>
          <w:rFonts w:ascii="宋体" w:hAnsi="宋体" w:eastAsia="宋体" w:cs="宋体"/>
          <w:b/>
          <w:bCs/>
          <w:color w:val="auto"/>
          <w:sz w:val="21"/>
          <w:szCs w:val="21"/>
        </w:rPr>
        <w:t>地表水功能敏感性分区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7907"/>
      </w:tblGrid>
      <w:tr w14:paraId="7A73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1DD793F0">
            <w:pPr>
              <w:spacing w:line="36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敏感性</w:t>
            </w:r>
          </w:p>
        </w:tc>
        <w:tc>
          <w:tcPr>
            <w:tcW w:w="7907" w:type="dxa"/>
          </w:tcPr>
          <w:p w14:paraId="3188789C">
            <w:pPr>
              <w:spacing w:line="360" w:lineRule="auto"/>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1"/>
                <w:szCs w:val="21"/>
              </w:rPr>
              <w:t>地表水环境敏感特征</w:t>
            </w:r>
          </w:p>
        </w:tc>
      </w:tr>
      <w:tr w14:paraId="5659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20ADD089">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敏感F1</w:t>
            </w:r>
          </w:p>
        </w:tc>
        <w:tc>
          <w:tcPr>
            <w:tcW w:w="7907" w:type="dxa"/>
          </w:tcPr>
          <w:p w14:paraId="762CB48D">
            <w:pPr>
              <w:spacing w:line="240" w:lineRule="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排放点进入地表水水域环境功能为Ⅱ类及以上，或海水水质分类第一类；或以发生事故时，危险物质泄漏到水体的排放点算起，排放进入受纳河流最大流速时，24h流经范围内涉跨国界的</w:t>
            </w:r>
            <w:r>
              <w:rPr>
                <w:rFonts w:hint="default" w:ascii="Times New Roman" w:hAnsi="Times New Roman" w:eastAsia="宋体" w:cs="Times New Roman"/>
                <w:color w:val="auto"/>
                <w:sz w:val="21"/>
                <w:szCs w:val="21"/>
                <w:lang w:eastAsia="zh-CN"/>
              </w:rPr>
              <w:t>。</w:t>
            </w:r>
          </w:p>
        </w:tc>
      </w:tr>
      <w:tr w14:paraId="2D52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2090DF97">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较敏感F2</w:t>
            </w:r>
          </w:p>
        </w:tc>
        <w:tc>
          <w:tcPr>
            <w:tcW w:w="7907" w:type="dxa"/>
          </w:tcPr>
          <w:p w14:paraId="1944E253">
            <w:pPr>
              <w:spacing w:line="240" w:lineRule="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排放点进入地表水水域环境功能为Ⅲ类，或海水水质分类第二类；或以发生事故时，危险物质泄漏到水体的排放点算起，排放进入受纳河流最大流速时，24h流经范围内涉跨省界的</w:t>
            </w:r>
            <w:r>
              <w:rPr>
                <w:rFonts w:hint="default" w:ascii="Times New Roman" w:hAnsi="Times New Roman" w:eastAsia="宋体" w:cs="Times New Roman"/>
                <w:color w:val="auto"/>
                <w:sz w:val="21"/>
                <w:szCs w:val="21"/>
                <w:lang w:eastAsia="zh-CN"/>
              </w:rPr>
              <w:t>。</w:t>
            </w:r>
          </w:p>
        </w:tc>
      </w:tr>
      <w:tr w14:paraId="13F9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17440086">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低敏感F3</w:t>
            </w:r>
          </w:p>
        </w:tc>
        <w:tc>
          <w:tcPr>
            <w:tcW w:w="7907" w:type="dxa"/>
          </w:tcPr>
          <w:p w14:paraId="4A8A5883">
            <w:pPr>
              <w:spacing w:line="240" w:lineRule="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上述地区之外的其他地区</w:t>
            </w:r>
            <w:r>
              <w:rPr>
                <w:rFonts w:hint="default" w:ascii="Times New Roman" w:hAnsi="Times New Roman" w:eastAsia="宋体" w:cs="Times New Roman"/>
                <w:color w:val="auto"/>
                <w:sz w:val="21"/>
                <w:szCs w:val="21"/>
                <w:lang w:eastAsia="zh-CN"/>
              </w:rPr>
              <w:t>。</w:t>
            </w:r>
          </w:p>
        </w:tc>
      </w:tr>
    </w:tbl>
    <w:p w14:paraId="3B1BF0D8">
      <w:pPr>
        <w:spacing w:line="360" w:lineRule="auto"/>
        <w:ind w:firstLine="480" w:firstLineChars="200"/>
        <w:rPr>
          <w:rFonts w:hint="eastAsia" w:eastAsia="宋体"/>
          <w:color w:val="auto"/>
          <w:sz w:val="24"/>
          <w:szCs w:val="24"/>
          <w:lang w:eastAsia="zh-CN"/>
        </w:rPr>
      </w:pPr>
      <w:r>
        <w:rPr>
          <w:color w:val="auto"/>
          <w:sz w:val="24"/>
          <w:szCs w:val="24"/>
        </w:rPr>
        <w:t>项目区</w:t>
      </w:r>
      <w:r>
        <w:rPr>
          <w:rFonts w:hint="eastAsia"/>
          <w:color w:val="auto"/>
          <w:sz w:val="24"/>
          <w:szCs w:val="24"/>
        </w:rPr>
        <w:t>附近的</w:t>
      </w:r>
      <w:r>
        <w:rPr>
          <w:color w:val="auto"/>
          <w:sz w:val="24"/>
          <w:szCs w:val="24"/>
        </w:rPr>
        <w:t>兔耳河</w:t>
      </w:r>
      <w:r>
        <w:rPr>
          <w:rFonts w:hint="eastAsia"/>
          <w:color w:val="auto"/>
          <w:sz w:val="24"/>
          <w:szCs w:val="24"/>
        </w:rPr>
        <w:t>，</w:t>
      </w:r>
      <w:r>
        <w:rPr>
          <w:color w:val="auto"/>
          <w:sz w:val="24"/>
          <w:szCs w:val="24"/>
        </w:rPr>
        <w:t>兔耳河汇入前进河，前进河从三月三水库自南向北流入牛栏江，属于长江流域</w:t>
      </w:r>
      <w:r>
        <w:rPr>
          <w:rFonts w:hint="eastAsia"/>
          <w:color w:val="auto"/>
          <w:sz w:val="24"/>
          <w:szCs w:val="24"/>
        </w:rPr>
        <w:t>为Ⅲ类功能区划，</w:t>
      </w:r>
      <w:r>
        <w:rPr>
          <w:rFonts w:hint="eastAsia"/>
          <w:color w:val="auto"/>
          <w:sz w:val="24"/>
          <w:szCs w:val="24"/>
          <w:lang w:val="en-US" w:eastAsia="zh-CN"/>
        </w:rPr>
        <w:t>扩建</w:t>
      </w:r>
      <w:r>
        <w:rPr>
          <w:color w:val="auto"/>
          <w:sz w:val="24"/>
          <w:szCs w:val="24"/>
        </w:rPr>
        <w:t>项目产生的生活污水排入化粪池后，委托</w:t>
      </w:r>
      <w:r>
        <w:rPr>
          <w:rFonts w:hint="eastAsia"/>
          <w:color w:val="auto"/>
          <w:sz w:val="24"/>
          <w:szCs w:val="24"/>
        </w:rPr>
        <w:t>寻甸县</w:t>
      </w:r>
      <w:r>
        <w:rPr>
          <w:color w:val="auto"/>
          <w:sz w:val="24"/>
          <w:szCs w:val="24"/>
        </w:rPr>
        <w:t>环卫部门</w:t>
      </w:r>
      <w:r>
        <w:rPr>
          <w:rFonts w:hint="eastAsia"/>
          <w:color w:val="auto"/>
          <w:sz w:val="24"/>
          <w:szCs w:val="24"/>
          <w:lang w:val="en-US" w:eastAsia="zh-CN"/>
        </w:rPr>
        <w:t>15天</w:t>
      </w:r>
      <w:r>
        <w:rPr>
          <w:color w:val="auto"/>
          <w:sz w:val="24"/>
          <w:szCs w:val="24"/>
        </w:rPr>
        <w:t>抽运一次，</w:t>
      </w:r>
      <w:r>
        <w:rPr>
          <w:rFonts w:hint="eastAsia"/>
          <w:color w:val="auto"/>
          <w:sz w:val="24"/>
          <w:szCs w:val="24"/>
        </w:rPr>
        <w:t>运至寻甸县污水处理厂处理，</w:t>
      </w:r>
      <w:r>
        <w:rPr>
          <w:color w:val="auto"/>
          <w:sz w:val="24"/>
          <w:szCs w:val="24"/>
        </w:rPr>
        <w:t>不外排</w:t>
      </w:r>
      <w:r>
        <w:rPr>
          <w:rFonts w:hint="eastAsia"/>
          <w:color w:val="auto"/>
          <w:sz w:val="24"/>
          <w:szCs w:val="24"/>
        </w:rPr>
        <w:t>，项目地表水功能敏感区为较敏感F</w:t>
      </w:r>
      <w:r>
        <w:rPr>
          <w:rFonts w:hint="eastAsia"/>
          <w:color w:val="auto"/>
          <w:sz w:val="24"/>
          <w:szCs w:val="24"/>
          <w:lang w:val="en-US" w:eastAsia="zh-CN"/>
        </w:rPr>
        <w:t>2</w:t>
      </w:r>
      <w:r>
        <w:rPr>
          <w:rFonts w:hint="eastAsia"/>
          <w:color w:val="auto"/>
          <w:sz w:val="24"/>
          <w:szCs w:val="24"/>
          <w:lang w:eastAsia="zh-CN"/>
        </w:rPr>
        <w:t>。</w:t>
      </w:r>
    </w:p>
    <w:p w14:paraId="2C0AC7BD">
      <w:pPr>
        <w:spacing w:line="240" w:lineRule="auto"/>
        <w:ind w:firstLine="422" w:firstLineChars="200"/>
        <w:jc w:val="center"/>
        <w:rPr>
          <w:b/>
          <w:bCs/>
          <w:color w:val="auto"/>
          <w:sz w:val="21"/>
          <w:szCs w:val="21"/>
        </w:rPr>
      </w:pPr>
      <w:r>
        <w:rPr>
          <w:rFonts w:hint="eastAsia" w:ascii="宋体" w:hAnsi="宋体" w:eastAsia="宋体" w:cs="宋体"/>
          <w:b/>
          <w:bCs/>
          <w:color w:val="auto"/>
          <w:sz w:val="21"/>
          <w:szCs w:val="21"/>
          <w:lang w:val="en-US" w:eastAsia="zh-CN"/>
        </w:rPr>
        <w:t>表1</w:t>
      </w: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 xml:space="preserve">  </w:t>
      </w:r>
      <w:r>
        <w:rPr>
          <w:rFonts w:ascii="宋体" w:hAnsi="宋体" w:eastAsia="宋体" w:cs="宋体"/>
          <w:b/>
          <w:bCs/>
          <w:color w:val="auto"/>
          <w:sz w:val="21"/>
          <w:szCs w:val="21"/>
        </w:rPr>
        <w:t>环境敏感目标分级</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8274"/>
      </w:tblGrid>
      <w:tr w14:paraId="17D7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171A4DD">
            <w:pPr>
              <w:spacing w:line="240" w:lineRule="auto"/>
              <w:jc w:val="center"/>
              <w:rPr>
                <w:rFonts w:hint="eastAsia" w:eastAsia="宋体"/>
                <w:b/>
                <w:bCs/>
                <w:color w:val="auto"/>
                <w:sz w:val="21"/>
                <w:szCs w:val="21"/>
                <w:vertAlign w:val="baseline"/>
                <w:lang w:val="en-US" w:eastAsia="zh-CN"/>
              </w:rPr>
            </w:pPr>
            <w:r>
              <w:rPr>
                <w:rFonts w:hint="eastAsia"/>
                <w:b/>
                <w:bCs/>
                <w:color w:val="auto"/>
                <w:sz w:val="21"/>
                <w:szCs w:val="21"/>
                <w:vertAlign w:val="baseline"/>
                <w:lang w:val="en-US" w:eastAsia="zh-CN"/>
              </w:rPr>
              <w:t>分级</w:t>
            </w:r>
          </w:p>
        </w:tc>
        <w:tc>
          <w:tcPr>
            <w:tcW w:w="8274" w:type="dxa"/>
            <w:vAlign w:val="center"/>
          </w:tcPr>
          <w:p w14:paraId="0E35FF2F">
            <w:pPr>
              <w:spacing w:line="240" w:lineRule="auto"/>
              <w:jc w:val="center"/>
              <w:rPr>
                <w:rFonts w:hint="eastAsia"/>
                <w:b/>
                <w:bCs/>
                <w:color w:val="auto"/>
                <w:sz w:val="21"/>
                <w:szCs w:val="21"/>
                <w:vertAlign w:val="baseline"/>
              </w:rPr>
            </w:pPr>
            <w:r>
              <w:rPr>
                <w:rFonts w:ascii="宋体" w:hAnsi="宋体" w:eastAsia="宋体" w:cs="宋体"/>
                <w:b/>
                <w:bCs/>
                <w:color w:val="auto"/>
                <w:sz w:val="21"/>
                <w:szCs w:val="21"/>
              </w:rPr>
              <w:t>环境敏感目标</w:t>
            </w:r>
          </w:p>
        </w:tc>
      </w:tr>
      <w:tr w14:paraId="64E5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C2FA678">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S1</w:t>
            </w:r>
          </w:p>
        </w:tc>
        <w:tc>
          <w:tcPr>
            <w:tcW w:w="8274" w:type="dxa"/>
          </w:tcPr>
          <w:p w14:paraId="449BFE70">
            <w:pPr>
              <w:spacing w:line="240" w:lineRule="auto"/>
              <w:rPr>
                <w:rFonts w:hint="eastAsia" w:eastAsia="宋体"/>
                <w:color w:val="auto"/>
                <w:sz w:val="21"/>
                <w:szCs w:val="21"/>
                <w:vertAlign w:val="baseline"/>
                <w:lang w:eastAsia="zh-CN"/>
              </w:rPr>
            </w:pPr>
            <w:r>
              <w:rPr>
                <w:rFonts w:ascii="宋体" w:hAnsi="宋体" w:eastAsia="宋体" w:cs="宋体"/>
                <w:color w:val="auto"/>
                <w:sz w:val="21"/>
                <w:szCs w:val="21"/>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 产地；红树林、珊瑚礁等滨海湿地生态系统；珍稀、濒危海洋生物的天然集中分布区；海洋特别保护区；海上自然保护区；盐场保护区；海水浴场；海洋自然历史遗迹；风景名胜区；或其他特殊重要保护区域</w:t>
            </w:r>
            <w:r>
              <w:rPr>
                <w:rFonts w:hint="eastAsia" w:ascii="宋体" w:hAnsi="宋体" w:eastAsia="宋体" w:cs="宋体"/>
                <w:color w:val="auto"/>
                <w:sz w:val="21"/>
                <w:szCs w:val="21"/>
                <w:lang w:eastAsia="zh-CN"/>
              </w:rPr>
              <w:t>。</w:t>
            </w:r>
          </w:p>
        </w:tc>
      </w:tr>
      <w:tr w14:paraId="0A4D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55E8C24">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S2</w:t>
            </w:r>
          </w:p>
        </w:tc>
        <w:tc>
          <w:tcPr>
            <w:tcW w:w="8274" w:type="dxa"/>
          </w:tcPr>
          <w:p w14:paraId="291FD72C">
            <w:pPr>
              <w:spacing w:line="240" w:lineRule="auto"/>
              <w:rPr>
                <w:rFonts w:hint="eastAsia" w:eastAsia="宋体"/>
                <w:color w:val="auto"/>
                <w:sz w:val="21"/>
                <w:szCs w:val="21"/>
                <w:vertAlign w:val="baseline"/>
                <w:lang w:val="en-US" w:eastAsia="zh-CN"/>
              </w:rPr>
            </w:pPr>
            <w:r>
              <w:rPr>
                <w:rFonts w:ascii="宋体" w:hAnsi="宋体" w:eastAsia="宋体" w:cs="宋体"/>
                <w:color w:val="auto"/>
                <w:sz w:val="21"/>
                <w:szCs w:val="21"/>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r>
              <w:rPr>
                <w:rFonts w:hint="eastAsia" w:ascii="宋体" w:hAnsi="宋体" w:eastAsia="宋体" w:cs="宋体"/>
                <w:color w:val="auto"/>
                <w:sz w:val="21"/>
                <w:szCs w:val="21"/>
                <w:lang w:eastAsia="zh-CN"/>
              </w:rPr>
              <w:t>。</w:t>
            </w:r>
          </w:p>
        </w:tc>
      </w:tr>
      <w:tr w14:paraId="4CE3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E91A0D4">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S3</w:t>
            </w:r>
          </w:p>
        </w:tc>
        <w:tc>
          <w:tcPr>
            <w:tcW w:w="8274" w:type="dxa"/>
          </w:tcPr>
          <w:p w14:paraId="3220A41E">
            <w:pPr>
              <w:spacing w:line="240" w:lineRule="auto"/>
              <w:rPr>
                <w:rFonts w:hint="eastAsia" w:eastAsia="宋体"/>
                <w:color w:val="auto"/>
                <w:sz w:val="21"/>
                <w:szCs w:val="21"/>
                <w:vertAlign w:val="baseline"/>
                <w:lang w:val="en-US" w:eastAsia="zh-CN"/>
              </w:rPr>
            </w:pPr>
            <w:r>
              <w:rPr>
                <w:rFonts w:ascii="宋体" w:hAnsi="宋体" w:eastAsia="宋体" w:cs="宋体"/>
                <w:color w:val="auto"/>
                <w:sz w:val="21"/>
                <w:szCs w:val="21"/>
              </w:rPr>
              <w:t>排放点下游（顺水流向）10km范围、近岸海域一个潮周期水质点可能达到的最大水平距离的两倍范围内无上述类型1和类型2包括的敏感保护目标</w:t>
            </w:r>
            <w:r>
              <w:rPr>
                <w:rFonts w:hint="eastAsia" w:ascii="宋体" w:hAnsi="宋体" w:eastAsia="宋体" w:cs="宋体"/>
                <w:color w:val="auto"/>
                <w:sz w:val="21"/>
                <w:szCs w:val="21"/>
                <w:lang w:val="en-US" w:eastAsia="zh-CN"/>
              </w:rPr>
              <w:t>。</w:t>
            </w:r>
          </w:p>
        </w:tc>
      </w:tr>
    </w:tbl>
    <w:p w14:paraId="10FE94DD">
      <w:pPr>
        <w:spacing w:line="360" w:lineRule="auto"/>
        <w:ind w:firstLine="480" w:firstLineChars="200"/>
        <w:rPr>
          <w:rFonts w:hint="eastAsia"/>
          <w:color w:val="auto"/>
          <w:sz w:val="24"/>
          <w:szCs w:val="24"/>
        </w:rPr>
      </w:pPr>
      <w:r>
        <w:rPr>
          <w:rFonts w:hint="eastAsia"/>
          <w:color w:val="auto"/>
          <w:sz w:val="24"/>
          <w:szCs w:val="24"/>
        </w:rPr>
        <w:t>项目10km范围内有汇龙森林公园、前进河生态湿地，项目环境敏感目标分级为S2，确定项目地表水环境敏感程度为E</w:t>
      </w:r>
      <w:r>
        <w:rPr>
          <w:rFonts w:hint="eastAsia"/>
          <w:color w:val="auto"/>
          <w:sz w:val="24"/>
          <w:szCs w:val="24"/>
          <w:lang w:val="en-US" w:eastAsia="zh-CN"/>
        </w:rPr>
        <w:t>2</w:t>
      </w:r>
      <w:r>
        <w:rPr>
          <w:rFonts w:hint="eastAsia"/>
          <w:color w:val="auto"/>
          <w:sz w:val="24"/>
          <w:szCs w:val="24"/>
        </w:rPr>
        <w:t>。</w:t>
      </w:r>
    </w:p>
    <w:p w14:paraId="7C4C5867">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6.地下水</w:t>
      </w:r>
    </w:p>
    <w:p w14:paraId="4CB53FF9">
      <w:pPr>
        <w:pStyle w:val="31"/>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对照风险导则附录D中分级原则，</w:t>
      </w:r>
      <w:r>
        <w:rPr>
          <w:rFonts w:hint="default" w:ascii="Times New Roman" w:hAnsi="Times New Roman" w:eastAsia="宋体" w:cs="Times New Roman"/>
          <w:color w:val="auto"/>
          <w:sz w:val="24"/>
          <w:szCs w:val="24"/>
          <w:lang w:val="en-US" w:eastAsia="zh-CN"/>
        </w:rPr>
        <w:t>地下水环境敏感程度分级如下表</w:t>
      </w:r>
      <w:r>
        <w:rPr>
          <w:rFonts w:hint="eastAsia" w:ascii="Times New Roman" w:hAnsi="Times New Roman" w:eastAsia="宋体" w:cs="Times New Roman"/>
          <w:color w:val="auto"/>
          <w:sz w:val="24"/>
          <w:szCs w:val="24"/>
          <w:lang w:val="en-US" w:eastAsia="zh-CN"/>
        </w:rPr>
        <w:t>。</w:t>
      </w:r>
    </w:p>
    <w:p w14:paraId="05A6BA91">
      <w:pPr>
        <w:pStyle w:val="31"/>
        <w:spacing w:line="240" w:lineRule="auto"/>
        <w:ind w:firstLine="42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表1</w:t>
      </w:r>
      <w:r>
        <w:rPr>
          <w:rFonts w:hint="eastAsia" w:ascii="Times New Roman" w:hAnsi="Times New Roman" w:eastAsia="宋体" w:cs="Times New Roman"/>
          <w:b/>
          <w:bCs/>
          <w:color w:val="auto"/>
          <w:sz w:val="21"/>
          <w:szCs w:val="21"/>
          <w:lang w:val="en-US" w:eastAsia="zh-CN"/>
        </w:rPr>
        <w:t>2</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地下水环境敏感程度分级</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5"/>
      </w:tblGrid>
      <w:tr w14:paraId="40D1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vAlign w:val="center"/>
          </w:tcPr>
          <w:p w14:paraId="1ACA5ED4">
            <w:pPr>
              <w:spacing w:line="24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rPr>
              <w:t>包气带防污性能</w:t>
            </w:r>
          </w:p>
        </w:tc>
        <w:tc>
          <w:tcPr>
            <w:tcW w:w="3750" w:type="pct"/>
            <w:gridSpan w:val="3"/>
            <w:vAlign w:val="center"/>
          </w:tcPr>
          <w:p w14:paraId="5281EE31">
            <w:pPr>
              <w:spacing w:line="240" w:lineRule="auto"/>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1"/>
                <w:szCs w:val="21"/>
              </w:rPr>
              <w:t>地下水功能敏感性</w:t>
            </w:r>
          </w:p>
        </w:tc>
      </w:tr>
      <w:tr w14:paraId="63F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vAlign w:val="center"/>
          </w:tcPr>
          <w:p w14:paraId="249C7FEF">
            <w:pPr>
              <w:spacing w:line="240" w:lineRule="auto"/>
              <w:jc w:val="center"/>
              <w:rPr>
                <w:rFonts w:hint="default" w:ascii="Times New Roman" w:hAnsi="Times New Roman" w:eastAsia="宋体" w:cs="Times New Roman"/>
                <w:color w:val="auto"/>
                <w:szCs w:val="21"/>
                <w:vertAlign w:val="baseline"/>
                <w:lang w:val="en-US" w:eastAsia="zh-CN"/>
              </w:rPr>
            </w:pPr>
          </w:p>
        </w:tc>
        <w:tc>
          <w:tcPr>
            <w:tcW w:w="1250" w:type="pct"/>
            <w:vAlign w:val="center"/>
          </w:tcPr>
          <w:p w14:paraId="0C656693">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G1</w:t>
            </w:r>
          </w:p>
        </w:tc>
        <w:tc>
          <w:tcPr>
            <w:tcW w:w="1250" w:type="pct"/>
            <w:vAlign w:val="center"/>
          </w:tcPr>
          <w:p w14:paraId="6ABC835F">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G2</w:t>
            </w:r>
          </w:p>
        </w:tc>
        <w:tc>
          <w:tcPr>
            <w:tcW w:w="1250" w:type="pct"/>
            <w:vAlign w:val="center"/>
          </w:tcPr>
          <w:p w14:paraId="2F32362D">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b/>
                <w:bCs/>
                <w:color w:val="auto"/>
                <w:szCs w:val="21"/>
                <w:vertAlign w:val="baseline"/>
                <w:lang w:val="en-US" w:eastAsia="zh-CN"/>
              </w:rPr>
              <w:t>G3</w:t>
            </w:r>
          </w:p>
        </w:tc>
      </w:tr>
      <w:tr w14:paraId="3AAB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70EF9C59">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b/>
                <w:bCs/>
                <w:color w:val="auto"/>
                <w:szCs w:val="21"/>
                <w:vertAlign w:val="baseline"/>
                <w:lang w:val="en-US" w:eastAsia="zh-CN"/>
              </w:rPr>
              <w:t>D1</w:t>
            </w:r>
          </w:p>
        </w:tc>
        <w:tc>
          <w:tcPr>
            <w:tcW w:w="1250" w:type="pct"/>
            <w:vAlign w:val="center"/>
          </w:tcPr>
          <w:p w14:paraId="031D9AEF">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E1</w:t>
            </w:r>
          </w:p>
        </w:tc>
        <w:tc>
          <w:tcPr>
            <w:tcW w:w="1250" w:type="pct"/>
            <w:vAlign w:val="center"/>
          </w:tcPr>
          <w:p w14:paraId="1FBAA9DA">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E1</w:t>
            </w:r>
          </w:p>
        </w:tc>
        <w:tc>
          <w:tcPr>
            <w:tcW w:w="1250" w:type="pct"/>
            <w:vAlign w:val="center"/>
          </w:tcPr>
          <w:p w14:paraId="53286157">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E2</w:t>
            </w:r>
          </w:p>
        </w:tc>
      </w:tr>
      <w:tr w14:paraId="18E1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7EB9FF3C">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D2</w:t>
            </w:r>
          </w:p>
        </w:tc>
        <w:tc>
          <w:tcPr>
            <w:tcW w:w="1250" w:type="pct"/>
            <w:vAlign w:val="center"/>
          </w:tcPr>
          <w:p w14:paraId="246189C9">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E1</w:t>
            </w:r>
          </w:p>
        </w:tc>
        <w:tc>
          <w:tcPr>
            <w:tcW w:w="1250" w:type="pct"/>
            <w:vAlign w:val="center"/>
          </w:tcPr>
          <w:p w14:paraId="5DC934AA">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E2</w:t>
            </w:r>
          </w:p>
        </w:tc>
        <w:tc>
          <w:tcPr>
            <w:tcW w:w="1250" w:type="pct"/>
            <w:vAlign w:val="center"/>
          </w:tcPr>
          <w:p w14:paraId="5D45A416">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E3</w:t>
            </w:r>
          </w:p>
        </w:tc>
      </w:tr>
      <w:tr w14:paraId="150B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26F453F0">
            <w:pPr>
              <w:spacing w:line="240" w:lineRule="auto"/>
              <w:jc w:val="center"/>
              <w:rPr>
                <w:rFonts w:hint="default" w:ascii="Times New Roman" w:hAnsi="Times New Roman"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D3</w:t>
            </w:r>
          </w:p>
        </w:tc>
        <w:tc>
          <w:tcPr>
            <w:tcW w:w="1250" w:type="pct"/>
            <w:vAlign w:val="center"/>
          </w:tcPr>
          <w:p w14:paraId="0E3F66EE">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E2</w:t>
            </w:r>
          </w:p>
        </w:tc>
        <w:tc>
          <w:tcPr>
            <w:tcW w:w="1250" w:type="pct"/>
            <w:vAlign w:val="center"/>
          </w:tcPr>
          <w:p w14:paraId="7FA603F6">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E3</w:t>
            </w:r>
          </w:p>
        </w:tc>
        <w:tc>
          <w:tcPr>
            <w:tcW w:w="1250" w:type="pct"/>
            <w:vAlign w:val="center"/>
          </w:tcPr>
          <w:p w14:paraId="362048AD">
            <w:pPr>
              <w:spacing w:line="240" w:lineRule="auto"/>
              <w:jc w:val="center"/>
              <w:rPr>
                <w:rFonts w:hint="default" w:ascii="Times New Roman" w:hAnsi="Times New Roman" w:eastAsia="宋体" w:cs="Times New Roman"/>
                <w:color w:val="auto"/>
                <w:szCs w:val="21"/>
                <w:vertAlign w:val="baseline"/>
                <w:lang w:val="en-US" w:eastAsia="zh-CN"/>
              </w:rPr>
            </w:pPr>
            <w:r>
              <w:rPr>
                <w:rFonts w:hint="default" w:ascii="Times New Roman" w:hAnsi="Times New Roman" w:cs="Times New Roman"/>
                <w:color w:val="auto"/>
                <w:szCs w:val="21"/>
                <w:vertAlign w:val="baseline"/>
                <w:lang w:val="en-US" w:eastAsia="zh-CN"/>
              </w:rPr>
              <w:t>E3</w:t>
            </w:r>
          </w:p>
        </w:tc>
      </w:tr>
    </w:tbl>
    <w:p w14:paraId="6CD16E9B">
      <w:pPr>
        <w:pStyle w:val="31"/>
        <w:spacing w:line="240" w:lineRule="auto"/>
        <w:ind w:firstLine="420"/>
        <w:jc w:val="center"/>
        <w:rPr>
          <w:rFonts w:ascii="宋体" w:hAnsi="宋体" w:eastAsia="宋体" w:cs="宋体"/>
          <w:color w:val="auto"/>
          <w:sz w:val="21"/>
          <w:szCs w:val="21"/>
        </w:rPr>
      </w:pPr>
      <w:r>
        <w:rPr>
          <w:rFonts w:hint="default" w:ascii="Times New Roman" w:hAnsi="Times New Roman" w:eastAsia="宋体" w:cs="Times New Roman"/>
          <w:b/>
          <w:bCs/>
          <w:color w:val="auto"/>
          <w:sz w:val="21"/>
          <w:szCs w:val="21"/>
          <w:lang w:val="en-US" w:eastAsia="zh-CN"/>
        </w:rPr>
        <w:t xml:space="preserve">表11  </w:t>
      </w:r>
      <w:r>
        <w:rPr>
          <w:rFonts w:ascii="宋体" w:hAnsi="宋体" w:eastAsia="宋体" w:cs="宋体"/>
          <w:color w:val="auto"/>
          <w:sz w:val="21"/>
          <w:szCs w:val="21"/>
        </w:rPr>
        <w:t>地下水功能敏感性分区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8274"/>
      </w:tblGrid>
      <w:tr w14:paraId="4D49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1505939">
            <w:pPr>
              <w:spacing w:line="240" w:lineRule="auto"/>
              <w:jc w:val="center"/>
              <w:rPr>
                <w:rFonts w:hint="eastAsia" w:eastAsia="宋体"/>
                <w:b/>
                <w:bCs/>
                <w:color w:val="auto"/>
                <w:sz w:val="21"/>
                <w:szCs w:val="21"/>
                <w:vertAlign w:val="baseline"/>
                <w:lang w:val="en-US" w:eastAsia="zh-CN"/>
              </w:rPr>
            </w:pPr>
            <w:r>
              <w:rPr>
                <w:rFonts w:hint="eastAsia"/>
                <w:b/>
                <w:bCs/>
                <w:color w:val="auto"/>
                <w:sz w:val="21"/>
                <w:szCs w:val="21"/>
                <w:vertAlign w:val="baseline"/>
                <w:lang w:val="en-US" w:eastAsia="zh-CN"/>
              </w:rPr>
              <w:t>分级</w:t>
            </w:r>
          </w:p>
        </w:tc>
        <w:tc>
          <w:tcPr>
            <w:tcW w:w="8274" w:type="dxa"/>
            <w:vAlign w:val="center"/>
          </w:tcPr>
          <w:p w14:paraId="4055BA8A">
            <w:pPr>
              <w:spacing w:line="240" w:lineRule="auto"/>
              <w:jc w:val="center"/>
              <w:rPr>
                <w:rFonts w:hint="eastAsia"/>
                <w:b/>
                <w:bCs/>
                <w:color w:val="auto"/>
                <w:sz w:val="21"/>
                <w:szCs w:val="21"/>
                <w:vertAlign w:val="baseline"/>
              </w:rPr>
            </w:pPr>
            <w:r>
              <w:rPr>
                <w:rFonts w:ascii="宋体" w:hAnsi="宋体" w:eastAsia="宋体" w:cs="宋体"/>
                <w:b/>
                <w:bCs/>
                <w:color w:val="auto"/>
                <w:sz w:val="21"/>
                <w:szCs w:val="21"/>
              </w:rPr>
              <w:t>地下水环境敏感特征</w:t>
            </w:r>
          </w:p>
        </w:tc>
      </w:tr>
      <w:tr w14:paraId="3B8E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2791F05">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G1</w:t>
            </w:r>
          </w:p>
        </w:tc>
        <w:tc>
          <w:tcPr>
            <w:tcW w:w="8274" w:type="dxa"/>
          </w:tcPr>
          <w:p w14:paraId="57E1758C">
            <w:pPr>
              <w:spacing w:line="240" w:lineRule="auto"/>
              <w:rPr>
                <w:rFonts w:hint="eastAsia" w:eastAsia="宋体"/>
                <w:color w:val="auto"/>
                <w:sz w:val="21"/>
                <w:szCs w:val="21"/>
                <w:vertAlign w:val="baseline"/>
                <w:lang w:eastAsia="zh-CN"/>
              </w:rPr>
            </w:pPr>
            <w:r>
              <w:rPr>
                <w:rFonts w:ascii="宋体" w:hAnsi="宋体" w:eastAsia="宋体" w:cs="宋体"/>
                <w:color w:val="auto"/>
                <w:sz w:val="21"/>
                <w:szCs w:val="21"/>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r>
              <w:rPr>
                <w:rFonts w:hint="eastAsia" w:ascii="宋体" w:hAnsi="宋体" w:eastAsia="宋体" w:cs="宋体"/>
                <w:color w:val="auto"/>
                <w:sz w:val="21"/>
                <w:szCs w:val="21"/>
                <w:lang w:eastAsia="zh-CN"/>
              </w:rPr>
              <w:t>。</w:t>
            </w:r>
          </w:p>
        </w:tc>
      </w:tr>
      <w:tr w14:paraId="7B76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1115B5A">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G2</w:t>
            </w:r>
          </w:p>
        </w:tc>
        <w:tc>
          <w:tcPr>
            <w:tcW w:w="8274" w:type="dxa"/>
          </w:tcPr>
          <w:p w14:paraId="423B58F7">
            <w:pPr>
              <w:spacing w:line="240" w:lineRule="auto"/>
              <w:rPr>
                <w:rFonts w:hint="eastAsia" w:eastAsia="宋体"/>
                <w:color w:val="auto"/>
                <w:sz w:val="21"/>
                <w:szCs w:val="21"/>
                <w:vertAlign w:val="baseline"/>
                <w:lang w:val="en-US" w:eastAsia="zh-CN"/>
              </w:rPr>
            </w:pPr>
            <w:r>
              <w:rPr>
                <w:rFonts w:ascii="宋体" w:hAnsi="宋体" w:eastAsia="宋体" w:cs="宋体"/>
                <w:color w:val="auto"/>
                <w:sz w:val="21"/>
                <w:szCs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a</w:t>
            </w:r>
            <w:r>
              <w:rPr>
                <w:rFonts w:hint="eastAsia" w:ascii="宋体" w:hAnsi="宋体" w:eastAsia="宋体" w:cs="宋体"/>
                <w:color w:val="auto"/>
                <w:sz w:val="21"/>
                <w:szCs w:val="21"/>
                <w:lang w:eastAsia="zh-CN"/>
              </w:rPr>
              <w:t>。</w:t>
            </w:r>
          </w:p>
        </w:tc>
      </w:tr>
      <w:tr w14:paraId="34D4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7CFB670">
            <w:pPr>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G3</w:t>
            </w:r>
          </w:p>
        </w:tc>
        <w:tc>
          <w:tcPr>
            <w:tcW w:w="8274" w:type="dxa"/>
          </w:tcPr>
          <w:p w14:paraId="5245E3AC">
            <w:pPr>
              <w:spacing w:line="240" w:lineRule="auto"/>
              <w:rPr>
                <w:rFonts w:hint="eastAsia" w:eastAsia="宋体"/>
                <w:color w:val="auto"/>
                <w:sz w:val="21"/>
                <w:szCs w:val="21"/>
                <w:vertAlign w:val="baseline"/>
                <w:lang w:val="en-US" w:eastAsia="zh-CN"/>
              </w:rPr>
            </w:pPr>
            <w:r>
              <w:rPr>
                <w:rFonts w:ascii="宋体" w:hAnsi="宋体" w:eastAsia="宋体" w:cs="宋体"/>
                <w:color w:val="auto"/>
                <w:sz w:val="21"/>
                <w:szCs w:val="21"/>
              </w:rPr>
              <w:t>上述地区之外的其他地区</w:t>
            </w:r>
            <w:r>
              <w:rPr>
                <w:rFonts w:hint="eastAsia" w:ascii="宋体" w:hAnsi="宋体" w:eastAsia="宋体" w:cs="宋体"/>
                <w:color w:val="auto"/>
                <w:sz w:val="21"/>
                <w:szCs w:val="21"/>
                <w:lang w:val="en-US" w:eastAsia="zh-CN"/>
              </w:rPr>
              <w:t>。</w:t>
            </w:r>
          </w:p>
        </w:tc>
      </w:tr>
      <w:tr w14:paraId="7204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vAlign w:val="center"/>
          </w:tcPr>
          <w:p w14:paraId="46BBBA1D">
            <w:pPr>
              <w:spacing w:line="240" w:lineRule="auto"/>
              <w:rPr>
                <w:rFonts w:ascii="宋体" w:hAnsi="宋体" w:eastAsia="宋体" w:cs="宋体"/>
                <w:color w:val="auto"/>
                <w:sz w:val="21"/>
                <w:szCs w:val="21"/>
              </w:rPr>
            </w:pPr>
            <w:r>
              <w:rPr>
                <w:rFonts w:ascii="宋体" w:hAnsi="宋体" w:eastAsia="宋体" w:cs="宋体"/>
                <w:color w:val="auto"/>
                <w:sz w:val="21"/>
                <w:szCs w:val="21"/>
              </w:rPr>
              <w:t>a“环境敏感区”是指《建设项目环境影响评价分类管理名录》中所界定的涉及地下水的环境敏感区。</w:t>
            </w:r>
          </w:p>
        </w:tc>
      </w:tr>
    </w:tbl>
    <w:p w14:paraId="088C94E5">
      <w:pPr>
        <w:pStyle w:val="31"/>
        <w:keepNext w:val="0"/>
        <w:keepLines w:val="0"/>
        <w:pageBreakBefore w:val="0"/>
        <w:widowControl/>
        <w:kinsoku/>
        <w:wordWrap/>
        <w:overflowPunct/>
        <w:topLinePunct w:val="0"/>
        <w:autoSpaceDE/>
        <w:autoSpaceDN/>
        <w:bidi w:val="0"/>
        <w:adjustRightInd/>
        <w:snapToGrid w:val="0"/>
        <w:spacing w:line="360" w:lineRule="auto"/>
        <w:ind w:firstLine="420"/>
        <w:jc w:val="left"/>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color w:val="auto"/>
          <w:sz w:val="24"/>
          <w:szCs w:val="24"/>
        </w:rPr>
        <w:t>建设项目调查评价区内无集中式饮用水水源地（包括已建成的在用、备用、应急水源，在建和规划的饮用水水源）准保护区以外的补给径流区；无未划定准保护区的集中水式饮用水水源，其保护区以外的补给径流区；无分散式饮用水水源地；无特殊地下水资源（如矿泉水、温泉等）保护区，故地下水功能敏感区为G3。</w:t>
      </w:r>
    </w:p>
    <w:p w14:paraId="03B99BB6">
      <w:pPr>
        <w:pStyle w:val="31"/>
        <w:spacing w:line="240" w:lineRule="auto"/>
        <w:ind w:firstLine="420"/>
        <w:jc w:val="center"/>
        <w:rPr>
          <w:rFonts w:ascii="宋体" w:hAnsi="宋体" w:eastAsia="宋体" w:cs="宋体"/>
          <w:b/>
          <w:bCs/>
          <w:color w:val="auto"/>
          <w:sz w:val="21"/>
          <w:szCs w:val="21"/>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eastAsia="宋体" w:cs="Times New Roman"/>
          <w:b/>
          <w:bCs/>
          <w:color w:val="auto"/>
          <w:sz w:val="21"/>
          <w:szCs w:val="21"/>
          <w:lang w:val="en-US" w:eastAsia="zh-CN"/>
        </w:rPr>
        <w:t>13</w:t>
      </w:r>
      <w:r>
        <w:rPr>
          <w:rFonts w:hint="default" w:ascii="Times New Roman" w:hAnsi="Times New Roman" w:eastAsia="宋体" w:cs="Times New Roman"/>
          <w:b/>
          <w:bCs/>
          <w:color w:val="auto"/>
          <w:sz w:val="21"/>
          <w:szCs w:val="21"/>
          <w:lang w:val="en-US" w:eastAsia="zh-CN"/>
        </w:rPr>
        <w:t xml:space="preserve">  </w:t>
      </w:r>
      <w:r>
        <w:rPr>
          <w:rFonts w:ascii="宋体" w:hAnsi="宋体" w:eastAsia="宋体" w:cs="宋体"/>
          <w:b/>
          <w:bCs/>
          <w:color w:val="auto"/>
          <w:sz w:val="21"/>
          <w:szCs w:val="21"/>
        </w:rPr>
        <w:t>包气带防污性能分级</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8274"/>
      </w:tblGrid>
      <w:tr w14:paraId="19B3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8ABA285">
            <w:pPr>
              <w:spacing w:line="24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分级</w:t>
            </w:r>
          </w:p>
        </w:tc>
        <w:tc>
          <w:tcPr>
            <w:tcW w:w="8274" w:type="dxa"/>
            <w:vAlign w:val="center"/>
          </w:tcPr>
          <w:p w14:paraId="5FBEB9F9">
            <w:pPr>
              <w:spacing w:line="240" w:lineRule="auto"/>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1"/>
                <w:szCs w:val="21"/>
              </w:rPr>
              <w:t>包气带岩土的渗透性能</w:t>
            </w:r>
          </w:p>
        </w:tc>
      </w:tr>
      <w:tr w14:paraId="29A7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BA21476">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D3</w:t>
            </w:r>
          </w:p>
        </w:tc>
        <w:tc>
          <w:tcPr>
            <w:tcW w:w="8274" w:type="dxa"/>
          </w:tcPr>
          <w:p w14:paraId="7B9C8B9A">
            <w:pPr>
              <w:spacing w:line="240" w:lineRule="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rPr>
              <w:t>Mb≥1.0m，K≤1.0×10</w:t>
            </w:r>
            <w:r>
              <w:rPr>
                <w:rFonts w:hint="default" w:ascii="Times New Roman" w:hAnsi="Times New Roman" w:eastAsia="宋体" w:cs="Times New Roman"/>
                <w:color w:val="auto"/>
                <w:sz w:val="21"/>
                <w:szCs w:val="21"/>
                <w:vertAlign w:val="superscript"/>
              </w:rPr>
              <w:t>−6</w:t>
            </w:r>
            <w:r>
              <w:rPr>
                <w:rFonts w:hint="default" w:ascii="Times New Roman" w:hAnsi="Times New Roman" w:eastAsia="宋体" w:cs="Times New Roman"/>
                <w:color w:val="auto"/>
                <w:sz w:val="21"/>
                <w:szCs w:val="21"/>
              </w:rPr>
              <w:t>cm/s，且分布连续、稳定</w:t>
            </w:r>
          </w:p>
        </w:tc>
      </w:tr>
      <w:tr w14:paraId="320D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1A443C1">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D2</w:t>
            </w:r>
          </w:p>
        </w:tc>
        <w:tc>
          <w:tcPr>
            <w:tcW w:w="8274" w:type="dxa"/>
          </w:tcPr>
          <w:p w14:paraId="499C93EE">
            <w:pPr>
              <w:spacing w:line="240" w:lineRule="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0.5m≤Mb&lt;1.0m，K≤1.0×10</w:t>
            </w:r>
            <w:r>
              <w:rPr>
                <w:rFonts w:hint="default" w:ascii="Times New Roman" w:hAnsi="Times New Roman" w:eastAsia="宋体" w:cs="Times New Roman"/>
                <w:color w:val="auto"/>
                <w:sz w:val="21"/>
                <w:szCs w:val="21"/>
                <w:vertAlign w:val="superscript"/>
              </w:rPr>
              <w:t>−6</w:t>
            </w:r>
            <w:r>
              <w:rPr>
                <w:rFonts w:hint="default" w:ascii="Times New Roman" w:hAnsi="Times New Roman" w:eastAsia="宋体" w:cs="Times New Roman"/>
                <w:color w:val="auto"/>
                <w:sz w:val="21"/>
                <w:szCs w:val="21"/>
              </w:rPr>
              <w:t>cm/s，且分布连续、稳定Mb≥1.0m，1.0×10</w:t>
            </w:r>
            <w:r>
              <w:rPr>
                <w:rFonts w:hint="default" w:ascii="Times New Roman" w:hAnsi="Times New Roman" w:eastAsia="宋体" w:cs="Times New Roman"/>
                <w:color w:val="auto"/>
                <w:sz w:val="21"/>
                <w:szCs w:val="21"/>
                <w:vertAlign w:val="superscript"/>
              </w:rPr>
              <w:t>−6</w:t>
            </w:r>
            <w:r>
              <w:rPr>
                <w:rFonts w:hint="default" w:ascii="Times New Roman" w:hAnsi="Times New Roman" w:eastAsia="宋体" w:cs="Times New Roman"/>
                <w:color w:val="auto"/>
                <w:sz w:val="21"/>
                <w:szCs w:val="21"/>
              </w:rPr>
              <w:t>cm/s＜K≤1.0×10</w:t>
            </w:r>
            <w:r>
              <w:rPr>
                <w:rFonts w:hint="default" w:ascii="Times New Roman" w:hAnsi="Times New Roman" w:eastAsia="宋体" w:cs="Times New Roman"/>
                <w:color w:val="auto"/>
                <w:sz w:val="21"/>
                <w:szCs w:val="21"/>
                <w:vertAlign w:val="superscript"/>
              </w:rPr>
              <w:t>−4</w:t>
            </w:r>
            <w:r>
              <w:rPr>
                <w:rFonts w:hint="default" w:ascii="Times New Roman" w:hAnsi="Times New Roman" w:eastAsia="宋体" w:cs="Times New Roman"/>
                <w:color w:val="auto"/>
                <w:sz w:val="21"/>
                <w:szCs w:val="21"/>
              </w:rPr>
              <w:t>cm/s，且分布连续、稳定</w:t>
            </w:r>
            <w:r>
              <w:rPr>
                <w:rFonts w:hint="default" w:ascii="Times New Roman" w:hAnsi="Times New Roman" w:eastAsia="宋体" w:cs="Times New Roman"/>
                <w:color w:val="auto"/>
                <w:sz w:val="21"/>
                <w:szCs w:val="21"/>
                <w:lang w:val="en-US" w:eastAsia="zh-CN"/>
              </w:rPr>
              <w:t>。</w:t>
            </w:r>
          </w:p>
        </w:tc>
      </w:tr>
      <w:tr w14:paraId="5C18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3689299">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D1</w:t>
            </w:r>
          </w:p>
        </w:tc>
        <w:tc>
          <w:tcPr>
            <w:tcW w:w="8274" w:type="dxa"/>
          </w:tcPr>
          <w:p w14:paraId="674A2CAB">
            <w:pPr>
              <w:spacing w:line="240" w:lineRule="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岩（土）层不满足上述“D2”和“D3”条件</w:t>
            </w:r>
            <w:r>
              <w:rPr>
                <w:rFonts w:hint="default" w:ascii="Times New Roman" w:hAnsi="Times New Roman" w:eastAsia="宋体" w:cs="Times New Roman"/>
                <w:color w:val="auto"/>
                <w:sz w:val="21"/>
                <w:szCs w:val="21"/>
                <w:lang w:val="en-US" w:eastAsia="zh-CN"/>
              </w:rPr>
              <w:t>。</w:t>
            </w:r>
          </w:p>
        </w:tc>
      </w:tr>
      <w:tr w14:paraId="14FA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vAlign w:val="center"/>
          </w:tcPr>
          <w:p w14:paraId="002633CB">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Mb：岩土层单层厚度。</w:t>
            </w:r>
          </w:p>
          <w:p w14:paraId="7ECBC63B">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K：渗透系数。</w:t>
            </w:r>
          </w:p>
        </w:tc>
      </w:tr>
    </w:tbl>
    <w:p w14:paraId="491DBAD5">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根据2026年4月</w:t>
      </w:r>
      <w:r>
        <w:rPr>
          <w:rFonts w:ascii="*KSZOCQSRLL0_20_0" w:hAnsi="*KSZOCQSRLL0_20_0" w:eastAsia="*KSZOCQSRLL0_20_0" w:cs="*KSZOCQSRLL0_20_0"/>
          <w:color w:val="auto"/>
          <w:kern w:val="0"/>
          <w:sz w:val="24"/>
          <w:szCs w:val="24"/>
          <w:lang w:val="en-US" w:eastAsia="zh-CN" w:bidi="ar"/>
        </w:rPr>
        <w:t>长春建工勘测规划设计有限公司</w:t>
      </w:r>
      <w:r>
        <w:rPr>
          <w:rFonts w:hint="eastAsia" w:ascii="*KSZOCQSRLL0_20_0" w:hAnsi="*KSZOCQSRLL0_20_0" w:eastAsia="*KSZOCQSRLL0_20_0" w:cs="*KSZOCQSRLL0_20_0"/>
          <w:color w:val="auto"/>
          <w:kern w:val="0"/>
          <w:sz w:val="24"/>
          <w:szCs w:val="24"/>
          <w:lang w:val="en-US" w:eastAsia="zh-CN" w:bidi="ar"/>
        </w:rPr>
        <w:t>《</w:t>
      </w:r>
      <w:r>
        <w:rPr>
          <w:rFonts w:ascii="*KSUAQIKJNT0_24_0" w:hAnsi="*KSUAQIKJNT0_24_0" w:eastAsia="*KSUAQIKJNT0_24_0" w:cs="*KSUAQIKJNT0_24_0"/>
          <w:color w:val="auto"/>
          <w:kern w:val="0"/>
          <w:sz w:val="24"/>
          <w:szCs w:val="24"/>
          <w:lang w:val="en-US" w:eastAsia="zh-CN" w:bidi="ar"/>
        </w:rPr>
        <w:t>昆明优竹商贸有限公司</w:t>
      </w:r>
      <w:r>
        <w:rPr>
          <w:rFonts w:hint="default" w:ascii="*KSUAQIKJNT0_24_0" w:hAnsi="*KSUAQIKJNT0_24_0" w:eastAsia="*KSUAQIKJNT0_24_0" w:cs="*KSUAQIKJNT0_24_0"/>
          <w:color w:val="auto"/>
          <w:kern w:val="0"/>
          <w:sz w:val="24"/>
          <w:szCs w:val="24"/>
          <w:lang w:val="en-US" w:eastAsia="zh-CN" w:bidi="ar"/>
        </w:rPr>
        <w:t>烟花爆竹存储仓库改扩建项目岩土工程详细勘察报告</w:t>
      </w:r>
      <w:r>
        <w:rPr>
          <w:rFonts w:hint="eastAsia" w:ascii="*KSZOCQSRLL0_20_0" w:hAnsi="*KSZOCQSRLL0_20_0" w:eastAsia="*KSZOCQSRLL0_20_0" w:cs="*KSZOCQSRLL0_20_0"/>
          <w:color w:val="auto"/>
          <w:kern w:val="0"/>
          <w:sz w:val="24"/>
          <w:szCs w:val="24"/>
          <w:lang w:val="en-US" w:eastAsia="zh-CN" w:bidi="ar"/>
        </w:rPr>
        <w:t>》，</w:t>
      </w:r>
      <w:r>
        <w:rPr>
          <w:rFonts w:hint="eastAsia" w:ascii="Times New Roman" w:hAnsi="Times New Roman" w:eastAsia="宋体" w:cs="Times New Roman"/>
          <w:color w:val="auto"/>
          <w:sz w:val="24"/>
          <w:szCs w:val="24"/>
        </w:rPr>
        <w:t>项目所在地区土质为黄土，根据《环境影响评价技术导则 地下水环境》可知，黄土的渗透系数为2.89×</w:t>
      </w:r>
      <w:r>
        <w:rPr>
          <w:rFonts w:ascii="Times New Roman" w:hAnsi="Times New Roman" w:eastAsia="宋体" w:cs="Times New Roman"/>
          <w:color w:val="auto"/>
          <w:sz w:val="24"/>
          <w:szCs w:val="24"/>
        </w:rPr>
        <w:t>10</w:t>
      </w:r>
      <w:r>
        <w:rPr>
          <w:rFonts w:ascii="Times New Roman" w:hAnsi="Times New Roman" w:eastAsia="宋体" w:cs="Times New Roman"/>
          <w:color w:val="auto"/>
          <w:sz w:val="24"/>
          <w:szCs w:val="24"/>
          <w:vertAlign w:val="superscript"/>
        </w:rPr>
        <w:t>-4</w:t>
      </w:r>
      <w:r>
        <w:rPr>
          <w:rFonts w:ascii="Times New Roman" w:hAnsi="Times New Roman" w:eastAsia="宋体" w:cs="Times New Roman"/>
          <w:color w:val="auto"/>
          <w:sz w:val="24"/>
          <w:szCs w:val="24"/>
          <w:vertAlign w:val="baseline"/>
        </w:rPr>
        <w:t>~5</w:t>
      </w:r>
      <w:r>
        <w:rPr>
          <w:rFonts w:ascii="Times New Roman" w:hAnsi="Times New Roman" w:eastAsia="宋体" w:cs="Times New Roman"/>
          <w:color w:val="auto"/>
          <w:sz w:val="24"/>
          <w:szCs w:val="24"/>
        </w:rPr>
        <w:t>.79×10</w:t>
      </w:r>
      <w:r>
        <w:rPr>
          <w:rFonts w:hint="eastAsia" w:ascii="Times New Roman" w:hAnsi="Times New Roman" w:eastAsia="宋体" w:cs="Times New Roman"/>
          <w:color w:val="auto"/>
          <w:sz w:val="24"/>
          <w:szCs w:val="24"/>
          <w:vertAlign w:val="superscript"/>
        </w:rPr>
        <w:t>-4</w:t>
      </w:r>
      <w:r>
        <w:rPr>
          <w:rFonts w:hint="eastAsia" w:ascii="Times New Roman" w:hAnsi="Times New Roman" w:eastAsia="宋体" w:cs="Times New Roman"/>
          <w:color w:val="auto"/>
          <w:sz w:val="24"/>
          <w:szCs w:val="24"/>
        </w:rPr>
        <w:t>cm/s，K值</w:t>
      </w:r>
      <w:r>
        <w:rPr>
          <w:rFonts w:hint="eastAsia" w:ascii="Times New Roman" w:hAnsi="Times New Roman" w:eastAsia="宋体" w:cs="Times New Roman"/>
          <w:color w:val="auto"/>
          <w:sz w:val="24"/>
          <w:szCs w:val="24"/>
          <w:lang w:val="en-US" w:eastAsia="zh-CN"/>
        </w:rPr>
        <w:t>大</w:t>
      </w:r>
      <w:r>
        <w:rPr>
          <w:rFonts w:hint="eastAsia" w:ascii="Times New Roman" w:hAnsi="Times New Roman" w:eastAsia="宋体" w:cs="Times New Roman"/>
          <w:color w:val="auto"/>
          <w:sz w:val="24"/>
          <w:szCs w:val="24"/>
        </w:rPr>
        <w:t>于1.0×10</w:t>
      </w:r>
      <w:r>
        <w:rPr>
          <w:rFonts w:hint="eastAsia" w:ascii="Times New Roman" w:hAnsi="Times New Roman" w:eastAsia="宋体" w:cs="Times New Roman"/>
          <w:color w:val="auto"/>
          <w:sz w:val="24"/>
          <w:szCs w:val="24"/>
          <w:vertAlign w:val="superscript"/>
        </w:rPr>
        <w:t>-</w:t>
      </w:r>
      <w:r>
        <w:rPr>
          <w:rFonts w:hint="eastAsia" w:ascii="Times New Roman" w:hAnsi="Times New Roman" w:eastAsia="宋体" w:cs="Times New Roman"/>
          <w:color w:val="auto"/>
          <w:sz w:val="24"/>
          <w:szCs w:val="24"/>
          <w:vertAlign w:val="superscript"/>
          <w:lang w:val="en-US" w:eastAsia="zh-CN"/>
        </w:rPr>
        <w:t>4</w:t>
      </w:r>
      <w:r>
        <w:rPr>
          <w:rFonts w:hint="eastAsia" w:ascii="Times New Roman" w:hAnsi="Times New Roman" w:eastAsia="宋体" w:cs="Times New Roman"/>
          <w:color w:val="auto"/>
          <w:sz w:val="24"/>
          <w:szCs w:val="24"/>
        </w:rPr>
        <w:t>cm/s，包气带防污性能分级为D</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，则地下水环境敏感程度分级为E</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环境低度敏感区。</w:t>
      </w:r>
    </w:p>
    <w:p w14:paraId="7C32D515">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7.环境风险潜势划分</w:t>
      </w:r>
    </w:p>
    <w:p w14:paraId="7A9E088F">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建设项目环境风险潜势划分为I、II、Ⅲ、IV/IV+级。根据建设项目涉及的物质和工艺系统的危险性及其所在地的环境敏感程度，结合事故情形下环境影响途径，对建设项目潜在环境危害程度进行概化分析，按照表</w:t>
      </w:r>
      <w:r>
        <w:rPr>
          <w:rFonts w:hint="eastAsia" w:ascii="Times New Roman" w:hAnsi="Times New Roman" w:eastAsia="宋体" w:cs="Times New Roman"/>
          <w:color w:val="auto"/>
          <w:sz w:val="24"/>
          <w:szCs w:val="24"/>
          <w:lang w:val="en-US" w:eastAsia="zh-CN"/>
        </w:rPr>
        <w:t>13</w:t>
      </w:r>
      <w:r>
        <w:rPr>
          <w:rFonts w:hint="eastAsia" w:ascii="Times New Roman" w:hAnsi="Times New Roman" w:eastAsia="宋体" w:cs="Times New Roman"/>
          <w:color w:val="auto"/>
          <w:sz w:val="24"/>
          <w:szCs w:val="24"/>
        </w:rPr>
        <w:t>确定环境风险潜势。</w:t>
      </w:r>
    </w:p>
    <w:p w14:paraId="5E1E59D2">
      <w:pPr>
        <w:pStyle w:val="31"/>
        <w:spacing w:line="240" w:lineRule="auto"/>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14</w:t>
      </w:r>
      <w:r>
        <w:rPr>
          <w:rFonts w:hint="eastAsia" w:ascii="Times New Roman" w:hAnsi="Times New Roman" w:eastAsia="宋体" w:cs="Times New Roman"/>
          <w:b/>
          <w:color w:val="auto"/>
          <w:sz w:val="21"/>
          <w:szCs w:val="21"/>
        </w:rPr>
        <w:t xml:space="preserve">  建设项目环境风险潜势划分</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725"/>
        <w:gridCol w:w="1740"/>
        <w:gridCol w:w="1812"/>
        <w:gridCol w:w="1814"/>
      </w:tblGrid>
      <w:tr w14:paraId="5BE2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87" w:type="pct"/>
            <w:vMerge w:val="restart"/>
            <w:vAlign w:val="center"/>
          </w:tcPr>
          <w:p w14:paraId="5D9745E3">
            <w:pPr>
              <w:spacing w:line="240" w:lineRule="auto"/>
              <w:jc w:val="center"/>
              <w:rPr>
                <w:b/>
                <w:bCs/>
                <w:color w:val="auto"/>
                <w:szCs w:val="21"/>
              </w:rPr>
            </w:pPr>
            <w:r>
              <w:rPr>
                <w:b/>
                <w:bCs/>
                <w:color w:val="auto"/>
                <w:szCs w:val="21"/>
              </w:rPr>
              <w:t>环境敏感程度（E）</w:t>
            </w:r>
          </w:p>
        </w:tc>
        <w:tc>
          <w:tcPr>
            <w:tcW w:w="3913" w:type="pct"/>
            <w:gridSpan w:val="4"/>
            <w:vAlign w:val="center"/>
          </w:tcPr>
          <w:p w14:paraId="1CEA411A">
            <w:pPr>
              <w:spacing w:line="240" w:lineRule="auto"/>
              <w:jc w:val="center"/>
              <w:rPr>
                <w:b/>
                <w:bCs/>
                <w:color w:val="auto"/>
                <w:szCs w:val="21"/>
              </w:rPr>
            </w:pPr>
            <w:r>
              <w:rPr>
                <w:b/>
                <w:bCs/>
                <w:color w:val="auto"/>
                <w:szCs w:val="21"/>
              </w:rPr>
              <w:t>危险物质及工艺系统危险性（P）</w:t>
            </w:r>
          </w:p>
        </w:tc>
      </w:tr>
      <w:tr w14:paraId="4ECB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87" w:type="pct"/>
            <w:vMerge w:val="continue"/>
            <w:vAlign w:val="center"/>
          </w:tcPr>
          <w:p w14:paraId="7AA0C2EC">
            <w:pPr>
              <w:spacing w:line="240" w:lineRule="auto"/>
              <w:jc w:val="center"/>
              <w:rPr>
                <w:b/>
                <w:bCs/>
                <w:color w:val="auto"/>
                <w:szCs w:val="21"/>
                <w:highlight w:val="none"/>
              </w:rPr>
            </w:pPr>
          </w:p>
        </w:tc>
        <w:tc>
          <w:tcPr>
            <w:tcW w:w="952" w:type="pct"/>
            <w:vAlign w:val="center"/>
          </w:tcPr>
          <w:p w14:paraId="57E5565C">
            <w:pPr>
              <w:spacing w:line="240" w:lineRule="auto"/>
              <w:jc w:val="center"/>
              <w:rPr>
                <w:b/>
                <w:bCs/>
                <w:color w:val="auto"/>
                <w:szCs w:val="21"/>
                <w:highlight w:val="none"/>
              </w:rPr>
            </w:pPr>
            <w:r>
              <w:rPr>
                <w:b/>
                <w:bCs/>
                <w:color w:val="auto"/>
                <w:szCs w:val="21"/>
                <w:highlight w:val="none"/>
              </w:rPr>
              <w:t>极高危害（P1）</w:t>
            </w:r>
          </w:p>
        </w:tc>
        <w:tc>
          <w:tcPr>
            <w:tcW w:w="960" w:type="pct"/>
            <w:vAlign w:val="center"/>
          </w:tcPr>
          <w:p w14:paraId="6894D629">
            <w:pPr>
              <w:spacing w:line="240" w:lineRule="auto"/>
              <w:jc w:val="center"/>
              <w:rPr>
                <w:b/>
                <w:bCs/>
                <w:color w:val="auto"/>
                <w:szCs w:val="21"/>
                <w:highlight w:val="none"/>
              </w:rPr>
            </w:pPr>
            <w:r>
              <w:rPr>
                <w:b/>
                <w:bCs/>
                <w:color w:val="auto"/>
                <w:szCs w:val="21"/>
                <w:highlight w:val="none"/>
              </w:rPr>
              <w:t>极高危害（P2）</w:t>
            </w:r>
          </w:p>
        </w:tc>
        <w:tc>
          <w:tcPr>
            <w:tcW w:w="1000" w:type="pct"/>
            <w:vAlign w:val="center"/>
          </w:tcPr>
          <w:p w14:paraId="06DFD88D">
            <w:pPr>
              <w:spacing w:line="240" w:lineRule="auto"/>
              <w:jc w:val="center"/>
              <w:rPr>
                <w:b/>
                <w:bCs/>
                <w:color w:val="auto"/>
                <w:szCs w:val="21"/>
                <w:highlight w:val="none"/>
              </w:rPr>
            </w:pPr>
            <w:r>
              <w:rPr>
                <w:b/>
                <w:bCs/>
                <w:color w:val="auto"/>
                <w:szCs w:val="21"/>
                <w:highlight w:val="none"/>
              </w:rPr>
              <w:t>极高危害（P3）</w:t>
            </w:r>
          </w:p>
        </w:tc>
        <w:tc>
          <w:tcPr>
            <w:tcW w:w="1001" w:type="pct"/>
            <w:vAlign w:val="center"/>
          </w:tcPr>
          <w:p w14:paraId="684FE7FA">
            <w:pPr>
              <w:spacing w:line="240" w:lineRule="auto"/>
              <w:jc w:val="center"/>
              <w:rPr>
                <w:b/>
                <w:bCs/>
                <w:color w:val="auto"/>
                <w:szCs w:val="21"/>
                <w:highlight w:val="none"/>
              </w:rPr>
            </w:pPr>
            <w:r>
              <w:rPr>
                <w:b/>
                <w:bCs/>
                <w:color w:val="auto"/>
                <w:szCs w:val="21"/>
                <w:highlight w:val="none"/>
              </w:rPr>
              <w:t>极高危害（P4）</w:t>
            </w:r>
          </w:p>
        </w:tc>
      </w:tr>
      <w:tr w14:paraId="4361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pct"/>
            <w:vAlign w:val="center"/>
          </w:tcPr>
          <w:p w14:paraId="25D42715">
            <w:pPr>
              <w:spacing w:line="240" w:lineRule="auto"/>
              <w:jc w:val="center"/>
              <w:rPr>
                <w:color w:val="auto"/>
                <w:szCs w:val="21"/>
              </w:rPr>
            </w:pPr>
            <w:r>
              <w:rPr>
                <w:color w:val="auto"/>
                <w:szCs w:val="21"/>
              </w:rPr>
              <w:t>环境高度敏感区（E1）</w:t>
            </w:r>
          </w:p>
        </w:tc>
        <w:tc>
          <w:tcPr>
            <w:tcW w:w="952" w:type="pct"/>
            <w:vAlign w:val="center"/>
          </w:tcPr>
          <w:p w14:paraId="74E9F4AC">
            <w:pPr>
              <w:spacing w:line="240" w:lineRule="auto"/>
              <w:jc w:val="center"/>
              <w:rPr>
                <w:color w:val="auto"/>
                <w:szCs w:val="21"/>
              </w:rPr>
            </w:pPr>
            <w:r>
              <w:rPr>
                <w:color w:val="auto"/>
                <w:szCs w:val="21"/>
              </w:rPr>
              <w:t>Ⅳ+</w:t>
            </w:r>
          </w:p>
        </w:tc>
        <w:tc>
          <w:tcPr>
            <w:tcW w:w="960" w:type="pct"/>
            <w:vAlign w:val="center"/>
          </w:tcPr>
          <w:p w14:paraId="4AC0C6E0">
            <w:pPr>
              <w:spacing w:line="240" w:lineRule="auto"/>
              <w:jc w:val="center"/>
              <w:rPr>
                <w:color w:val="auto"/>
                <w:szCs w:val="21"/>
              </w:rPr>
            </w:pPr>
            <w:r>
              <w:rPr>
                <w:color w:val="auto"/>
                <w:szCs w:val="21"/>
              </w:rPr>
              <w:t>Ⅳ</w:t>
            </w:r>
          </w:p>
        </w:tc>
        <w:tc>
          <w:tcPr>
            <w:tcW w:w="1000" w:type="pct"/>
            <w:vAlign w:val="center"/>
          </w:tcPr>
          <w:p w14:paraId="7D263576">
            <w:pPr>
              <w:spacing w:line="240" w:lineRule="auto"/>
              <w:jc w:val="center"/>
              <w:rPr>
                <w:color w:val="auto"/>
                <w:szCs w:val="21"/>
              </w:rPr>
            </w:pPr>
            <w:r>
              <w:rPr>
                <w:color w:val="auto"/>
                <w:szCs w:val="21"/>
              </w:rPr>
              <w:t>Ⅲ</w:t>
            </w:r>
          </w:p>
        </w:tc>
        <w:tc>
          <w:tcPr>
            <w:tcW w:w="1001" w:type="pct"/>
            <w:vAlign w:val="center"/>
          </w:tcPr>
          <w:p w14:paraId="037E56A8">
            <w:pPr>
              <w:spacing w:line="240" w:lineRule="auto"/>
              <w:jc w:val="center"/>
              <w:rPr>
                <w:color w:val="auto"/>
                <w:szCs w:val="21"/>
              </w:rPr>
            </w:pPr>
            <w:r>
              <w:rPr>
                <w:color w:val="auto"/>
                <w:szCs w:val="21"/>
              </w:rPr>
              <w:t>Ⅲ</w:t>
            </w:r>
          </w:p>
        </w:tc>
      </w:tr>
      <w:tr w14:paraId="1E29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pct"/>
            <w:vAlign w:val="center"/>
          </w:tcPr>
          <w:p w14:paraId="1CB5DE0C">
            <w:pPr>
              <w:spacing w:line="240" w:lineRule="auto"/>
              <w:jc w:val="center"/>
              <w:rPr>
                <w:color w:val="auto"/>
                <w:szCs w:val="21"/>
                <w:highlight w:val="none"/>
              </w:rPr>
            </w:pPr>
            <w:r>
              <w:rPr>
                <w:color w:val="auto"/>
                <w:szCs w:val="21"/>
                <w:highlight w:val="none"/>
              </w:rPr>
              <w:t>环境中度敏感区</w:t>
            </w:r>
            <w:r>
              <w:rPr>
                <w:b/>
                <w:bCs/>
                <w:color w:val="auto"/>
                <w:szCs w:val="21"/>
                <w:highlight w:val="none"/>
              </w:rPr>
              <w:t>（E2）</w:t>
            </w:r>
          </w:p>
        </w:tc>
        <w:tc>
          <w:tcPr>
            <w:tcW w:w="952" w:type="pct"/>
            <w:vAlign w:val="center"/>
          </w:tcPr>
          <w:p w14:paraId="7AF208EF">
            <w:pPr>
              <w:spacing w:line="240" w:lineRule="auto"/>
              <w:jc w:val="center"/>
              <w:rPr>
                <w:color w:val="auto"/>
                <w:szCs w:val="21"/>
                <w:highlight w:val="none"/>
              </w:rPr>
            </w:pPr>
            <w:r>
              <w:rPr>
                <w:color w:val="auto"/>
                <w:szCs w:val="21"/>
                <w:highlight w:val="none"/>
              </w:rPr>
              <w:t>Ⅳ</w:t>
            </w:r>
          </w:p>
        </w:tc>
        <w:tc>
          <w:tcPr>
            <w:tcW w:w="960" w:type="pct"/>
            <w:vAlign w:val="center"/>
          </w:tcPr>
          <w:p w14:paraId="5D706DB2">
            <w:pPr>
              <w:spacing w:line="240" w:lineRule="auto"/>
              <w:jc w:val="center"/>
              <w:rPr>
                <w:color w:val="auto"/>
                <w:szCs w:val="21"/>
                <w:highlight w:val="none"/>
              </w:rPr>
            </w:pPr>
            <w:r>
              <w:rPr>
                <w:color w:val="auto"/>
                <w:szCs w:val="21"/>
                <w:highlight w:val="none"/>
              </w:rPr>
              <w:t>Ⅲ</w:t>
            </w:r>
          </w:p>
        </w:tc>
        <w:tc>
          <w:tcPr>
            <w:tcW w:w="1000" w:type="pct"/>
            <w:vAlign w:val="center"/>
          </w:tcPr>
          <w:p w14:paraId="44961B04">
            <w:pPr>
              <w:spacing w:line="240" w:lineRule="auto"/>
              <w:jc w:val="center"/>
              <w:rPr>
                <w:color w:val="auto"/>
                <w:szCs w:val="21"/>
                <w:highlight w:val="none"/>
              </w:rPr>
            </w:pPr>
            <w:r>
              <w:rPr>
                <w:color w:val="auto"/>
                <w:szCs w:val="21"/>
                <w:highlight w:val="none"/>
              </w:rPr>
              <w:t>Ⅲ</w:t>
            </w:r>
          </w:p>
        </w:tc>
        <w:tc>
          <w:tcPr>
            <w:tcW w:w="1001" w:type="pct"/>
            <w:vAlign w:val="center"/>
          </w:tcPr>
          <w:p w14:paraId="57909AC8">
            <w:pPr>
              <w:spacing w:line="240" w:lineRule="auto"/>
              <w:jc w:val="center"/>
              <w:rPr>
                <w:color w:val="auto"/>
                <w:szCs w:val="21"/>
                <w:highlight w:val="none"/>
              </w:rPr>
            </w:pPr>
            <w:r>
              <w:rPr>
                <w:b/>
                <w:bCs/>
                <w:color w:val="auto"/>
                <w:szCs w:val="21"/>
                <w:highlight w:val="none"/>
              </w:rPr>
              <w:t>Ⅱ</w:t>
            </w:r>
          </w:p>
        </w:tc>
      </w:tr>
      <w:tr w14:paraId="7FE4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87" w:type="pct"/>
            <w:vAlign w:val="center"/>
          </w:tcPr>
          <w:p w14:paraId="228DAEEA">
            <w:pPr>
              <w:spacing w:line="240" w:lineRule="auto"/>
              <w:jc w:val="center"/>
              <w:rPr>
                <w:color w:val="auto"/>
                <w:szCs w:val="21"/>
              </w:rPr>
            </w:pPr>
            <w:r>
              <w:rPr>
                <w:color w:val="auto"/>
                <w:szCs w:val="21"/>
              </w:rPr>
              <w:t>环境低度敏感区（E3）</w:t>
            </w:r>
          </w:p>
        </w:tc>
        <w:tc>
          <w:tcPr>
            <w:tcW w:w="952" w:type="pct"/>
            <w:vAlign w:val="center"/>
          </w:tcPr>
          <w:p w14:paraId="2D820A54">
            <w:pPr>
              <w:spacing w:line="240" w:lineRule="auto"/>
              <w:jc w:val="center"/>
              <w:rPr>
                <w:color w:val="auto"/>
                <w:szCs w:val="21"/>
              </w:rPr>
            </w:pPr>
            <w:r>
              <w:rPr>
                <w:color w:val="auto"/>
                <w:szCs w:val="21"/>
              </w:rPr>
              <w:t>Ⅲ</w:t>
            </w:r>
          </w:p>
        </w:tc>
        <w:tc>
          <w:tcPr>
            <w:tcW w:w="960" w:type="pct"/>
            <w:vAlign w:val="center"/>
          </w:tcPr>
          <w:p w14:paraId="56907063">
            <w:pPr>
              <w:spacing w:line="240" w:lineRule="auto"/>
              <w:jc w:val="center"/>
              <w:rPr>
                <w:color w:val="auto"/>
                <w:szCs w:val="21"/>
              </w:rPr>
            </w:pPr>
            <w:r>
              <w:rPr>
                <w:color w:val="auto"/>
                <w:szCs w:val="21"/>
              </w:rPr>
              <w:t>Ⅲ</w:t>
            </w:r>
          </w:p>
        </w:tc>
        <w:tc>
          <w:tcPr>
            <w:tcW w:w="1000" w:type="pct"/>
            <w:vAlign w:val="center"/>
          </w:tcPr>
          <w:p w14:paraId="6E9899D3">
            <w:pPr>
              <w:spacing w:line="240" w:lineRule="auto"/>
              <w:jc w:val="center"/>
              <w:rPr>
                <w:color w:val="auto"/>
                <w:szCs w:val="21"/>
              </w:rPr>
            </w:pPr>
            <w:r>
              <w:rPr>
                <w:color w:val="auto"/>
                <w:szCs w:val="21"/>
              </w:rPr>
              <w:t>Ⅱ</w:t>
            </w:r>
          </w:p>
        </w:tc>
        <w:tc>
          <w:tcPr>
            <w:tcW w:w="1001" w:type="pct"/>
            <w:vAlign w:val="center"/>
          </w:tcPr>
          <w:p w14:paraId="288008E9">
            <w:pPr>
              <w:spacing w:line="240" w:lineRule="auto"/>
              <w:jc w:val="center"/>
              <w:rPr>
                <w:color w:val="auto"/>
                <w:szCs w:val="21"/>
              </w:rPr>
            </w:pPr>
            <w:r>
              <w:rPr>
                <w:color w:val="auto"/>
                <w:szCs w:val="21"/>
              </w:rPr>
              <w:t>Ⅰ</w:t>
            </w:r>
          </w:p>
        </w:tc>
      </w:tr>
      <w:tr w14:paraId="16C3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E0D1A02">
            <w:pPr>
              <w:spacing w:line="240" w:lineRule="auto"/>
              <w:jc w:val="center"/>
              <w:rPr>
                <w:color w:val="auto"/>
                <w:szCs w:val="21"/>
              </w:rPr>
            </w:pPr>
            <w:r>
              <w:rPr>
                <w:color w:val="auto"/>
                <w:szCs w:val="21"/>
              </w:rPr>
              <w:t>注：Ⅳ+极高环境风险</w:t>
            </w:r>
          </w:p>
        </w:tc>
      </w:tr>
    </w:tbl>
    <w:p w14:paraId="01BFC21D">
      <w:pPr>
        <w:pStyle w:val="31"/>
        <w:ind w:firstLine="42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rPr>
        <w:t>项目危险物质及工艺系统危害性为P4，项目大气环境敏感程度为环境中度敏感区E2、地表水环境敏感程度为E</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、地下水环境敏感程度为E</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，根据建设项目环境风险潜势划分要求，本项目大气环境风险潜势为II</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地表水风险潜势为</w:t>
      </w:r>
      <w:r>
        <w:rPr>
          <w:rFonts w:hint="eastAsia" w:ascii="Times New Roman" w:hAnsi="Times New Roman" w:eastAsia="宋体" w:cs="Times New Roman"/>
          <w:color w:val="auto"/>
          <w:sz w:val="24"/>
          <w:szCs w:val="24"/>
          <w:lang w:val="en-US" w:eastAsia="zh-CN"/>
        </w:rPr>
        <w:t>II</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highlight w:val="none"/>
        </w:rPr>
        <w:t>地下水风险潜势为II。</w:t>
      </w:r>
    </w:p>
    <w:p w14:paraId="6D1E12DB">
      <w:pPr>
        <w:pStyle w:val="31"/>
        <w:keepNext w:val="0"/>
        <w:keepLines w:val="0"/>
        <w:pageBreakBefore w:val="0"/>
        <w:widowControl/>
        <w:kinsoku/>
        <w:wordWrap/>
        <w:overflowPunct/>
        <w:topLinePunct w:val="0"/>
        <w:autoSpaceDE/>
        <w:autoSpaceDN/>
        <w:bidi w:val="0"/>
        <w:adjustRightInd/>
        <w:snapToGrid w:val="0"/>
        <w:ind w:firstLine="422"/>
        <w:textAlignment w:val="auto"/>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8.评价工作等级划分</w:t>
      </w:r>
    </w:p>
    <w:p w14:paraId="4A57DC19">
      <w:pPr>
        <w:pStyle w:val="31"/>
        <w:keepNext w:val="0"/>
        <w:keepLines w:val="0"/>
        <w:pageBreakBefore w:val="0"/>
        <w:widowControl/>
        <w:kinsoku/>
        <w:wordWrap/>
        <w:overflowPunct/>
        <w:topLinePunct w:val="0"/>
        <w:autoSpaceDE/>
        <w:autoSpaceDN/>
        <w:bidi w:val="0"/>
        <w:adjustRightInd/>
        <w:snapToGrid w:val="0"/>
        <w:ind w:firstLine="420"/>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环境风险评价工作等级划分为一级、二级、三级。根据建设项目涉及的物质及工艺系统危险性和所在地的环境敏感性确定环境风险潜势，按照表</w:t>
      </w:r>
      <w:r>
        <w:rPr>
          <w:rFonts w:hint="eastAsia" w:ascii="Times New Roman" w:hAnsi="Times New Roman" w:eastAsia="宋体" w:cs="Times New Roman"/>
          <w:color w:val="auto"/>
          <w:sz w:val="24"/>
          <w:szCs w:val="24"/>
          <w:lang w:val="en-US" w:eastAsia="zh-CN"/>
        </w:rPr>
        <w:t>14</w:t>
      </w:r>
      <w:r>
        <w:rPr>
          <w:rFonts w:hint="eastAsia" w:ascii="Times New Roman" w:hAnsi="Times New Roman" w:eastAsia="宋体" w:cs="Times New Roman"/>
          <w:color w:val="auto"/>
          <w:sz w:val="24"/>
          <w:szCs w:val="24"/>
        </w:rPr>
        <w:t>确定评价工作等级。风险潜势为IV及以上，进行一级评价；风险潜势为Ⅲ，进行二级评价；风险潜势为II，进行三级评价；风险潜势为I</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可开展简单分析。</w:t>
      </w:r>
    </w:p>
    <w:p w14:paraId="5089D383">
      <w:pPr>
        <w:pStyle w:val="31"/>
        <w:ind w:firstLine="0" w:firstLineChars="0"/>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15</w:t>
      </w:r>
      <w:r>
        <w:rPr>
          <w:rFonts w:hint="eastAsia" w:ascii="Times New Roman" w:hAnsi="Times New Roman" w:eastAsia="宋体" w:cs="Times New Roman"/>
          <w:b/>
          <w:color w:val="auto"/>
          <w:sz w:val="21"/>
          <w:szCs w:val="21"/>
        </w:rPr>
        <w:t xml:space="preserve">  评价工作等级划分</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809"/>
        <w:gridCol w:w="1809"/>
        <w:gridCol w:w="1809"/>
        <w:gridCol w:w="1818"/>
      </w:tblGrid>
      <w:tr w14:paraId="286B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311D71B8">
            <w:pPr>
              <w:spacing w:line="360" w:lineRule="auto"/>
              <w:jc w:val="center"/>
              <w:rPr>
                <w:b/>
                <w:bCs/>
                <w:color w:val="auto"/>
                <w:szCs w:val="21"/>
              </w:rPr>
            </w:pPr>
            <w:r>
              <w:rPr>
                <w:b/>
                <w:bCs/>
                <w:color w:val="auto"/>
                <w:szCs w:val="21"/>
              </w:rPr>
              <w:t>环境风险潜势</w:t>
            </w:r>
          </w:p>
        </w:tc>
        <w:tc>
          <w:tcPr>
            <w:tcW w:w="999" w:type="pct"/>
            <w:vAlign w:val="center"/>
          </w:tcPr>
          <w:p w14:paraId="7D1B51EB">
            <w:pPr>
              <w:spacing w:line="360" w:lineRule="auto"/>
              <w:jc w:val="center"/>
              <w:rPr>
                <w:b/>
                <w:bCs/>
                <w:color w:val="auto"/>
                <w:szCs w:val="21"/>
              </w:rPr>
            </w:pPr>
            <w:r>
              <w:rPr>
                <w:b/>
                <w:bCs/>
                <w:color w:val="auto"/>
                <w:szCs w:val="21"/>
              </w:rPr>
              <w:t>Ⅳ、Ⅳ +</w:t>
            </w:r>
          </w:p>
        </w:tc>
        <w:tc>
          <w:tcPr>
            <w:tcW w:w="999" w:type="pct"/>
            <w:vAlign w:val="center"/>
          </w:tcPr>
          <w:p w14:paraId="151E1D70">
            <w:pPr>
              <w:spacing w:line="360" w:lineRule="auto"/>
              <w:jc w:val="center"/>
              <w:rPr>
                <w:b/>
                <w:bCs/>
                <w:color w:val="auto"/>
                <w:szCs w:val="21"/>
              </w:rPr>
            </w:pPr>
            <w:r>
              <w:rPr>
                <w:b/>
                <w:bCs/>
                <w:color w:val="auto"/>
                <w:szCs w:val="21"/>
              </w:rPr>
              <w:t>Ⅲ</w:t>
            </w:r>
          </w:p>
        </w:tc>
        <w:tc>
          <w:tcPr>
            <w:tcW w:w="999" w:type="pct"/>
            <w:vAlign w:val="center"/>
          </w:tcPr>
          <w:p w14:paraId="3B96E6F4">
            <w:pPr>
              <w:spacing w:line="360" w:lineRule="auto"/>
              <w:jc w:val="center"/>
              <w:rPr>
                <w:b/>
                <w:bCs/>
                <w:color w:val="auto"/>
                <w:szCs w:val="21"/>
              </w:rPr>
            </w:pPr>
            <w:r>
              <w:rPr>
                <w:b/>
                <w:bCs/>
                <w:color w:val="auto"/>
                <w:szCs w:val="21"/>
              </w:rPr>
              <w:t>Ⅱ</w:t>
            </w:r>
          </w:p>
        </w:tc>
        <w:tc>
          <w:tcPr>
            <w:tcW w:w="1004" w:type="pct"/>
            <w:vAlign w:val="center"/>
          </w:tcPr>
          <w:p w14:paraId="0EC7D0BC">
            <w:pPr>
              <w:spacing w:line="360" w:lineRule="auto"/>
              <w:jc w:val="center"/>
              <w:rPr>
                <w:b/>
                <w:bCs/>
                <w:color w:val="auto"/>
                <w:szCs w:val="21"/>
              </w:rPr>
            </w:pPr>
            <w:r>
              <w:rPr>
                <w:b/>
                <w:bCs/>
                <w:color w:val="auto"/>
                <w:szCs w:val="21"/>
              </w:rPr>
              <w:t>Ⅰ</w:t>
            </w:r>
          </w:p>
        </w:tc>
      </w:tr>
      <w:tr w14:paraId="1D5D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28314148">
            <w:pPr>
              <w:spacing w:line="360" w:lineRule="auto"/>
              <w:jc w:val="center"/>
              <w:rPr>
                <w:color w:val="auto"/>
                <w:szCs w:val="21"/>
              </w:rPr>
            </w:pPr>
            <w:r>
              <w:rPr>
                <w:color w:val="auto"/>
                <w:szCs w:val="21"/>
              </w:rPr>
              <w:t>评价工作等级</w:t>
            </w:r>
          </w:p>
        </w:tc>
        <w:tc>
          <w:tcPr>
            <w:tcW w:w="999" w:type="pct"/>
            <w:vAlign w:val="center"/>
          </w:tcPr>
          <w:p w14:paraId="206A5AB6">
            <w:pPr>
              <w:spacing w:line="360" w:lineRule="auto"/>
              <w:jc w:val="center"/>
              <w:rPr>
                <w:color w:val="auto"/>
                <w:szCs w:val="21"/>
              </w:rPr>
            </w:pPr>
            <w:r>
              <w:rPr>
                <w:color w:val="auto"/>
                <w:szCs w:val="21"/>
              </w:rPr>
              <w:t>一</w:t>
            </w:r>
          </w:p>
        </w:tc>
        <w:tc>
          <w:tcPr>
            <w:tcW w:w="999" w:type="pct"/>
            <w:vAlign w:val="center"/>
          </w:tcPr>
          <w:p w14:paraId="4527F120">
            <w:pPr>
              <w:spacing w:line="360" w:lineRule="auto"/>
              <w:jc w:val="center"/>
              <w:rPr>
                <w:color w:val="auto"/>
                <w:szCs w:val="21"/>
              </w:rPr>
            </w:pPr>
            <w:r>
              <w:rPr>
                <w:color w:val="auto"/>
                <w:szCs w:val="21"/>
              </w:rPr>
              <w:t>二</w:t>
            </w:r>
          </w:p>
        </w:tc>
        <w:tc>
          <w:tcPr>
            <w:tcW w:w="999" w:type="pct"/>
            <w:vAlign w:val="center"/>
          </w:tcPr>
          <w:p w14:paraId="26E8AB60">
            <w:pPr>
              <w:spacing w:line="360" w:lineRule="auto"/>
              <w:jc w:val="center"/>
              <w:rPr>
                <w:color w:val="auto"/>
                <w:szCs w:val="21"/>
              </w:rPr>
            </w:pPr>
            <w:r>
              <w:rPr>
                <w:color w:val="auto"/>
                <w:szCs w:val="21"/>
              </w:rPr>
              <w:t>三</w:t>
            </w:r>
          </w:p>
        </w:tc>
        <w:tc>
          <w:tcPr>
            <w:tcW w:w="1004" w:type="pct"/>
            <w:vAlign w:val="center"/>
          </w:tcPr>
          <w:p w14:paraId="3400C012">
            <w:pPr>
              <w:spacing w:line="360" w:lineRule="auto"/>
              <w:jc w:val="center"/>
              <w:rPr>
                <w:color w:val="auto"/>
                <w:szCs w:val="21"/>
              </w:rPr>
            </w:pPr>
            <w:r>
              <w:rPr>
                <w:color w:val="auto"/>
                <w:szCs w:val="21"/>
              </w:rPr>
              <w:t>简单分析*</w:t>
            </w:r>
          </w:p>
        </w:tc>
      </w:tr>
      <w:tr w14:paraId="3238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5000" w:type="pct"/>
            <w:gridSpan w:val="5"/>
            <w:vAlign w:val="center"/>
          </w:tcPr>
          <w:p w14:paraId="5CC35539">
            <w:pPr>
              <w:spacing w:line="360" w:lineRule="auto"/>
              <w:jc w:val="center"/>
              <w:rPr>
                <w:color w:val="auto"/>
                <w:szCs w:val="21"/>
              </w:rPr>
            </w:pPr>
            <w:r>
              <w:rPr>
                <w:color w:val="auto"/>
                <w:szCs w:val="21"/>
              </w:rPr>
              <w:t>* 是相对于详细评价工作内容而言，在描述危险物质、环境影响途径、环境危害后果、风险防范措施等方面给出定性的说明</w:t>
            </w:r>
          </w:p>
        </w:tc>
      </w:tr>
    </w:tbl>
    <w:p w14:paraId="6FA48872">
      <w:pPr>
        <w:pStyle w:val="31"/>
        <w:ind w:firstLine="0" w:firstLineChars="0"/>
        <w:jc w:val="center"/>
        <w:rPr>
          <w:rFonts w:hint="eastAsia" w:ascii="Times New Roman" w:hAnsi="Times New Roman" w:eastAsia="宋体" w:cs="Times New Roman"/>
          <w:b/>
          <w:color w:val="auto"/>
          <w:sz w:val="21"/>
          <w:szCs w:val="21"/>
          <w:lang w:eastAsia="zh-CN"/>
        </w:rPr>
      </w:pPr>
      <w:bookmarkStart w:id="60" w:name="_Toc23689"/>
      <w:bookmarkStart w:id="61" w:name="_Toc17756"/>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16</w:t>
      </w:r>
      <w:r>
        <w:rPr>
          <w:rFonts w:hint="eastAsia" w:ascii="Times New Roman" w:hAnsi="Times New Roman" w:eastAsia="宋体" w:cs="Times New Roman"/>
          <w:b/>
          <w:color w:val="auto"/>
          <w:sz w:val="21"/>
          <w:szCs w:val="21"/>
        </w:rPr>
        <w:t xml:space="preserve">  </w:t>
      </w:r>
      <w:r>
        <w:rPr>
          <w:rFonts w:hint="eastAsia" w:ascii="Times New Roman" w:hAnsi="Times New Roman" w:eastAsia="宋体" w:cs="Times New Roman"/>
          <w:b/>
          <w:color w:val="auto"/>
          <w:sz w:val="21"/>
          <w:szCs w:val="21"/>
          <w:lang w:val="en-US" w:eastAsia="zh-CN"/>
        </w:rPr>
        <w:t>项目</w:t>
      </w:r>
      <w:r>
        <w:rPr>
          <w:rFonts w:hint="eastAsia" w:ascii="Times New Roman" w:hAnsi="Times New Roman" w:eastAsia="宋体" w:cs="Times New Roman"/>
          <w:b/>
          <w:color w:val="auto"/>
          <w:sz w:val="21"/>
          <w:szCs w:val="21"/>
        </w:rPr>
        <w:t>评价工作等级</w:t>
      </w:r>
      <w:r>
        <w:rPr>
          <w:rFonts w:hint="eastAsia" w:ascii="Times New Roman" w:hAnsi="Times New Roman" w:eastAsia="宋体" w:cs="Times New Roman"/>
          <w:b/>
          <w:color w:val="auto"/>
          <w:sz w:val="21"/>
          <w:szCs w:val="21"/>
          <w:lang w:val="en-US" w:eastAsia="zh-CN"/>
        </w:rPr>
        <w:t>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5"/>
      </w:tblGrid>
      <w:tr w14:paraId="51CA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2C0FA90A">
            <w:pPr>
              <w:spacing w:line="360" w:lineRule="auto"/>
              <w:jc w:val="center"/>
              <w:rPr>
                <w:rFonts w:hint="eastAsia" w:eastAsia="宋体"/>
                <w:b/>
                <w:bCs/>
                <w:color w:val="auto"/>
                <w:szCs w:val="21"/>
                <w:lang w:val="en-US" w:eastAsia="zh-CN"/>
              </w:rPr>
            </w:pPr>
            <w:r>
              <w:rPr>
                <w:rFonts w:hint="eastAsia"/>
                <w:b/>
                <w:bCs/>
                <w:color w:val="auto"/>
                <w:szCs w:val="21"/>
                <w:lang w:val="en-US" w:eastAsia="zh-CN"/>
              </w:rPr>
              <w:t>项目</w:t>
            </w:r>
          </w:p>
        </w:tc>
        <w:tc>
          <w:tcPr>
            <w:tcW w:w="1250" w:type="pct"/>
            <w:vAlign w:val="center"/>
          </w:tcPr>
          <w:p w14:paraId="73AFC674">
            <w:pPr>
              <w:spacing w:line="360" w:lineRule="auto"/>
              <w:jc w:val="center"/>
              <w:rPr>
                <w:rFonts w:hint="default" w:eastAsia="宋体"/>
                <w:b/>
                <w:bCs/>
                <w:color w:val="auto"/>
                <w:szCs w:val="21"/>
                <w:lang w:val="en-US" w:eastAsia="zh-CN"/>
              </w:rPr>
            </w:pPr>
            <w:r>
              <w:rPr>
                <w:rFonts w:hint="eastAsia"/>
                <w:b/>
                <w:bCs/>
                <w:color w:val="auto"/>
                <w:szCs w:val="21"/>
                <w:lang w:val="en-US" w:eastAsia="zh-CN"/>
              </w:rPr>
              <w:t>大气</w:t>
            </w:r>
          </w:p>
        </w:tc>
        <w:tc>
          <w:tcPr>
            <w:tcW w:w="1250" w:type="pct"/>
            <w:vAlign w:val="center"/>
          </w:tcPr>
          <w:p w14:paraId="1EFD2982">
            <w:pPr>
              <w:spacing w:line="360" w:lineRule="auto"/>
              <w:jc w:val="center"/>
              <w:rPr>
                <w:rFonts w:hint="eastAsia" w:eastAsia="宋体"/>
                <w:b/>
                <w:bCs/>
                <w:color w:val="auto"/>
                <w:szCs w:val="21"/>
                <w:lang w:eastAsia="zh-CN"/>
              </w:rPr>
            </w:pPr>
            <w:r>
              <w:rPr>
                <w:rFonts w:hint="eastAsia"/>
                <w:b/>
                <w:bCs/>
                <w:color w:val="auto"/>
                <w:szCs w:val="21"/>
                <w:lang w:val="en-US" w:eastAsia="zh-CN"/>
              </w:rPr>
              <w:t>地表水</w:t>
            </w:r>
          </w:p>
        </w:tc>
        <w:tc>
          <w:tcPr>
            <w:tcW w:w="1250" w:type="pct"/>
            <w:vAlign w:val="center"/>
          </w:tcPr>
          <w:p w14:paraId="798EC49B">
            <w:pPr>
              <w:spacing w:line="360" w:lineRule="auto"/>
              <w:jc w:val="center"/>
              <w:rPr>
                <w:rFonts w:hint="eastAsia" w:eastAsia="宋体"/>
                <w:b/>
                <w:bCs/>
                <w:color w:val="auto"/>
                <w:szCs w:val="21"/>
                <w:lang w:eastAsia="zh-CN"/>
              </w:rPr>
            </w:pPr>
            <w:r>
              <w:rPr>
                <w:rFonts w:hint="eastAsia"/>
                <w:b/>
                <w:bCs/>
                <w:color w:val="auto"/>
                <w:szCs w:val="21"/>
                <w:lang w:val="en-US" w:eastAsia="zh-CN"/>
              </w:rPr>
              <w:t>地下水</w:t>
            </w:r>
          </w:p>
        </w:tc>
      </w:tr>
      <w:tr w14:paraId="0AA0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29AB9D02">
            <w:pPr>
              <w:spacing w:line="360" w:lineRule="auto"/>
              <w:jc w:val="center"/>
              <w:rPr>
                <w:b/>
                <w:bCs/>
                <w:color w:val="auto"/>
                <w:szCs w:val="21"/>
              </w:rPr>
            </w:pPr>
            <w:r>
              <w:rPr>
                <w:b/>
                <w:bCs/>
                <w:color w:val="auto"/>
                <w:szCs w:val="21"/>
              </w:rPr>
              <w:t>环境风险潜势</w:t>
            </w:r>
          </w:p>
        </w:tc>
        <w:tc>
          <w:tcPr>
            <w:tcW w:w="1250" w:type="pct"/>
            <w:vAlign w:val="center"/>
          </w:tcPr>
          <w:p w14:paraId="7E9C1493">
            <w:pPr>
              <w:spacing w:line="360" w:lineRule="auto"/>
              <w:jc w:val="center"/>
              <w:rPr>
                <w:rFonts w:hint="default" w:eastAsia="宋体"/>
                <w:b/>
                <w:bCs/>
                <w:color w:val="auto"/>
                <w:szCs w:val="21"/>
                <w:lang w:val="en-US" w:eastAsia="zh-CN"/>
              </w:rPr>
            </w:pPr>
            <w:r>
              <w:rPr>
                <w:rFonts w:hint="eastAsia"/>
                <w:b/>
                <w:bCs/>
                <w:color w:val="auto"/>
                <w:szCs w:val="21"/>
                <w:lang w:val="en-US" w:eastAsia="zh-CN"/>
              </w:rPr>
              <w:t>II</w:t>
            </w:r>
          </w:p>
        </w:tc>
        <w:tc>
          <w:tcPr>
            <w:tcW w:w="1250" w:type="pct"/>
            <w:vAlign w:val="center"/>
          </w:tcPr>
          <w:p w14:paraId="062AA64B">
            <w:pPr>
              <w:spacing w:line="360" w:lineRule="auto"/>
              <w:jc w:val="center"/>
              <w:rPr>
                <w:rFonts w:hint="default" w:eastAsia="宋体"/>
                <w:b/>
                <w:bCs/>
                <w:color w:val="auto"/>
                <w:szCs w:val="21"/>
                <w:lang w:val="en-US" w:eastAsia="zh-CN"/>
              </w:rPr>
            </w:pPr>
            <w:r>
              <w:rPr>
                <w:rFonts w:hint="eastAsia"/>
                <w:b/>
                <w:bCs/>
                <w:color w:val="auto"/>
                <w:szCs w:val="21"/>
                <w:lang w:val="en-US" w:eastAsia="zh-CN"/>
              </w:rPr>
              <w:t>II</w:t>
            </w:r>
          </w:p>
        </w:tc>
        <w:tc>
          <w:tcPr>
            <w:tcW w:w="1250" w:type="pct"/>
            <w:vAlign w:val="center"/>
          </w:tcPr>
          <w:p w14:paraId="7D2158CD">
            <w:pPr>
              <w:spacing w:line="360" w:lineRule="auto"/>
              <w:jc w:val="center"/>
              <w:rPr>
                <w:rFonts w:hint="default" w:eastAsia="宋体"/>
                <w:b/>
                <w:bCs/>
                <w:color w:val="auto"/>
                <w:szCs w:val="21"/>
                <w:lang w:val="en-US" w:eastAsia="zh-CN"/>
              </w:rPr>
            </w:pPr>
            <w:r>
              <w:rPr>
                <w:rFonts w:hint="eastAsia"/>
                <w:b/>
                <w:bCs/>
                <w:color w:val="auto"/>
                <w:szCs w:val="21"/>
                <w:lang w:val="en-US" w:eastAsia="zh-CN"/>
              </w:rPr>
              <w:t>II</w:t>
            </w:r>
          </w:p>
        </w:tc>
      </w:tr>
      <w:tr w14:paraId="3D4F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3F29A188">
            <w:pPr>
              <w:spacing w:line="360" w:lineRule="auto"/>
              <w:jc w:val="center"/>
              <w:rPr>
                <w:b/>
                <w:bCs/>
                <w:color w:val="auto"/>
                <w:szCs w:val="21"/>
              </w:rPr>
            </w:pPr>
            <w:r>
              <w:rPr>
                <w:color w:val="auto"/>
                <w:szCs w:val="21"/>
              </w:rPr>
              <w:t>评价工作等级</w:t>
            </w:r>
          </w:p>
        </w:tc>
        <w:tc>
          <w:tcPr>
            <w:tcW w:w="1250" w:type="pct"/>
            <w:vAlign w:val="center"/>
          </w:tcPr>
          <w:p w14:paraId="2D52D213">
            <w:pPr>
              <w:spacing w:line="360" w:lineRule="auto"/>
              <w:jc w:val="center"/>
              <w:rPr>
                <w:rFonts w:hint="default" w:eastAsia="宋体"/>
                <w:b/>
                <w:bCs/>
                <w:color w:val="auto"/>
                <w:szCs w:val="21"/>
                <w:lang w:val="en-US" w:eastAsia="zh-CN"/>
              </w:rPr>
            </w:pPr>
            <w:r>
              <w:rPr>
                <w:rFonts w:hint="eastAsia"/>
                <w:b/>
                <w:bCs/>
                <w:color w:val="auto"/>
                <w:szCs w:val="21"/>
                <w:lang w:val="en-US" w:eastAsia="zh-CN"/>
              </w:rPr>
              <w:t>三</w:t>
            </w:r>
          </w:p>
        </w:tc>
        <w:tc>
          <w:tcPr>
            <w:tcW w:w="1250" w:type="pct"/>
            <w:vAlign w:val="center"/>
          </w:tcPr>
          <w:p w14:paraId="3690FB51">
            <w:pPr>
              <w:spacing w:line="360" w:lineRule="auto"/>
              <w:jc w:val="center"/>
              <w:rPr>
                <w:b/>
                <w:bCs/>
                <w:color w:val="auto"/>
                <w:szCs w:val="21"/>
              </w:rPr>
            </w:pPr>
            <w:r>
              <w:rPr>
                <w:rFonts w:hint="eastAsia"/>
                <w:b/>
                <w:bCs/>
                <w:color w:val="auto"/>
                <w:szCs w:val="21"/>
                <w:lang w:val="en-US" w:eastAsia="zh-CN"/>
              </w:rPr>
              <w:t>三</w:t>
            </w:r>
          </w:p>
        </w:tc>
        <w:tc>
          <w:tcPr>
            <w:tcW w:w="1250" w:type="pct"/>
            <w:vAlign w:val="center"/>
          </w:tcPr>
          <w:p w14:paraId="300A246B">
            <w:pPr>
              <w:spacing w:line="360" w:lineRule="auto"/>
              <w:jc w:val="center"/>
              <w:rPr>
                <w:b/>
                <w:bCs/>
                <w:color w:val="auto"/>
                <w:szCs w:val="21"/>
              </w:rPr>
            </w:pPr>
            <w:r>
              <w:rPr>
                <w:rFonts w:hint="eastAsia"/>
                <w:b/>
                <w:bCs/>
                <w:color w:val="auto"/>
                <w:szCs w:val="21"/>
                <w:lang w:val="en-US" w:eastAsia="zh-CN"/>
              </w:rPr>
              <w:t>三</w:t>
            </w:r>
          </w:p>
        </w:tc>
      </w:tr>
    </w:tbl>
    <w:p w14:paraId="47AB93C0">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由上表可知，本项目大气环境风险潜势为II</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地表水风险潜势为</w:t>
      </w:r>
      <w:r>
        <w:rPr>
          <w:rFonts w:hint="eastAsia" w:ascii="Times New Roman" w:hAnsi="Times New Roman" w:eastAsia="宋体" w:cs="Times New Roman"/>
          <w:color w:val="auto"/>
          <w:sz w:val="24"/>
          <w:szCs w:val="24"/>
          <w:lang w:val="en-US" w:eastAsia="zh-CN"/>
        </w:rPr>
        <w:t>II</w:t>
      </w:r>
      <w:r>
        <w:rPr>
          <w:rFonts w:hint="eastAsia" w:ascii="Times New Roman" w:hAnsi="Times New Roman" w:eastAsia="宋体" w:cs="Times New Roman"/>
          <w:color w:val="auto"/>
          <w:sz w:val="24"/>
          <w:szCs w:val="24"/>
        </w:rPr>
        <w:t>和地下水风险潜势均为II，从严而定，风险评价工作等级均为三级。三级评价应定性分析说明大气环境</w:t>
      </w:r>
      <w:r>
        <w:rPr>
          <w:rFonts w:hint="eastAsia" w:ascii="Times New Roman" w:hAnsi="Times New Roman" w:eastAsia="宋体" w:cs="Times New Roman"/>
          <w:color w:val="auto"/>
          <w:sz w:val="24"/>
          <w:szCs w:val="24"/>
          <w:highlight w:val="none"/>
        </w:rPr>
        <w:t>、地表水</w:t>
      </w:r>
      <w:r>
        <w:rPr>
          <w:rFonts w:hint="eastAsia" w:ascii="Times New Roman" w:hAnsi="Times New Roman" w:eastAsia="宋体" w:cs="Times New Roman"/>
          <w:color w:val="auto"/>
          <w:sz w:val="24"/>
          <w:szCs w:val="24"/>
          <w:highlight w:val="none"/>
          <w:lang w:val="en-US" w:eastAsia="zh-CN"/>
        </w:rPr>
        <w:t>及地下水</w:t>
      </w:r>
      <w:r>
        <w:rPr>
          <w:rFonts w:hint="eastAsia" w:ascii="Times New Roman" w:hAnsi="Times New Roman" w:eastAsia="宋体" w:cs="Times New Roman"/>
          <w:color w:val="auto"/>
          <w:sz w:val="24"/>
          <w:szCs w:val="24"/>
          <w:highlight w:val="none"/>
        </w:rPr>
        <w:t>环境影响</w:t>
      </w:r>
      <w:r>
        <w:rPr>
          <w:rFonts w:hint="eastAsia" w:ascii="Times New Roman" w:hAnsi="Times New Roman" w:eastAsia="宋体" w:cs="Times New Roman"/>
          <w:color w:val="auto"/>
          <w:sz w:val="24"/>
          <w:szCs w:val="24"/>
        </w:rPr>
        <w:t>后果。</w:t>
      </w:r>
    </w:p>
    <w:p w14:paraId="7E4CF4F8">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9.风险评价范围</w:t>
      </w:r>
    </w:p>
    <w:p w14:paraId="231B063E">
      <w:pPr>
        <w:pStyle w:val="31"/>
        <w:ind w:firstLine="42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大气环境风险评价范围为项目厂界周围3km的区域。</w:t>
      </w:r>
      <w:r>
        <w:rPr>
          <w:rFonts w:hint="eastAsia" w:eastAsia="宋体"/>
          <w:color w:val="auto"/>
          <w:lang w:val="en-US" w:eastAsia="zh-CN"/>
        </w:rPr>
        <w:t>地表水、地下水不设评价范围。</w:t>
      </w:r>
    </w:p>
    <w:p w14:paraId="40EB64FA">
      <w:pPr>
        <w:pStyle w:val="31"/>
        <w:ind w:left="420" w:firstLine="0" w:firstLineChars="0"/>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三、物质风险性识别</w:t>
      </w:r>
    </w:p>
    <w:p w14:paraId="6B68C747">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扩</w:t>
      </w:r>
      <w:r>
        <w:rPr>
          <w:rFonts w:hint="eastAsia" w:ascii="Times New Roman" w:hAnsi="Times New Roman" w:eastAsia="宋体" w:cs="Times New Roman"/>
          <w:color w:val="auto"/>
          <w:sz w:val="24"/>
          <w:szCs w:val="24"/>
        </w:rPr>
        <w:t>建的烟花爆竹仓库涉及到的危险性物质主要有烟花爆竹成品，其属易燃、易爆和有毒的危险品，储存过程中存在火灾、爆炸和劳动职业安全卫生的风险。属爆炸性物质。</w:t>
      </w:r>
    </w:p>
    <w:p w14:paraId="06CB0BFC">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1.原材料和半成品的危险有害因素分析</w:t>
      </w:r>
    </w:p>
    <w:p w14:paraId="6E80EBD3">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82"/>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7"/>
          <w:sz w:val="24"/>
          <w:szCs w:val="24"/>
        </w:rPr>
        <w:t>烟花爆竹主要危险成分为黑火药和烟火药，</w:t>
      </w:r>
      <w:r>
        <w:rPr>
          <w:rFonts w:hint="default" w:ascii="Times New Roman" w:hAnsi="Times New Roman" w:eastAsia="宋体" w:cs="Times New Roman"/>
          <w:color w:val="auto"/>
          <w:sz w:val="24"/>
          <w:szCs w:val="24"/>
        </w:rPr>
        <w:t>它们都是由氧化剂、可燃剂、粘合剂等组成，都具有燃烧、爆炸等性质，属于易燃易爆的危险品。</w:t>
      </w:r>
      <w:r>
        <w:rPr>
          <w:rFonts w:hint="default" w:ascii="Times New Roman" w:hAnsi="Times New Roman" w:cs="Times New Roman"/>
          <w:color w:val="auto"/>
          <w:spacing w:val="-7"/>
          <w:sz w:val="24"/>
          <w:szCs w:val="24"/>
        </w:rPr>
        <w:t>其中主要物料有高氯酸钾、硝酸钾、硝酸钡、</w:t>
      </w:r>
      <w:r>
        <w:rPr>
          <w:rFonts w:hint="default" w:ascii="Times New Roman" w:hAnsi="Times New Roman" w:cs="Times New Roman"/>
          <w:color w:val="auto"/>
          <w:spacing w:val="-3"/>
          <w:sz w:val="24"/>
          <w:szCs w:val="24"/>
        </w:rPr>
        <w:t>硫磺、镁粉、铝粉、木炭、硫化锑、漆片、酚醛树脂、钛粉、碳酸锶、草酸钠、氧化铜、黑</w:t>
      </w:r>
      <w:r>
        <w:rPr>
          <w:rFonts w:hint="default" w:ascii="Times New Roman" w:hAnsi="Times New Roman" w:cs="Times New Roman"/>
          <w:color w:val="auto"/>
          <w:spacing w:val="-1"/>
          <w:sz w:val="24"/>
          <w:szCs w:val="24"/>
        </w:rPr>
        <w:t>火药等。</w:t>
      </w:r>
      <w:r>
        <w:rPr>
          <w:rFonts w:hint="default" w:ascii="Times New Roman" w:hAnsi="Times New Roman" w:eastAsia="宋体" w:cs="Times New Roman"/>
          <w:color w:val="auto"/>
          <w:sz w:val="24"/>
          <w:szCs w:val="24"/>
        </w:rPr>
        <w:t>由上述材料经过一定的工艺加工而制成黑火药、烟火剂。现对烟花爆竹产品的主要原材料、黑火药和烟火剂基本理化特征分析如下：</w:t>
      </w:r>
    </w:p>
    <w:p w14:paraId="62464BED">
      <w:pPr>
        <w:pStyle w:val="30"/>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pacing w:val="6"/>
          <w:sz w:val="21"/>
          <w:szCs w:val="21"/>
        </w:rPr>
        <w:t>表</w:t>
      </w:r>
      <w:r>
        <w:rPr>
          <w:rFonts w:hint="default" w:ascii="Times New Roman" w:hAnsi="Times New Roman" w:eastAsia="宋体" w:cs="Times New Roman"/>
          <w:color w:val="auto"/>
          <w:spacing w:val="-23"/>
          <w:sz w:val="21"/>
          <w:szCs w:val="21"/>
        </w:rPr>
        <w:t xml:space="preserve"> </w:t>
      </w:r>
      <w:r>
        <w:rPr>
          <w:rFonts w:hint="eastAsia" w:ascii="Times New Roman" w:hAnsi="Times New Roman" w:eastAsia="宋体" w:cs="Times New Roman"/>
          <w:b/>
          <w:bCs/>
          <w:color w:val="auto"/>
          <w:spacing w:val="6"/>
          <w:sz w:val="21"/>
          <w:szCs w:val="21"/>
          <w:lang w:val="en-US" w:eastAsia="zh-CN"/>
        </w:rPr>
        <w:t>17</w:t>
      </w:r>
      <w:r>
        <w:rPr>
          <w:rFonts w:hint="default" w:ascii="Times New Roman" w:hAnsi="Times New Roman" w:eastAsia="宋体" w:cs="Times New Roman"/>
          <w:b/>
          <w:bCs/>
          <w:color w:val="auto"/>
          <w:spacing w:val="6"/>
          <w:sz w:val="21"/>
          <w:szCs w:val="21"/>
        </w:rPr>
        <w:t xml:space="preserve">  主要物料成分理化性质及毒理毒性表</w:t>
      </w:r>
    </w:p>
    <w:tbl>
      <w:tblPr>
        <w:tblStyle w:val="60"/>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5"/>
        <w:gridCol w:w="657"/>
        <w:gridCol w:w="7536"/>
      </w:tblGrid>
      <w:tr w14:paraId="49493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370" w:type="pct"/>
            <w:vAlign w:val="center"/>
          </w:tcPr>
          <w:p w14:paraId="301AD65A">
            <w:pPr>
              <w:pStyle w:val="59"/>
              <w:spacing w:before="82" w:line="230" w:lineRule="auto"/>
              <w:ind w:left="139"/>
              <w:jc w:val="center"/>
              <w:rPr>
                <w:b/>
                <w:bCs/>
                <w:color w:val="auto"/>
                <w:sz w:val="21"/>
                <w:szCs w:val="21"/>
              </w:rPr>
            </w:pPr>
            <w:r>
              <w:rPr>
                <w:b/>
                <w:bCs/>
                <w:color w:val="auto"/>
                <w:spacing w:val="5"/>
                <w:sz w:val="21"/>
                <w:szCs w:val="21"/>
              </w:rPr>
              <w:t>序号</w:t>
            </w:r>
          </w:p>
        </w:tc>
        <w:tc>
          <w:tcPr>
            <w:tcW w:w="371" w:type="pct"/>
            <w:vAlign w:val="center"/>
          </w:tcPr>
          <w:p w14:paraId="61365D88">
            <w:pPr>
              <w:pStyle w:val="59"/>
              <w:spacing w:before="82" w:line="231" w:lineRule="auto"/>
              <w:ind w:left="143"/>
              <w:jc w:val="center"/>
              <w:rPr>
                <w:b/>
                <w:bCs/>
                <w:color w:val="auto"/>
                <w:sz w:val="21"/>
                <w:szCs w:val="21"/>
              </w:rPr>
            </w:pPr>
            <w:r>
              <w:rPr>
                <w:b/>
                <w:bCs/>
                <w:color w:val="auto"/>
                <w:spacing w:val="3"/>
                <w:sz w:val="21"/>
                <w:szCs w:val="21"/>
              </w:rPr>
              <w:t>名称</w:t>
            </w:r>
          </w:p>
        </w:tc>
        <w:tc>
          <w:tcPr>
            <w:tcW w:w="4257" w:type="pct"/>
            <w:vAlign w:val="center"/>
          </w:tcPr>
          <w:p w14:paraId="2670E8D9">
            <w:pPr>
              <w:pStyle w:val="5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b/>
                <w:bCs/>
                <w:color w:val="auto"/>
                <w:sz w:val="21"/>
                <w:szCs w:val="21"/>
              </w:rPr>
            </w:pPr>
            <w:r>
              <w:rPr>
                <w:b/>
                <w:bCs/>
                <w:color w:val="auto"/>
                <w:spacing w:val="6"/>
                <w:sz w:val="21"/>
                <w:szCs w:val="21"/>
              </w:rPr>
              <w:t>理化性质</w:t>
            </w:r>
          </w:p>
        </w:tc>
      </w:tr>
      <w:tr w14:paraId="0DD77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370" w:type="pct"/>
            <w:vAlign w:val="center"/>
          </w:tcPr>
          <w:p w14:paraId="4A1A232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1"/>
                <w:sz w:val="21"/>
                <w:szCs w:val="21"/>
              </w:rPr>
              <w:t>1</w:t>
            </w:r>
          </w:p>
        </w:tc>
        <w:tc>
          <w:tcPr>
            <w:tcW w:w="371" w:type="pct"/>
            <w:vAlign w:val="center"/>
          </w:tcPr>
          <w:p w14:paraId="23658021">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2"/>
                <w:sz w:val="21"/>
                <w:szCs w:val="21"/>
              </w:rPr>
              <w:t>高氯</w:t>
            </w:r>
            <w:r>
              <w:rPr>
                <w:color w:val="auto"/>
                <w:spacing w:val="4"/>
                <w:sz w:val="21"/>
                <w:szCs w:val="21"/>
              </w:rPr>
              <w:t>酸钾</w:t>
            </w:r>
          </w:p>
        </w:tc>
        <w:tc>
          <w:tcPr>
            <w:tcW w:w="4257" w:type="pct"/>
            <w:vAlign w:val="top"/>
          </w:tcPr>
          <w:p w14:paraId="0399F89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物化性质：白色粉末或无色结晶。相对密度</w:t>
            </w:r>
            <w:r>
              <w:rPr>
                <w:rFonts w:hint="default" w:ascii="Times New Roman" w:hAnsi="Times New Roman" w:eastAsia="Times New Roman" w:cs="Times New Roman"/>
                <w:color w:val="auto"/>
                <w:spacing w:val="0"/>
                <w:position w:val="0"/>
                <w:sz w:val="21"/>
                <w:szCs w:val="21"/>
              </w:rPr>
              <w:t>2.52</w:t>
            </w:r>
            <w:r>
              <w:rPr>
                <w:rFonts w:hint="default" w:ascii="Times New Roman" w:hAnsi="Times New Roman" w:cs="Times New Roman"/>
                <w:color w:val="auto"/>
                <w:spacing w:val="0"/>
                <w:position w:val="0"/>
                <w:sz w:val="21"/>
                <w:szCs w:val="21"/>
              </w:rPr>
              <w:t>。无吸湿性。常温时稳定，加热至</w:t>
            </w:r>
            <w:r>
              <w:rPr>
                <w:rFonts w:hint="default" w:ascii="Times New Roman" w:hAnsi="Times New Roman" w:eastAsia="Times New Roman" w:cs="Times New Roman"/>
                <w:color w:val="auto"/>
                <w:spacing w:val="0"/>
                <w:position w:val="0"/>
                <w:sz w:val="21"/>
                <w:szCs w:val="21"/>
              </w:rPr>
              <w:t>540</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570</w:t>
            </w:r>
            <w:r>
              <w:rPr>
                <w:rFonts w:hint="default" w:ascii="Times New Roman" w:hAnsi="Times New Roman" w:cs="Times New Roman"/>
                <w:color w:val="auto"/>
                <w:spacing w:val="0"/>
                <w:position w:val="0"/>
                <w:sz w:val="21"/>
                <w:szCs w:val="21"/>
              </w:rPr>
              <w:t>℃左右渐渐熔融，在</w:t>
            </w:r>
            <w:r>
              <w:rPr>
                <w:rFonts w:hint="default" w:ascii="Times New Roman" w:hAnsi="Times New Roman" w:eastAsia="Times New Roman" w:cs="Times New Roman"/>
                <w:color w:val="auto"/>
                <w:spacing w:val="0"/>
                <w:position w:val="0"/>
                <w:sz w:val="21"/>
                <w:szCs w:val="21"/>
              </w:rPr>
              <w:t>590</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610</w:t>
            </w:r>
            <w:r>
              <w:rPr>
                <w:rFonts w:hint="default" w:ascii="Times New Roman" w:hAnsi="Times New Roman" w:cs="Times New Roman"/>
                <w:color w:val="auto"/>
                <w:spacing w:val="0"/>
                <w:position w:val="0"/>
                <w:sz w:val="21"/>
                <w:szCs w:val="21"/>
              </w:rPr>
              <w:t>℃左右急速分解而转变为氯化钾。如有二氧化锰及三氧化二铁等催化剂存在，可降低分解温度。微溶于水，水溶液呈中性，不溶于醇和醚。危险特性：强氧化剂。与还原剂、有机物、易燃物如硫、磷或金属粉等混合可形成爆炸性混合物。在火场中，受热的容器有爆炸危险。受热分解，放出氧气。</w:t>
            </w:r>
          </w:p>
          <w:p w14:paraId="006BC4D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燃烧</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分解</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产物：氯化物、氧化钾。</w:t>
            </w:r>
          </w:p>
        </w:tc>
      </w:tr>
      <w:tr w14:paraId="32C2A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370" w:type="pct"/>
            <w:vAlign w:val="center"/>
          </w:tcPr>
          <w:p w14:paraId="61770E4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1"/>
                <w:sz w:val="21"/>
                <w:szCs w:val="21"/>
              </w:rPr>
              <w:t>2</w:t>
            </w:r>
          </w:p>
        </w:tc>
        <w:tc>
          <w:tcPr>
            <w:tcW w:w="371" w:type="pct"/>
            <w:vAlign w:val="center"/>
          </w:tcPr>
          <w:p w14:paraId="01D329F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3"/>
                <w:sz w:val="21"/>
                <w:szCs w:val="21"/>
              </w:rPr>
              <w:t>硝酸</w:t>
            </w:r>
            <w:r>
              <w:rPr>
                <w:color w:val="auto"/>
                <w:sz w:val="21"/>
                <w:szCs w:val="21"/>
              </w:rPr>
              <w:t>钾</w:t>
            </w:r>
          </w:p>
        </w:tc>
        <w:tc>
          <w:tcPr>
            <w:tcW w:w="4257" w:type="pct"/>
            <w:vAlign w:val="top"/>
          </w:tcPr>
          <w:p w14:paraId="095D094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物化性质：无色透明结晶或白色颗粒乃至结晶性粉末。有冷感和刺激性咸味。相对密度</w:t>
            </w:r>
            <w:r>
              <w:rPr>
                <w:rFonts w:hint="default" w:ascii="Times New Roman" w:hAnsi="Times New Roman" w:eastAsia="Times New Roman" w:cs="Times New Roman"/>
                <w:color w:val="auto"/>
                <w:spacing w:val="0"/>
                <w:position w:val="0"/>
                <w:sz w:val="21"/>
                <w:szCs w:val="21"/>
              </w:rPr>
              <w:t>2.11</w:t>
            </w:r>
            <w:r>
              <w:rPr>
                <w:rFonts w:hint="default" w:ascii="Times New Roman" w:hAnsi="Times New Roman" w:cs="Times New Roman"/>
                <w:color w:val="auto"/>
                <w:spacing w:val="0"/>
                <w:position w:val="0"/>
                <w:sz w:val="21"/>
                <w:szCs w:val="21"/>
              </w:rPr>
              <w:t>，熔点</w:t>
            </w:r>
            <w:r>
              <w:rPr>
                <w:rFonts w:hint="default" w:ascii="Times New Roman" w:hAnsi="Times New Roman" w:eastAsia="Times New Roman" w:cs="Times New Roman"/>
                <w:color w:val="auto"/>
                <w:spacing w:val="0"/>
                <w:position w:val="0"/>
                <w:sz w:val="21"/>
                <w:szCs w:val="21"/>
              </w:rPr>
              <w:t>338</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400</w:t>
            </w:r>
            <w:r>
              <w:rPr>
                <w:rFonts w:hint="default" w:ascii="Times New Roman" w:hAnsi="Times New Roman" w:cs="Times New Roman"/>
                <w:color w:val="auto"/>
                <w:spacing w:val="0"/>
                <w:position w:val="0"/>
                <w:sz w:val="21"/>
                <w:szCs w:val="21"/>
              </w:rPr>
              <w:t>℃时分解，释出氧气，易溶于水、液氨及甘油。不溶于无水乙醇与乙醚。</w:t>
            </w:r>
          </w:p>
          <w:p w14:paraId="619542D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危险特性：强氧化剂。遇可燃物着火时，能助长火势。与有机物、还原剂、易燃物如硫、磷等接触或混合时有引起燃烧爆炸的危险。燃烧分解时，放出有毒的氮氧化物。受高热分解，产生有毒的氮氧化物。</w:t>
            </w:r>
          </w:p>
          <w:p w14:paraId="2CFE43D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燃烧</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分解</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产物：氮氧化物。</w:t>
            </w:r>
          </w:p>
        </w:tc>
      </w:tr>
      <w:tr w14:paraId="68447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370" w:type="pct"/>
            <w:vAlign w:val="center"/>
          </w:tcPr>
          <w:p w14:paraId="7C38F5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2"/>
                <w:sz w:val="21"/>
                <w:szCs w:val="21"/>
              </w:rPr>
              <w:t>3</w:t>
            </w:r>
          </w:p>
        </w:tc>
        <w:tc>
          <w:tcPr>
            <w:tcW w:w="371" w:type="pct"/>
            <w:vAlign w:val="center"/>
          </w:tcPr>
          <w:p w14:paraId="66983B7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硫磺</w:t>
            </w:r>
          </w:p>
        </w:tc>
        <w:tc>
          <w:tcPr>
            <w:tcW w:w="4257" w:type="pct"/>
            <w:vAlign w:val="top"/>
          </w:tcPr>
          <w:p w14:paraId="5A01ACF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物化性质：常温下化合力较迟钝，但在高温下则反应非常活跃，几乎能与金、白金以外的所有金属及氢化合而成硫化物。此外还能与氧、碳、卤素等化合。相对密度</w:t>
            </w:r>
            <w:r>
              <w:rPr>
                <w:rFonts w:hint="default" w:ascii="Times New Roman" w:hAnsi="Times New Roman" w:eastAsia="Times New Roman" w:cs="Times New Roman"/>
                <w:color w:val="auto"/>
                <w:spacing w:val="0"/>
                <w:position w:val="0"/>
                <w:sz w:val="21"/>
                <w:szCs w:val="21"/>
              </w:rPr>
              <w:t>2.06</w:t>
            </w:r>
            <w:r>
              <w:rPr>
                <w:rFonts w:hint="default" w:ascii="Times New Roman" w:hAnsi="Times New Roman" w:cs="Times New Roman"/>
                <w:color w:val="auto"/>
                <w:spacing w:val="0"/>
                <w:position w:val="0"/>
                <w:sz w:val="21"/>
                <w:szCs w:val="21"/>
              </w:rPr>
              <w:t>；熔点</w:t>
            </w:r>
            <w:r>
              <w:rPr>
                <w:rFonts w:hint="default" w:ascii="Times New Roman" w:hAnsi="Times New Roman" w:eastAsia="Times New Roman" w:cs="Times New Roman"/>
                <w:color w:val="auto"/>
                <w:spacing w:val="0"/>
                <w:position w:val="0"/>
                <w:sz w:val="21"/>
                <w:szCs w:val="21"/>
              </w:rPr>
              <w:t>112.8</w:t>
            </w:r>
            <w:r>
              <w:rPr>
                <w:rFonts w:hint="default" w:ascii="Times New Roman" w:hAnsi="Times New Roman" w:cs="Times New Roman"/>
                <w:color w:val="auto"/>
                <w:spacing w:val="0"/>
                <w:position w:val="0"/>
                <w:sz w:val="21"/>
                <w:szCs w:val="21"/>
              </w:rPr>
              <w:t>℃；沸点</w:t>
            </w:r>
            <w:r>
              <w:rPr>
                <w:rFonts w:hint="default" w:ascii="Times New Roman" w:hAnsi="Times New Roman" w:eastAsia="Times New Roman" w:cs="Times New Roman"/>
                <w:color w:val="auto"/>
                <w:spacing w:val="0"/>
                <w:position w:val="0"/>
                <w:sz w:val="21"/>
                <w:szCs w:val="21"/>
              </w:rPr>
              <w:t>444.6</w:t>
            </w:r>
            <w:r>
              <w:rPr>
                <w:rFonts w:hint="default" w:ascii="Times New Roman" w:hAnsi="Times New Roman" w:cs="Times New Roman"/>
                <w:color w:val="auto"/>
                <w:spacing w:val="0"/>
                <w:position w:val="0"/>
                <w:sz w:val="21"/>
                <w:szCs w:val="21"/>
              </w:rPr>
              <w:t>℃。几乎不溶于水，微溶于乙醚、乙醇、苯、甘油。极易溶于氧化硫、二氧化碳。</w:t>
            </w:r>
          </w:p>
          <w:p w14:paraId="561DE9D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 xml:space="preserve">危险特性：粉尘或蒸气与空气或氧化剂混合形成爆炸性混合物。闪点 </w:t>
            </w:r>
            <w:r>
              <w:rPr>
                <w:rFonts w:hint="default" w:ascii="Times New Roman" w:hAnsi="Times New Roman" w:eastAsia="Times New Roman" w:cs="Times New Roman"/>
                <w:color w:val="auto"/>
                <w:spacing w:val="0"/>
                <w:position w:val="0"/>
                <w:sz w:val="21"/>
                <w:szCs w:val="21"/>
              </w:rPr>
              <w:t>207</w:t>
            </w:r>
            <w:r>
              <w:rPr>
                <w:rFonts w:hint="default" w:ascii="Times New Roman" w:hAnsi="Times New Roman" w:cs="Times New Roman"/>
                <w:color w:val="auto"/>
                <w:spacing w:val="0"/>
                <w:position w:val="0"/>
                <w:sz w:val="21"/>
                <w:szCs w:val="21"/>
              </w:rPr>
              <w:t>℃,自燃点</w:t>
            </w:r>
            <w:r>
              <w:rPr>
                <w:rFonts w:hint="default" w:ascii="Times New Roman" w:hAnsi="Times New Roman" w:eastAsia="Times New Roman" w:cs="Times New Roman"/>
                <w:color w:val="auto"/>
                <w:spacing w:val="0"/>
                <w:position w:val="0"/>
                <w:sz w:val="21"/>
                <w:szCs w:val="21"/>
              </w:rPr>
              <w:t>232</w:t>
            </w:r>
            <w:r>
              <w:rPr>
                <w:rFonts w:hint="default" w:ascii="Times New Roman" w:hAnsi="Times New Roman" w:cs="Times New Roman"/>
                <w:color w:val="auto"/>
                <w:spacing w:val="0"/>
                <w:position w:val="0"/>
                <w:sz w:val="21"/>
                <w:szCs w:val="21"/>
              </w:rPr>
              <w:t>℃。空气中含量达</w:t>
            </w:r>
            <w:r>
              <w:rPr>
                <w:rFonts w:hint="default" w:ascii="Times New Roman" w:hAnsi="Times New Roman" w:eastAsia="Times New Roman" w:cs="Times New Roman"/>
                <w:color w:val="auto"/>
                <w:spacing w:val="0"/>
                <w:position w:val="0"/>
                <w:sz w:val="21"/>
                <w:szCs w:val="21"/>
              </w:rPr>
              <w:t>35g/m</w:t>
            </w:r>
            <w:r>
              <w:rPr>
                <w:rFonts w:hint="default" w:ascii="Times New Roman" w:hAnsi="Times New Roman" w:eastAsia="Times New Roman" w:cs="Times New Roman"/>
                <w:color w:val="auto"/>
                <w:spacing w:val="0"/>
                <w:position w:val="0"/>
                <w:sz w:val="21"/>
                <w:szCs w:val="21"/>
                <w:vertAlign w:val="superscript"/>
              </w:rPr>
              <w:t>3</w:t>
            </w:r>
            <w:r>
              <w:rPr>
                <w:rFonts w:hint="default" w:ascii="Times New Roman" w:hAnsi="Times New Roman" w:cs="Times New Roman"/>
                <w:color w:val="auto"/>
                <w:spacing w:val="0"/>
                <w:position w:val="0"/>
                <w:sz w:val="21"/>
                <w:szCs w:val="21"/>
              </w:rPr>
              <w:t>以上即具燃烧性。与卤素、金属粉等接触剧烈反应。硫磺为不良导体，在运输或储存室易产生静电荷，可导致硫尘起火，硫磺堆放场所的意外火灾是颇为多见且是一种事故隐患，因为火被扑灭后，可能会复燃。</w:t>
            </w:r>
          </w:p>
        </w:tc>
      </w:tr>
      <w:tr w14:paraId="49796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370" w:type="pct"/>
            <w:tcBorders>
              <w:top w:val="single" w:color="000000" w:sz="6" w:space="0"/>
            </w:tcBorders>
            <w:vAlign w:val="center"/>
          </w:tcPr>
          <w:p w14:paraId="585E6A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1"/>
                <w:position w:val="1"/>
                <w:sz w:val="21"/>
                <w:szCs w:val="21"/>
              </w:rPr>
              <w:t>4</w:t>
            </w:r>
          </w:p>
        </w:tc>
        <w:tc>
          <w:tcPr>
            <w:tcW w:w="371" w:type="pct"/>
            <w:tcBorders>
              <w:top w:val="single" w:color="000000" w:sz="6" w:space="0"/>
            </w:tcBorders>
            <w:vAlign w:val="center"/>
          </w:tcPr>
          <w:p w14:paraId="19D19D7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4"/>
                <w:sz w:val="21"/>
                <w:szCs w:val="21"/>
              </w:rPr>
              <w:t>铝粉</w:t>
            </w:r>
          </w:p>
        </w:tc>
        <w:tc>
          <w:tcPr>
            <w:tcW w:w="4257" w:type="pct"/>
            <w:tcBorders>
              <w:top w:val="single" w:color="000000" w:sz="6" w:space="0"/>
            </w:tcBorders>
            <w:vAlign w:val="top"/>
          </w:tcPr>
          <w:p w14:paraId="54DFC09F">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物化性质：银白色至银灰色和黑灰色两种。质地轻、浮力高、遮盖力强，稳定性好，反射光和热性能好。相对密度</w:t>
            </w:r>
            <w:r>
              <w:rPr>
                <w:rFonts w:hint="default" w:ascii="Times New Roman" w:hAnsi="Times New Roman" w:eastAsia="Times New Roman" w:cs="Times New Roman"/>
                <w:color w:val="auto"/>
                <w:spacing w:val="0"/>
                <w:position w:val="0"/>
                <w:sz w:val="21"/>
                <w:szCs w:val="21"/>
              </w:rPr>
              <w:t>2.70</w:t>
            </w:r>
            <w:r>
              <w:rPr>
                <w:rFonts w:hint="default" w:ascii="Times New Roman" w:hAnsi="Times New Roman" w:cs="Times New Roman"/>
                <w:color w:val="auto"/>
                <w:spacing w:val="0"/>
                <w:position w:val="0"/>
                <w:sz w:val="21"/>
                <w:szCs w:val="21"/>
              </w:rPr>
              <w:t>，熔点</w:t>
            </w:r>
            <w:r>
              <w:rPr>
                <w:rFonts w:hint="default" w:ascii="Times New Roman" w:hAnsi="Times New Roman" w:eastAsia="Times New Roman" w:cs="Times New Roman"/>
                <w:color w:val="auto"/>
                <w:spacing w:val="0"/>
                <w:position w:val="0"/>
                <w:sz w:val="21"/>
                <w:szCs w:val="21"/>
              </w:rPr>
              <w:t>660.4</w:t>
            </w:r>
            <w:r>
              <w:rPr>
                <w:rFonts w:hint="default" w:ascii="Times New Roman" w:hAnsi="Times New Roman" w:cs="Times New Roman"/>
                <w:color w:val="auto"/>
                <w:spacing w:val="0"/>
                <w:position w:val="0"/>
                <w:sz w:val="21"/>
                <w:szCs w:val="21"/>
              </w:rPr>
              <w:t>℃,沸点</w:t>
            </w:r>
            <w:r>
              <w:rPr>
                <w:rFonts w:hint="default" w:ascii="Times New Roman" w:hAnsi="Times New Roman" w:eastAsia="Times New Roman" w:cs="Times New Roman"/>
                <w:color w:val="auto"/>
                <w:spacing w:val="0"/>
                <w:position w:val="0"/>
                <w:sz w:val="21"/>
                <w:szCs w:val="21"/>
              </w:rPr>
              <w:t>2060</w:t>
            </w:r>
            <w:r>
              <w:rPr>
                <w:rFonts w:hint="default" w:ascii="Times New Roman" w:hAnsi="Times New Roman" w:cs="Times New Roman"/>
                <w:color w:val="auto"/>
                <w:spacing w:val="0"/>
                <w:position w:val="0"/>
                <w:sz w:val="21"/>
                <w:szCs w:val="21"/>
              </w:rPr>
              <w:t>℃, 一般粒度越细、颜色越深，活性铝越少。溶于稀盐酸、硫酸、氢氧化钾及氢氧化钠水溶液，同时产生氢气。不溶于浓硫酸或浓醋酸。</w:t>
            </w:r>
          </w:p>
          <w:p w14:paraId="5896B8E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危险特性：大量粉尘遇潮湿、水蒸气能自燃。与氧化剂混合能形成爆炸性混合物。与氟、氯等接触会发生剧烈的化学反应。与酸类或与强碱接触也能产生氢气，引起燃烧爆炸。粉体与空气可形成爆炸性混合物，当达到一定浓度时，遇火星会发生爆炸。</w:t>
            </w:r>
          </w:p>
          <w:p w14:paraId="634BFC3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燃烧</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分解</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rPr>
              <w:t>产物：氧化铝。</w:t>
            </w:r>
          </w:p>
        </w:tc>
      </w:tr>
      <w:tr w14:paraId="3C3DC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370" w:type="pct"/>
            <w:vAlign w:val="center"/>
          </w:tcPr>
          <w:p w14:paraId="2537CC6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5</w:t>
            </w:r>
          </w:p>
        </w:tc>
        <w:tc>
          <w:tcPr>
            <w:tcW w:w="371" w:type="pct"/>
            <w:vAlign w:val="center"/>
          </w:tcPr>
          <w:p w14:paraId="19097358">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2"/>
                <w:sz w:val="21"/>
                <w:szCs w:val="21"/>
              </w:rPr>
              <w:t>黑火</w:t>
            </w:r>
            <w:r>
              <w:rPr>
                <w:color w:val="auto"/>
                <w:sz w:val="21"/>
                <w:szCs w:val="21"/>
              </w:rPr>
              <w:t>药</w:t>
            </w:r>
          </w:p>
        </w:tc>
        <w:tc>
          <w:tcPr>
            <w:tcW w:w="4257" w:type="pct"/>
            <w:vAlign w:val="top"/>
          </w:tcPr>
          <w:p w14:paraId="6D48AD1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物化性质：黑色粒状粉末，为硝酸钾、硫磺、炭末的混合物，容易燃烧，爆炸时有烟，破坏能力较小。黑火药一般不易变质，但易吸潮，吸朝后将失去预期的使用效果。最大爆炸速度约</w:t>
            </w:r>
            <w:r>
              <w:rPr>
                <w:rFonts w:hint="default" w:ascii="Times New Roman" w:hAnsi="Times New Roman" w:eastAsia="Times New Roman" w:cs="Times New Roman"/>
                <w:color w:val="auto"/>
                <w:spacing w:val="0"/>
                <w:position w:val="0"/>
                <w:sz w:val="21"/>
                <w:szCs w:val="21"/>
              </w:rPr>
              <w:t>500m/s</w:t>
            </w:r>
            <w:r>
              <w:rPr>
                <w:rFonts w:hint="default" w:ascii="Times New Roman" w:hAnsi="Times New Roman" w:cs="Times New Roman"/>
                <w:color w:val="auto"/>
                <w:spacing w:val="0"/>
                <w:position w:val="0"/>
                <w:sz w:val="21"/>
                <w:szCs w:val="21"/>
              </w:rPr>
              <w:t>。爆发点：</w:t>
            </w:r>
            <w:r>
              <w:rPr>
                <w:rFonts w:hint="default" w:ascii="Times New Roman" w:hAnsi="Times New Roman" w:eastAsia="Times New Roman" w:cs="Times New Roman"/>
                <w:color w:val="auto"/>
                <w:spacing w:val="0"/>
                <w:position w:val="0"/>
                <w:sz w:val="21"/>
                <w:szCs w:val="21"/>
              </w:rPr>
              <w:t>270-330</w:t>
            </w:r>
            <w:r>
              <w:rPr>
                <w:rFonts w:hint="default" w:ascii="Times New Roman" w:hAnsi="Times New Roman" w:cs="Times New Roman"/>
                <w:color w:val="auto"/>
                <w:spacing w:val="0"/>
                <w:position w:val="0"/>
                <w:sz w:val="21"/>
                <w:szCs w:val="21"/>
              </w:rPr>
              <w:t>℃, 爆轰气体体积：</w:t>
            </w:r>
            <w:r>
              <w:rPr>
                <w:rFonts w:hint="default" w:ascii="Times New Roman" w:hAnsi="Times New Roman" w:eastAsia="Times New Roman" w:cs="Times New Roman"/>
                <w:color w:val="auto"/>
                <w:spacing w:val="0"/>
                <w:position w:val="0"/>
                <w:sz w:val="21"/>
                <w:szCs w:val="21"/>
              </w:rPr>
              <w:t>280cm</w:t>
            </w:r>
            <w:r>
              <w:rPr>
                <w:rFonts w:hint="default" w:ascii="Times New Roman" w:hAnsi="Times New Roman" w:eastAsia="Times New Roman" w:cs="Times New Roman"/>
                <w:color w:val="auto"/>
                <w:spacing w:val="0"/>
                <w:position w:val="0"/>
                <w:sz w:val="21"/>
                <w:szCs w:val="21"/>
                <w:vertAlign w:val="superscript"/>
              </w:rPr>
              <w:t>3</w:t>
            </w:r>
            <w:r>
              <w:rPr>
                <w:rFonts w:hint="default" w:ascii="Times New Roman" w:hAnsi="Times New Roman" w:eastAsia="Times New Roman" w:cs="Times New Roman"/>
                <w:color w:val="auto"/>
                <w:spacing w:val="0"/>
                <w:position w:val="0"/>
                <w:sz w:val="21"/>
                <w:szCs w:val="21"/>
              </w:rPr>
              <w:t>/g</w:t>
            </w:r>
            <w:r>
              <w:rPr>
                <w:rFonts w:hint="default" w:ascii="Times New Roman" w:hAnsi="Times New Roman" w:cs="Times New Roman"/>
                <w:color w:val="auto"/>
                <w:spacing w:val="0"/>
                <w:position w:val="0"/>
                <w:sz w:val="21"/>
                <w:szCs w:val="21"/>
              </w:rPr>
              <w:t>，爆热</w:t>
            </w:r>
            <w:r>
              <w:rPr>
                <w:rFonts w:hint="default" w:ascii="Times New Roman" w:hAnsi="Times New Roman" w:eastAsia="Times New Roman" w:cs="Times New Roman"/>
                <w:color w:val="auto"/>
                <w:spacing w:val="0"/>
                <w:position w:val="0"/>
                <w:sz w:val="21"/>
                <w:szCs w:val="21"/>
              </w:rPr>
              <w:t>720cal/g</w:t>
            </w:r>
            <w:r>
              <w:rPr>
                <w:rFonts w:hint="default" w:ascii="Times New Roman" w:hAnsi="Times New Roman" w:cs="Times New Roman"/>
                <w:color w:val="auto"/>
                <w:spacing w:val="0"/>
                <w:position w:val="0"/>
                <w:sz w:val="21"/>
                <w:szCs w:val="21"/>
              </w:rPr>
              <w:t xml:space="preserve">，火焰温度 </w:t>
            </w:r>
            <w:r>
              <w:rPr>
                <w:rFonts w:hint="default" w:ascii="Times New Roman" w:hAnsi="Times New Roman" w:eastAsia="Times New Roman" w:cs="Times New Roman"/>
                <w:color w:val="auto"/>
                <w:spacing w:val="0"/>
                <w:position w:val="0"/>
                <w:sz w:val="21"/>
                <w:szCs w:val="21"/>
              </w:rPr>
              <w:t>2500</w:t>
            </w:r>
            <w:r>
              <w:rPr>
                <w:rFonts w:hint="default" w:ascii="Times New Roman" w:hAnsi="Times New Roman" w:cs="Times New Roman"/>
                <w:color w:val="auto"/>
                <w:spacing w:val="0"/>
                <w:position w:val="0"/>
                <w:sz w:val="21"/>
                <w:szCs w:val="21"/>
              </w:rPr>
              <w:t>℃,撞击感度：</w:t>
            </w:r>
            <w:r>
              <w:rPr>
                <w:rFonts w:hint="default" w:ascii="Times New Roman" w:hAnsi="Times New Roman" w:eastAsia="Times New Roman" w:cs="Times New Roman"/>
                <w:color w:val="auto"/>
                <w:spacing w:val="0"/>
                <w:position w:val="0"/>
                <w:sz w:val="21"/>
                <w:szCs w:val="21"/>
              </w:rPr>
              <w:t>1.2-1.8kg.m/cm</w:t>
            </w:r>
            <w:r>
              <w:rPr>
                <w:rFonts w:hint="default" w:ascii="Times New Roman" w:hAnsi="Times New Roman" w:eastAsia="Times New Roman" w:cs="Times New Roman"/>
                <w:color w:val="auto"/>
                <w:spacing w:val="0"/>
                <w:position w:val="0"/>
                <w:sz w:val="21"/>
                <w:szCs w:val="21"/>
                <w:vertAlign w:val="superscript"/>
              </w:rPr>
              <w:t>2</w:t>
            </w:r>
            <w:r>
              <w:rPr>
                <w:rFonts w:hint="default" w:ascii="Times New Roman" w:hAnsi="Times New Roman" w:cs="Times New Roman"/>
                <w:color w:val="auto"/>
                <w:spacing w:val="0"/>
                <w:position w:val="0"/>
                <w:sz w:val="21"/>
                <w:szCs w:val="21"/>
              </w:rPr>
              <w:t>（落锤试验），在</w:t>
            </w:r>
            <w:r>
              <w:rPr>
                <w:rFonts w:hint="default" w:ascii="Times New Roman" w:hAnsi="Times New Roman" w:eastAsia="Times New Roman" w:cs="Times New Roman"/>
                <w:color w:val="auto"/>
                <w:spacing w:val="0"/>
                <w:position w:val="0"/>
                <w:sz w:val="21"/>
                <w:szCs w:val="21"/>
              </w:rPr>
              <w:t>40</w:t>
            </w:r>
            <w:r>
              <w:rPr>
                <w:rFonts w:hint="default" w:ascii="Times New Roman" w:hAnsi="Times New Roman" w:cs="Times New Roman"/>
                <w:color w:val="auto"/>
                <w:spacing w:val="0"/>
                <w:position w:val="0"/>
                <w:sz w:val="21"/>
                <w:szCs w:val="21"/>
              </w:rPr>
              <w:t>℃以上时特别敏感。</w:t>
            </w:r>
          </w:p>
          <w:p w14:paraId="071950D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危险特性：遇明火、撞击、摩擦、高温，有引起燃烧爆炸的危险。</w:t>
            </w:r>
          </w:p>
          <w:p w14:paraId="0480E2D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爆竹内的火药是以</w:t>
            </w:r>
            <w:r>
              <w:rPr>
                <w:rFonts w:hint="default" w:ascii="Times New Roman" w:hAnsi="Times New Roman" w:eastAsia="Times New Roman" w:cs="Times New Roman"/>
                <w:color w:val="auto"/>
                <w:spacing w:val="0"/>
                <w:position w:val="0"/>
                <w:sz w:val="21"/>
                <w:szCs w:val="21"/>
              </w:rPr>
              <w:t>1</w:t>
            </w:r>
            <w:r>
              <w:rPr>
                <w:rFonts w:hint="default" w:ascii="Times New Roman" w:hAnsi="Times New Roman" w:cs="Times New Roman"/>
                <w:color w:val="auto"/>
                <w:spacing w:val="0"/>
                <w:position w:val="0"/>
                <w:sz w:val="21"/>
                <w:szCs w:val="21"/>
              </w:rPr>
              <w:t>硫</w:t>
            </w:r>
            <w:r>
              <w:rPr>
                <w:rFonts w:hint="default" w:ascii="Times New Roman" w:hAnsi="Times New Roman" w:eastAsia="Times New Roman" w:cs="Times New Roman"/>
                <w:color w:val="auto"/>
                <w:spacing w:val="0"/>
                <w:position w:val="0"/>
                <w:sz w:val="21"/>
                <w:szCs w:val="21"/>
              </w:rPr>
              <w:t>2</w:t>
            </w:r>
            <w:r>
              <w:rPr>
                <w:rFonts w:hint="default" w:ascii="Times New Roman" w:hAnsi="Times New Roman" w:cs="Times New Roman"/>
                <w:color w:val="auto"/>
                <w:spacing w:val="0"/>
                <w:position w:val="0"/>
                <w:sz w:val="21"/>
                <w:szCs w:val="21"/>
              </w:rPr>
              <w:t>硝</w:t>
            </w:r>
            <w:r>
              <w:rPr>
                <w:rFonts w:hint="default" w:ascii="Times New Roman" w:hAnsi="Times New Roman" w:eastAsia="Times New Roman" w:cs="Times New Roman"/>
                <w:color w:val="auto"/>
                <w:spacing w:val="0"/>
                <w:position w:val="0"/>
                <w:sz w:val="21"/>
                <w:szCs w:val="21"/>
              </w:rPr>
              <w:t>3</w:t>
            </w:r>
            <w:r>
              <w:rPr>
                <w:rFonts w:hint="default" w:ascii="Times New Roman" w:hAnsi="Times New Roman" w:cs="Times New Roman"/>
                <w:color w:val="auto"/>
                <w:spacing w:val="0"/>
                <w:position w:val="0"/>
                <w:sz w:val="21"/>
                <w:szCs w:val="21"/>
              </w:rPr>
              <w:t>碳的黑色火药为基础发展而来的，一般配方是：硝酸钾（</w:t>
            </w:r>
            <w:r>
              <w:rPr>
                <w:rFonts w:hint="default" w:ascii="Times New Roman" w:hAnsi="Times New Roman" w:eastAsia="Times New Roman" w:cs="Times New Roman"/>
                <w:color w:val="auto"/>
                <w:spacing w:val="0"/>
                <w:position w:val="0"/>
                <w:sz w:val="21"/>
                <w:szCs w:val="21"/>
              </w:rPr>
              <w:t>KNO3</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3</w:t>
            </w:r>
            <w:r>
              <w:rPr>
                <w:rFonts w:hint="default" w:ascii="Times New Roman" w:hAnsi="Times New Roman" w:cs="Times New Roman"/>
                <w:color w:val="auto"/>
                <w:spacing w:val="0"/>
                <w:position w:val="0"/>
                <w:sz w:val="21"/>
                <w:szCs w:val="21"/>
              </w:rPr>
              <w:t>克，硫磺（</w:t>
            </w:r>
            <w:r>
              <w:rPr>
                <w:rFonts w:hint="default" w:ascii="Times New Roman" w:hAnsi="Times New Roman" w:eastAsia="Times New Roman" w:cs="Times New Roman"/>
                <w:color w:val="auto"/>
                <w:spacing w:val="0"/>
                <w:position w:val="0"/>
                <w:sz w:val="21"/>
                <w:szCs w:val="21"/>
              </w:rPr>
              <w:t>S</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2</w:t>
            </w:r>
            <w:r>
              <w:rPr>
                <w:rFonts w:hint="default" w:ascii="Times New Roman" w:hAnsi="Times New Roman" w:cs="Times New Roman"/>
                <w:color w:val="auto"/>
                <w:spacing w:val="0"/>
                <w:position w:val="0"/>
                <w:sz w:val="21"/>
                <w:szCs w:val="21"/>
              </w:rPr>
              <w:t>克，炭粉（</w:t>
            </w:r>
            <w:r>
              <w:rPr>
                <w:rFonts w:hint="default" w:ascii="Times New Roman" w:hAnsi="Times New Roman" w:eastAsia="Times New Roman" w:cs="Times New Roman"/>
                <w:color w:val="auto"/>
                <w:spacing w:val="0"/>
                <w:position w:val="0"/>
                <w:sz w:val="21"/>
                <w:szCs w:val="21"/>
              </w:rPr>
              <w:t>C</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4.5</w:t>
            </w:r>
            <w:r>
              <w:rPr>
                <w:rFonts w:hint="default" w:ascii="Times New Roman" w:hAnsi="Times New Roman" w:cs="Times New Roman"/>
                <w:color w:val="auto"/>
                <w:spacing w:val="0"/>
                <w:position w:val="0"/>
                <w:sz w:val="21"/>
                <w:szCs w:val="21"/>
              </w:rPr>
              <w:t>克，蔗糖（</w:t>
            </w:r>
            <w:r>
              <w:rPr>
                <w:rFonts w:hint="default" w:ascii="Times New Roman" w:hAnsi="Times New Roman" w:eastAsia="Times New Roman" w:cs="Times New Roman"/>
                <w:color w:val="auto"/>
                <w:spacing w:val="0"/>
                <w:position w:val="0"/>
                <w:sz w:val="21"/>
                <w:szCs w:val="21"/>
              </w:rPr>
              <w:t>C</w:t>
            </w:r>
            <w:r>
              <w:rPr>
                <w:rFonts w:hint="default" w:ascii="Times New Roman" w:hAnsi="Times New Roman" w:eastAsia="Times New Roman" w:cs="Times New Roman"/>
                <w:color w:val="auto"/>
                <w:spacing w:val="0"/>
                <w:position w:val="0"/>
                <w:sz w:val="21"/>
                <w:szCs w:val="21"/>
                <w:vertAlign w:val="subscript"/>
              </w:rPr>
              <w:t>12</w:t>
            </w:r>
            <w:r>
              <w:rPr>
                <w:rFonts w:hint="default" w:ascii="Times New Roman" w:hAnsi="Times New Roman" w:eastAsia="Times New Roman" w:cs="Times New Roman"/>
                <w:color w:val="auto"/>
                <w:spacing w:val="0"/>
                <w:position w:val="0"/>
                <w:sz w:val="21"/>
                <w:szCs w:val="21"/>
              </w:rPr>
              <w:t>H</w:t>
            </w:r>
            <w:r>
              <w:rPr>
                <w:rFonts w:hint="default" w:ascii="Times New Roman" w:hAnsi="Times New Roman" w:eastAsia="Times New Roman" w:cs="Times New Roman"/>
                <w:color w:val="auto"/>
                <w:spacing w:val="0"/>
                <w:position w:val="0"/>
                <w:sz w:val="21"/>
                <w:szCs w:val="21"/>
                <w:vertAlign w:val="subscript"/>
              </w:rPr>
              <w:t>22</w:t>
            </w:r>
            <w:r>
              <w:rPr>
                <w:rFonts w:hint="default" w:ascii="Times New Roman" w:hAnsi="Times New Roman" w:eastAsia="Times New Roman" w:cs="Times New Roman"/>
                <w:color w:val="auto"/>
                <w:spacing w:val="0"/>
                <w:position w:val="0"/>
                <w:sz w:val="21"/>
                <w:szCs w:val="21"/>
              </w:rPr>
              <w:t>O</w:t>
            </w:r>
            <w:r>
              <w:rPr>
                <w:rFonts w:hint="default" w:ascii="Times New Roman" w:hAnsi="Times New Roman" w:eastAsia="Times New Roman" w:cs="Times New Roman"/>
                <w:color w:val="auto"/>
                <w:spacing w:val="0"/>
                <w:position w:val="0"/>
                <w:sz w:val="21"/>
                <w:szCs w:val="21"/>
                <w:vertAlign w:val="subscript"/>
              </w:rPr>
              <w:t>11</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5</w:t>
            </w:r>
            <w:r>
              <w:rPr>
                <w:rFonts w:hint="default" w:ascii="Times New Roman" w:hAnsi="Times New Roman" w:cs="Times New Roman"/>
                <w:color w:val="auto"/>
                <w:spacing w:val="0"/>
                <w:position w:val="0"/>
                <w:sz w:val="21"/>
                <w:szCs w:val="21"/>
              </w:rPr>
              <w:t>克，镁粉（</w:t>
            </w:r>
            <w:r>
              <w:rPr>
                <w:rFonts w:hint="default" w:ascii="Times New Roman" w:hAnsi="Times New Roman" w:eastAsia="Times New Roman" w:cs="Times New Roman"/>
                <w:color w:val="auto"/>
                <w:spacing w:val="0"/>
                <w:position w:val="0"/>
                <w:sz w:val="21"/>
                <w:szCs w:val="21"/>
              </w:rPr>
              <w:t>Mg</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1</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2</w:t>
            </w:r>
            <w:r>
              <w:rPr>
                <w:rFonts w:hint="default" w:ascii="Times New Roman" w:hAnsi="Times New Roman" w:cs="Times New Roman"/>
                <w:color w:val="auto"/>
                <w:spacing w:val="0"/>
                <w:position w:val="0"/>
                <w:sz w:val="21"/>
                <w:szCs w:val="21"/>
              </w:rPr>
              <w:t>克。其中蔗糖作为气体发生剂以增加响度，镁为发光剂。点燃后的爆炸反应主要是：</w:t>
            </w:r>
            <w:r>
              <w:rPr>
                <w:rFonts w:hint="default" w:ascii="Times New Roman" w:hAnsi="Times New Roman" w:eastAsia="Times New Roman" w:cs="Times New Roman"/>
                <w:i/>
                <w:iCs/>
                <w:color w:val="auto"/>
                <w:spacing w:val="0"/>
                <w:position w:val="0"/>
                <w:sz w:val="21"/>
                <w:szCs w:val="21"/>
              </w:rPr>
              <w:t>S</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2</w:t>
            </w:r>
            <w:r>
              <w:rPr>
                <w:rFonts w:hint="default" w:ascii="Times New Roman" w:hAnsi="Times New Roman" w:eastAsia="Times New Roman" w:cs="Times New Roman"/>
                <w:i/>
                <w:iCs/>
                <w:color w:val="auto"/>
                <w:spacing w:val="0"/>
                <w:position w:val="0"/>
                <w:sz w:val="21"/>
                <w:szCs w:val="21"/>
              </w:rPr>
              <w:t>KNO</w:t>
            </w:r>
            <w:r>
              <w:rPr>
                <w:rFonts w:hint="default" w:ascii="Times New Roman" w:hAnsi="Times New Roman" w:eastAsia="Times New Roman" w:cs="Times New Roman"/>
                <w:color w:val="auto"/>
                <w:spacing w:val="0"/>
                <w:position w:val="0"/>
                <w:sz w:val="21"/>
                <w:szCs w:val="21"/>
                <w:vertAlign w:val="subscript"/>
              </w:rPr>
              <w:t>3</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3</w:t>
            </w:r>
            <w:r>
              <w:rPr>
                <w:rFonts w:hint="default" w:ascii="Times New Roman" w:hAnsi="Times New Roman" w:eastAsia="Times New Roman" w:cs="Times New Roman"/>
                <w:i/>
                <w:iCs/>
                <w:color w:val="auto"/>
                <w:spacing w:val="0"/>
                <w:position w:val="0"/>
                <w:sz w:val="21"/>
                <w:szCs w:val="21"/>
              </w:rPr>
              <w:t>C</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i/>
                <w:iCs/>
                <w:color w:val="auto"/>
                <w:spacing w:val="0"/>
                <w:position w:val="0"/>
                <w:sz w:val="21"/>
                <w:szCs w:val="21"/>
              </w:rPr>
              <w:t>K</w:t>
            </w:r>
            <w:r>
              <w:rPr>
                <w:rFonts w:hint="default" w:ascii="Times New Roman" w:hAnsi="Times New Roman" w:eastAsia="Times New Roman" w:cs="Times New Roman"/>
                <w:color w:val="auto"/>
                <w:spacing w:val="0"/>
                <w:position w:val="0"/>
                <w:sz w:val="21"/>
                <w:szCs w:val="21"/>
                <w:vertAlign w:val="subscript"/>
              </w:rPr>
              <w:t>2</w:t>
            </w:r>
            <w:r>
              <w:rPr>
                <w:rFonts w:hint="default" w:ascii="Times New Roman" w:hAnsi="Times New Roman" w:eastAsia="Times New Roman" w:cs="Times New Roman"/>
                <w:i/>
                <w:iCs/>
                <w:color w:val="auto"/>
                <w:spacing w:val="0"/>
                <w:position w:val="0"/>
                <w:sz w:val="21"/>
                <w:szCs w:val="21"/>
              </w:rPr>
              <w:t>S</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i/>
                <w:iCs/>
                <w:color w:val="auto"/>
                <w:spacing w:val="0"/>
                <w:position w:val="0"/>
                <w:sz w:val="21"/>
                <w:szCs w:val="21"/>
              </w:rPr>
              <w:t>N</w:t>
            </w:r>
            <w:r>
              <w:rPr>
                <w:rFonts w:hint="default" w:ascii="Times New Roman" w:hAnsi="Times New Roman" w:eastAsia="Times New Roman" w:cs="Times New Roman"/>
                <w:color w:val="auto"/>
                <w:spacing w:val="0"/>
                <w:position w:val="0"/>
                <w:sz w:val="21"/>
                <w:szCs w:val="21"/>
                <w:vertAlign w:val="subscript"/>
              </w:rPr>
              <w:t>2</w:t>
            </w:r>
            <w:r>
              <w:rPr>
                <w:rFonts w:hint="default" w:ascii="Times New Roman" w:hAnsi="Times New Roman" w:eastAsia="Times New Roman" w:cs="Times New Roman"/>
                <w:color w:val="auto"/>
                <w:spacing w:val="0"/>
                <w:w w:val="101"/>
                <w:position w:val="0"/>
                <w:sz w:val="21"/>
                <w:szCs w:val="21"/>
              </w:rPr>
              <w:t xml:space="preserve">  </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3</w:t>
            </w:r>
            <w:r>
              <w:rPr>
                <w:rFonts w:hint="default" w:ascii="Times New Roman" w:hAnsi="Times New Roman" w:eastAsia="Times New Roman" w:cs="Times New Roman"/>
                <w:i/>
                <w:iCs/>
                <w:color w:val="auto"/>
                <w:spacing w:val="0"/>
                <w:position w:val="0"/>
                <w:sz w:val="21"/>
                <w:szCs w:val="21"/>
              </w:rPr>
              <w:t>CO</w:t>
            </w:r>
            <w:r>
              <w:rPr>
                <w:rFonts w:hint="default" w:ascii="Times New Roman" w:hAnsi="Times New Roman" w:eastAsia="Times New Roman" w:cs="Times New Roman"/>
                <w:color w:val="auto"/>
                <w:spacing w:val="0"/>
                <w:position w:val="0"/>
                <w:sz w:val="21"/>
                <w:szCs w:val="21"/>
                <w:vertAlign w:val="subscript"/>
              </w:rPr>
              <w:t>2</w:t>
            </w:r>
            <w:r>
              <w:rPr>
                <w:rFonts w:hint="default" w:ascii="Times New Roman" w:hAnsi="Times New Roman" w:eastAsia="微软雅黑"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707</w:t>
            </w:r>
            <w:r>
              <w:rPr>
                <w:rFonts w:hint="default" w:ascii="Times New Roman" w:hAnsi="Times New Roman" w:eastAsia="Times New Roman" w:cs="Times New Roman"/>
                <w:i/>
                <w:iCs/>
                <w:color w:val="auto"/>
                <w:spacing w:val="0"/>
                <w:position w:val="0"/>
                <w:sz w:val="21"/>
                <w:szCs w:val="21"/>
              </w:rPr>
              <w:t>kJ</w:t>
            </w:r>
          </w:p>
        </w:tc>
      </w:tr>
      <w:tr w14:paraId="4D37B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370" w:type="pct"/>
            <w:vAlign w:val="center"/>
          </w:tcPr>
          <w:p w14:paraId="42C646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2"/>
                <w:sz w:val="21"/>
                <w:szCs w:val="21"/>
              </w:rPr>
              <w:t>6</w:t>
            </w:r>
          </w:p>
        </w:tc>
        <w:tc>
          <w:tcPr>
            <w:tcW w:w="371" w:type="pct"/>
            <w:vAlign w:val="center"/>
          </w:tcPr>
          <w:p w14:paraId="1F23177D">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5"/>
                <w:sz w:val="21"/>
                <w:szCs w:val="21"/>
              </w:rPr>
              <w:t>镁铝</w:t>
            </w:r>
            <w:r>
              <w:rPr>
                <w:color w:val="auto"/>
                <w:spacing w:val="1"/>
                <w:sz w:val="21"/>
                <w:szCs w:val="21"/>
              </w:rPr>
              <w:t>粉</w:t>
            </w:r>
          </w:p>
        </w:tc>
        <w:tc>
          <w:tcPr>
            <w:tcW w:w="4257" w:type="pct"/>
            <w:vAlign w:val="top"/>
          </w:tcPr>
          <w:p w14:paraId="02D8E5A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镁的熔点为</w:t>
            </w:r>
            <w:r>
              <w:rPr>
                <w:rFonts w:hint="default" w:ascii="Times New Roman" w:hAnsi="Times New Roman" w:eastAsia="Times New Roman" w:cs="Times New Roman"/>
                <w:color w:val="auto"/>
                <w:spacing w:val="0"/>
                <w:position w:val="0"/>
                <w:sz w:val="21"/>
                <w:szCs w:val="21"/>
              </w:rPr>
              <w:t>651</w:t>
            </w:r>
            <w:r>
              <w:rPr>
                <w:rFonts w:hint="default" w:ascii="Times New Roman" w:hAnsi="Times New Roman" w:cs="Times New Roman"/>
                <w:color w:val="auto"/>
                <w:spacing w:val="0"/>
                <w:position w:val="0"/>
                <w:sz w:val="21"/>
                <w:szCs w:val="21"/>
              </w:rPr>
              <w:t>℃,沸点为</w:t>
            </w:r>
            <w:r>
              <w:rPr>
                <w:rFonts w:hint="default" w:ascii="Times New Roman" w:hAnsi="Times New Roman" w:eastAsia="Times New Roman" w:cs="Times New Roman"/>
                <w:color w:val="auto"/>
                <w:spacing w:val="0"/>
                <w:position w:val="0"/>
                <w:sz w:val="21"/>
                <w:szCs w:val="21"/>
              </w:rPr>
              <w:t>1107</w:t>
            </w:r>
            <w:r>
              <w:rPr>
                <w:rFonts w:hint="default" w:ascii="Times New Roman" w:hAnsi="Times New Roman" w:cs="Times New Roman"/>
                <w:color w:val="auto"/>
                <w:spacing w:val="0"/>
                <w:position w:val="0"/>
                <w:sz w:val="21"/>
                <w:szCs w:val="21"/>
              </w:rPr>
              <w:t>℃。镁的蒸气压很高，</w:t>
            </w:r>
            <w:r>
              <w:rPr>
                <w:rFonts w:hint="default" w:ascii="Times New Roman" w:hAnsi="Times New Roman" w:eastAsia="Times New Roman" w:cs="Times New Roman"/>
                <w:color w:val="auto"/>
                <w:spacing w:val="0"/>
                <w:position w:val="0"/>
                <w:sz w:val="21"/>
                <w:szCs w:val="21"/>
              </w:rPr>
              <w:t>627</w:t>
            </w:r>
            <w:r>
              <w:rPr>
                <w:rFonts w:hint="default" w:ascii="Times New Roman" w:hAnsi="Times New Roman" w:cs="Times New Roman"/>
                <w:color w:val="auto"/>
                <w:spacing w:val="0"/>
                <w:position w:val="0"/>
                <w:sz w:val="21"/>
                <w:szCs w:val="21"/>
              </w:rPr>
              <w:t>℃时为</w:t>
            </w:r>
            <w:r>
              <w:rPr>
                <w:rFonts w:hint="default" w:ascii="Times New Roman" w:hAnsi="Times New Roman" w:eastAsia="Times New Roman" w:cs="Times New Roman"/>
                <w:color w:val="auto"/>
                <w:spacing w:val="0"/>
                <w:position w:val="0"/>
                <w:sz w:val="21"/>
                <w:szCs w:val="21"/>
              </w:rPr>
              <w:t>215215.95Pa</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727</w:t>
            </w:r>
            <w:r>
              <w:rPr>
                <w:rFonts w:hint="default" w:ascii="Times New Roman" w:hAnsi="Times New Roman" w:cs="Times New Roman"/>
                <w:color w:val="auto"/>
                <w:spacing w:val="0"/>
                <w:position w:val="0"/>
                <w:sz w:val="21"/>
                <w:szCs w:val="21"/>
              </w:rPr>
              <w:t>℃时为</w:t>
            </w:r>
            <w:r>
              <w:rPr>
                <w:rFonts w:hint="default" w:ascii="Times New Roman" w:hAnsi="Times New Roman" w:eastAsia="Times New Roman" w:cs="Times New Roman"/>
                <w:color w:val="auto"/>
                <w:spacing w:val="0"/>
                <w:position w:val="0"/>
                <w:sz w:val="21"/>
                <w:szCs w:val="21"/>
              </w:rPr>
              <w:t>1037.1Pa</w:t>
            </w:r>
            <w:r>
              <w:rPr>
                <w:rFonts w:hint="default" w:ascii="Times New Roman" w:hAnsi="Times New Roman" w:cs="Times New Roman"/>
                <w:color w:val="auto"/>
                <w:spacing w:val="0"/>
                <w:position w:val="0"/>
                <w:sz w:val="21"/>
                <w:szCs w:val="21"/>
              </w:rPr>
              <w:t>，因此镁铍极易挥发。镁原子最外层的两个电子很易失去，是很活泼的金属。常温下镁能与</w:t>
            </w:r>
            <w:r>
              <w:rPr>
                <w:rFonts w:hint="default" w:ascii="Times New Roman" w:hAnsi="Times New Roman" w:eastAsia="Times New Roman" w:cs="Times New Roman"/>
                <w:color w:val="auto"/>
                <w:spacing w:val="0"/>
                <w:position w:val="0"/>
                <w:sz w:val="21"/>
                <w:szCs w:val="21"/>
              </w:rPr>
              <w:t>F</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CL</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BR</w:t>
            </w:r>
            <w:r>
              <w:rPr>
                <w:rFonts w:hint="default" w:ascii="Times New Roman" w:hAnsi="Times New Roman" w:cs="Times New Roman"/>
                <w:color w:val="auto"/>
                <w:spacing w:val="0"/>
                <w:position w:val="0"/>
                <w:sz w:val="21"/>
                <w:szCs w:val="21"/>
              </w:rPr>
              <w:t>、</w:t>
            </w:r>
            <w:r>
              <w:rPr>
                <w:rFonts w:hint="default" w:ascii="Times New Roman" w:hAnsi="Times New Roman" w:eastAsia="Times New Roman" w:cs="Times New Roman"/>
                <w:color w:val="auto"/>
                <w:spacing w:val="0"/>
                <w:position w:val="0"/>
                <w:sz w:val="21"/>
                <w:szCs w:val="21"/>
              </w:rPr>
              <w:t>I</w:t>
            </w:r>
            <w:r>
              <w:rPr>
                <w:rFonts w:hint="default" w:ascii="Times New Roman" w:hAnsi="Times New Roman" w:cs="Times New Roman"/>
                <w:color w:val="auto"/>
                <w:spacing w:val="0"/>
                <w:position w:val="0"/>
                <w:sz w:val="21"/>
                <w:szCs w:val="21"/>
              </w:rPr>
              <w:t>等元素作用生成相应化合物。加热时镁能与硫、氮作用生成</w:t>
            </w:r>
            <w:r>
              <w:rPr>
                <w:rFonts w:hint="default" w:ascii="Times New Roman" w:hAnsi="Times New Roman" w:eastAsia="Times New Roman" w:cs="Times New Roman"/>
                <w:color w:val="auto"/>
                <w:spacing w:val="0"/>
                <w:position w:val="0"/>
                <w:sz w:val="21"/>
                <w:szCs w:val="21"/>
              </w:rPr>
              <w:t>MgS</w:t>
            </w:r>
            <w:r>
              <w:rPr>
                <w:rFonts w:hint="default" w:ascii="Times New Roman" w:hAnsi="Times New Roman" w:cs="Times New Roman"/>
                <w:color w:val="auto"/>
                <w:spacing w:val="0"/>
                <w:position w:val="0"/>
                <w:sz w:val="21"/>
                <w:szCs w:val="21"/>
              </w:rPr>
              <w:t>和</w:t>
            </w:r>
            <w:r>
              <w:rPr>
                <w:rFonts w:hint="default" w:ascii="Times New Roman" w:hAnsi="Times New Roman" w:eastAsia="Times New Roman" w:cs="Times New Roman"/>
                <w:color w:val="auto"/>
                <w:spacing w:val="0"/>
                <w:position w:val="0"/>
                <w:sz w:val="21"/>
                <w:szCs w:val="21"/>
              </w:rPr>
              <w:t>Mg</w:t>
            </w:r>
            <w:r>
              <w:rPr>
                <w:rFonts w:hint="default" w:ascii="Times New Roman" w:hAnsi="Times New Roman" w:eastAsia="Times New Roman" w:cs="Times New Roman"/>
                <w:color w:val="auto"/>
                <w:spacing w:val="0"/>
                <w:position w:val="0"/>
                <w:sz w:val="21"/>
                <w:szCs w:val="21"/>
                <w:vertAlign w:val="subscript"/>
              </w:rPr>
              <w:t>3</w:t>
            </w:r>
            <w:r>
              <w:rPr>
                <w:rFonts w:hint="default" w:ascii="Times New Roman" w:hAnsi="Times New Roman" w:eastAsia="Times New Roman" w:cs="Times New Roman"/>
                <w:color w:val="auto"/>
                <w:spacing w:val="0"/>
                <w:position w:val="0"/>
                <w:sz w:val="21"/>
                <w:szCs w:val="21"/>
              </w:rPr>
              <w:t>N</w:t>
            </w:r>
            <w:r>
              <w:rPr>
                <w:rFonts w:hint="default" w:ascii="Times New Roman" w:hAnsi="Times New Roman" w:eastAsia="Times New Roman" w:cs="Times New Roman"/>
                <w:color w:val="auto"/>
                <w:spacing w:val="0"/>
                <w:position w:val="0"/>
                <w:sz w:val="21"/>
                <w:szCs w:val="21"/>
                <w:vertAlign w:val="subscript"/>
              </w:rPr>
              <w:t>2</w:t>
            </w:r>
            <w:r>
              <w:rPr>
                <w:rFonts w:hint="default" w:ascii="Times New Roman" w:hAnsi="Times New Roman" w:cs="Times New Roman"/>
                <w:color w:val="auto"/>
                <w:spacing w:val="0"/>
                <w:position w:val="0"/>
                <w:sz w:val="21"/>
                <w:szCs w:val="21"/>
              </w:rPr>
              <w:t>。在空气中镁会慢慢氧化，失去银白光泽而变黑。若温度提高至</w:t>
            </w:r>
            <w:r>
              <w:rPr>
                <w:rFonts w:hint="default" w:ascii="Times New Roman" w:hAnsi="Times New Roman" w:eastAsia="Times New Roman" w:cs="Times New Roman"/>
                <w:color w:val="auto"/>
                <w:spacing w:val="0"/>
                <w:position w:val="0"/>
                <w:sz w:val="21"/>
                <w:szCs w:val="21"/>
              </w:rPr>
              <w:t>400</w:t>
            </w:r>
            <w:r>
              <w:rPr>
                <w:rFonts w:hint="default" w:ascii="Times New Roman" w:hAnsi="Times New Roman" w:cs="Times New Roman"/>
                <w:color w:val="auto"/>
                <w:spacing w:val="0"/>
                <w:position w:val="0"/>
                <w:sz w:val="21"/>
                <w:szCs w:val="21"/>
              </w:rPr>
              <w:t>℃以上，镁的氧化速度增快，超过</w:t>
            </w:r>
            <w:r>
              <w:rPr>
                <w:rFonts w:hint="default" w:ascii="Times New Roman" w:hAnsi="Times New Roman" w:eastAsia="Times New Roman" w:cs="Times New Roman"/>
                <w:color w:val="auto"/>
                <w:spacing w:val="0"/>
                <w:position w:val="0"/>
                <w:sz w:val="21"/>
                <w:szCs w:val="21"/>
              </w:rPr>
              <w:t>500</w:t>
            </w:r>
            <w:r>
              <w:rPr>
                <w:rFonts w:hint="default" w:ascii="Times New Roman" w:hAnsi="Times New Roman" w:cs="Times New Roman"/>
                <w:color w:val="auto"/>
                <w:spacing w:val="0"/>
                <w:position w:val="0"/>
                <w:sz w:val="21"/>
                <w:szCs w:val="21"/>
              </w:rPr>
              <w:t>℃以后氧化速度更快，会着火燃烧，此时会生成氧化镁和少量氮化镁。</w:t>
            </w:r>
          </w:p>
        </w:tc>
      </w:tr>
      <w:tr w14:paraId="50DD0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370" w:type="pct"/>
            <w:vAlign w:val="center"/>
          </w:tcPr>
          <w:p w14:paraId="5C3C4D8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7</w:t>
            </w:r>
          </w:p>
        </w:tc>
        <w:tc>
          <w:tcPr>
            <w:tcW w:w="371" w:type="pct"/>
            <w:vAlign w:val="center"/>
          </w:tcPr>
          <w:p w14:paraId="2A73CB02">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4"/>
                <w:sz w:val="21"/>
                <w:szCs w:val="21"/>
              </w:rPr>
              <w:t>木炭</w:t>
            </w:r>
          </w:p>
        </w:tc>
        <w:tc>
          <w:tcPr>
            <w:tcW w:w="4257" w:type="pct"/>
            <w:vAlign w:val="top"/>
          </w:tcPr>
          <w:p w14:paraId="37D35634">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木炭粉是用农作物秸秆、林业剩余物制成的炭粉，如今木炭粉在工业、农业、医药、家庭等多个领域均有应用</w:t>
            </w:r>
          </w:p>
        </w:tc>
      </w:tr>
      <w:tr w14:paraId="7397E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70" w:type="pct"/>
            <w:vAlign w:val="center"/>
          </w:tcPr>
          <w:p w14:paraId="36CF915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2"/>
                <w:sz w:val="21"/>
                <w:szCs w:val="21"/>
              </w:rPr>
              <w:t>8</w:t>
            </w:r>
          </w:p>
        </w:tc>
        <w:tc>
          <w:tcPr>
            <w:tcW w:w="371" w:type="pct"/>
            <w:vAlign w:val="center"/>
          </w:tcPr>
          <w:p w14:paraId="7BB106DA">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4"/>
                <w:sz w:val="21"/>
                <w:szCs w:val="21"/>
              </w:rPr>
              <w:t>碳酸</w:t>
            </w:r>
            <w:r>
              <w:rPr>
                <w:color w:val="auto"/>
                <w:spacing w:val="1"/>
                <w:sz w:val="21"/>
                <w:szCs w:val="21"/>
              </w:rPr>
              <w:t>锶</w:t>
            </w:r>
          </w:p>
        </w:tc>
        <w:tc>
          <w:tcPr>
            <w:tcW w:w="4257" w:type="pct"/>
            <w:vAlign w:val="top"/>
          </w:tcPr>
          <w:p w14:paraId="6304FE43">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碳酸锶是一种无机化合物，化学式为</w:t>
            </w:r>
            <w:r>
              <w:rPr>
                <w:rFonts w:hint="default" w:ascii="Times New Roman" w:hAnsi="Times New Roman" w:eastAsia="Times New Roman" w:cs="Times New Roman"/>
                <w:color w:val="auto"/>
                <w:spacing w:val="0"/>
                <w:position w:val="0"/>
                <w:sz w:val="21"/>
                <w:szCs w:val="21"/>
              </w:rPr>
              <w:t>SrCO</w:t>
            </w:r>
            <w:r>
              <w:rPr>
                <w:rFonts w:hint="default" w:ascii="Times New Roman" w:hAnsi="Times New Roman" w:eastAsia="Times New Roman" w:cs="Times New Roman"/>
                <w:color w:val="auto"/>
                <w:spacing w:val="0"/>
                <w:position w:val="0"/>
                <w:sz w:val="21"/>
                <w:szCs w:val="21"/>
                <w:vertAlign w:val="subscript"/>
              </w:rPr>
              <w:t>3</w:t>
            </w:r>
            <w:r>
              <w:rPr>
                <w:rFonts w:hint="default" w:ascii="Times New Roman" w:hAnsi="Times New Roman" w:cs="Times New Roman"/>
                <w:color w:val="auto"/>
                <w:spacing w:val="0"/>
                <w:position w:val="0"/>
                <w:sz w:val="21"/>
                <w:szCs w:val="21"/>
              </w:rPr>
              <w:t>，白色粉末或颗粒、无臭无味。主要用于玻壳玻璃，磁性材料，金属冶炼，锶盐制备，电子元件，焰火。</w:t>
            </w:r>
          </w:p>
        </w:tc>
      </w:tr>
      <w:tr w14:paraId="12BAE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370" w:type="pct"/>
            <w:vAlign w:val="center"/>
          </w:tcPr>
          <w:p w14:paraId="77CEE03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2"/>
                <w:sz w:val="21"/>
                <w:szCs w:val="21"/>
              </w:rPr>
              <w:t>9</w:t>
            </w:r>
          </w:p>
        </w:tc>
        <w:tc>
          <w:tcPr>
            <w:tcW w:w="371" w:type="pct"/>
            <w:vAlign w:val="center"/>
          </w:tcPr>
          <w:p w14:paraId="00C26BD5">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3"/>
                <w:sz w:val="21"/>
                <w:szCs w:val="21"/>
              </w:rPr>
              <w:t>硝酸</w:t>
            </w:r>
            <w:r>
              <w:rPr>
                <w:color w:val="auto"/>
                <w:spacing w:val="1"/>
                <w:sz w:val="21"/>
                <w:szCs w:val="21"/>
              </w:rPr>
              <w:t>钡</w:t>
            </w:r>
          </w:p>
        </w:tc>
        <w:tc>
          <w:tcPr>
            <w:tcW w:w="4257" w:type="pct"/>
            <w:vAlign w:val="top"/>
          </w:tcPr>
          <w:p w14:paraId="65F2FFB0">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color w:val="auto"/>
                <w:spacing w:val="0"/>
                <w:position w:val="0"/>
                <w:sz w:val="21"/>
                <w:szCs w:val="21"/>
              </w:rPr>
            </w:pPr>
            <w:r>
              <w:rPr>
                <w:rFonts w:hint="default" w:ascii="Times New Roman" w:hAnsi="Times New Roman" w:cs="Times New Roman"/>
                <w:color w:val="auto"/>
                <w:spacing w:val="0"/>
                <w:position w:val="0"/>
                <w:sz w:val="21"/>
                <w:szCs w:val="21"/>
              </w:rPr>
              <w:t>硝酸钡是一种无机物，化学式</w:t>
            </w:r>
            <w:r>
              <w:rPr>
                <w:rFonts w:hint="default" w:ascii="Times New Roman" w:hAnsi="Times New Roman" w:eastAsia="Times New Roman" w:cs="Times New Roman"/>
                <w:color w:val="auto"/>
                <w:spacing w:val="0"/>
                <w:position w:val="0"/>
                <w:sz w:val="21"/>
                <w:szCs w:val="21"/>
              </w:rPr>
              <w:t>Ba(NO</w:t>
            </w:r>
            <w:r>
              <w:rPr>
                <w:rFonts w:hint="default" w:ascii="Times New Roman" w:hAnsi="Times New Roman" w:eastAsia="Arial" w:cs="Times New Roman"/>
                <w:color w:val="auto"/>
                <w:spacing w:val="0"/>
                <w:position w:val="0"/>
                <w:sz w:val="21"/>
                <w:szCs w:val="21"/>
                <w:vertAlign w:val="subscript"/>
              </w:rPr>
              <w:t>3</w:t>
            </w:r>
            <w:r>
              <w:rPr>
                <w:rFonts w:hint="default" w:ascii="Times New Roman" w:hAnsi="Times New Roman" w:eastAsia="Times New Roman" w:cs="Times New Roman"/>
                <w:color w:val="auto"/>
                <w:spacing w:val="0"/>
                <w:position w:val="0"/>
                <w:sz w:val="21"/>
                <w:szCs w:val="21"/>
              </w:rPr>
              <w:t>)</w:t>
            </w:r>
            <w:r>
              <w:rPr>
                <w:rFonts w:hint="default" w:ascii="Times New Roman" w:hAnsi="Times New Roman" w:eastAsia="Arial" w:cs="Times New Roman"/>
                <w:color w:val="auto"/>
                <w:spacing w:val="0"/>
                <w:position w:val="0"/>
                <w:sz w:val="21"/>
                <w:szCs w:val="21"/>
                <w:vertAlign w:val="subscript"/>
              </w:rPr>
              <w:t>2</w:t>
            </w:r>
            <w:r>
              <w:rPr>
                <w:rFonts w:hint="default" w:ascii="Times New Roman" w:hAnsi="Times New Roman" w:cs="Times New Roman"/>
                <w:color w:val="auto"/>
                <w:spacing w:val="0"/>
                <w:position w:val="0"/>
                <w:sz w:val="21"/>
                <w:szCs w:val="21"/>
              </w:rPr>
              <w:t>，分子量</w:t>
            </w:r>
            <w:r>
              <w:rPr>
                <w:rFonts w:hint="default" w:ascii="Times New Roman" w:hAnsi="Times New Roman" w:eastAsia="Times New Roman" w:cs="Times New Roman"/>
                <w:color w:val="auto"/>
                <w:spacing w:val="0"/>
                <w:position w:val="0"/>
                <w:sz w:val="21"/>
                <w:szCs w:val="21"/>
              </w:rPr>
              <w:t>261.35</w:t>
            </w:r>
            <w:r>
              <w:rPr>
                <w:rFonts w:hint="default" w:ascii="Times New Roman" w:hAnsi="Times New Roman" w:cs="Times New Roman"/>
                <w:color w:val="auto"/>
                <w:spacing w:val="0"/>
                <w:position w:val="0"/>
                <w:sz w:val="21"/>
                <w:szCs w:val="21"/>
              </w:rPr>
              <w:t>。密度</w:t>
            </w:r>
            <w:r>
              <w:rPr>
                <w:rFonts w:hint="default" w:ascii="Times New Roman" w:hAnsi="Times New Roman" w:eastAsia="Times New Roman" w:cs="Times New Roman"/>
                <w:color w:val="auto"/>
                <w:spacing w:val="0"/>
                <w:position w:val="0"/>
                <w:sz w:val="21"/>
                <w:szCs w:val="21"/>
              </w:rPr>
              <w:t>3.24g/cm</w:t>
            </w:r>
            <w:r>
              <w:rPr>
                <w:rFonts w:hint="default" w:ascii="Times New Roman" w:hAnsi="Times New Roman" w:eastAsia="宋体" w:cs="Times New Roman"/>
                <w:color w:val="auto"/>
                <w:spacing w:val="0"/>
                <w:position w:val="0"/>
                <w:sz w:val="21"/>
                <w:szCs w:val="21"/>
                <w:vertAlign w:val="superscript"/>
                <w:lang w:val="en-US" w:eastAsia="zh-CN"/>
              </w:rPr>
              <w:t>3</w:t>
            </w:r>
            <w:r>
              <w:rPr>
                <w:rFonts w:hint="default" w:ascii="Times New Roman" w:hAnsi="Times New Roman" w:cs="Times New Roman"/>
                <w:color w:val="auto"/>
                <w:spacing w:val="0"/>
                <w:position w:val="0"/>
                <w:sz w:val="21"/>
                <w:szCs w:val="21"/>
              </w:rPr>
              <w:t xml:space="preserve">，溶于水，不溶于乙醇。硝酸钡为无色或白色有光泽的立方晶体，微具吸湿性，有强氧化性，助燃，有毒。加热时分解放出氧气，有强氧化性，跟硫、磷、有机物接触、摩擦或撞击能引起燃烧或爆炸。熔点 </w:t>
            </w:r>
            <w:r>
              <w:rPr>
                <w:rFonts w:hint="default" w:ascii="Times New Roman" w:hAnsi="Times New Roman" w:eastAsia="Times New Roman" w:cs="Times New Roman"/>
                <w:color w:val="auto"/>
                <w:spacing w:val="0"/>
                <w:position w:val="0"/>
                <w:sz w:val="21"/>
                <w:szCs w:val="21"/>
              </w:rPr>
              <w:t>592</w:t>
            </w:r>
            <w:r>
              <w:rPr>
                <w:rFonts w:hint="default" w:ascii="Times New Roman" w:hAnsi="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lang w:eastAsia="zh-CN"/>
              </w:rPr>
              <w:t>，</w:t>
            </w:r>
            <w:r>
              <w:rPr>
                <w:rFonts w:hint="default" w:ascii="Times New Roman" w:hAnsi="Times New Roman" w:cs="Times New Roman"/>
                <w:color w:val="auto"/>
                <w:spacing w:val="0"/>
                <w:position w:val="0"/>
                <w:sz w:val="21"/>
                <w:szCs w:val="21"/>
              </w:rPr>
              <w:t>温度再高即分解。燃烧时呈现绿色火焰。用作氧化剂、分析试剂。用于制钡盐、信号弹及烟花，还用于制陶瓷等。</w:t>
            </w:r>
          </w:p>
        </w:tc>
      </w:tr>
      <w:tr w14:paraId="36596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370" w:type="pct"/>
            <w:vAlign w:val="center"/>
          </w:tcPr>
          <w:p w14:paraId="7881C1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8"/>
                <w:position w:val="2"/>
                <w:sz w:val="21"/>
                <w:szCs w:val="21"/>
              </w:rPr>
              <w:t>10</w:t>
            </w:r>
          </w:p>
        </w:tc>
        <w:tc>
          <w:tcPr>
            <w:tcW w:w="371" w:type="pct"/>
            <w:vAlign w:val="center"/>
          </w:tcPr>
          <w:p w14:paraId="4556FF1E">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color w:val="auto"/>
                <w:sz w:val="21"/>
                <w:szCs w:val="21"/>
              </w:rPr>
            </w:pPr>
            <w:r>
              <w:rPr>
                <w:color w:val="auto"/>
                <w:spacing w:val="4"/>
                <w:sz w:val="21"/>
                <w:szCs w:val="21"/>
              </w:rPr>
              <w:t>钛粉</w:t>
            </w:r>
          </w:p>
        </w:tc>
        <w:tc>
          <w:tcPr>
            <w:tcW w:w="4257" w:type="pct"/>
            <w:vAlign w:val="top"/>
          </w:tcPr>
          <w:p w14:paraId="3552E82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cs="Times New Roman"/>
                <w:color w:val="auto"/>
                <w:spacing w:val="0"/>
                <w:position w:val="0"/>
                <w:sz w:val="21"/>
                <w:szCs w:val="21"/>
              </w:rPr>
              <w:t>钛粉的熔点为</w:t>
            </w:r>
            <w:r>
              <w:rPr>
                <w:rFonts w:hint="default" w:ascii="Times New Roman" w:hAnsi="Times New Roman" w:eastAsia="Times New Roman" w:cs="Times New Roman"/>
                <w:color w:val="auto"/>
                <w:spacing w:val="0"/>
                <w:position w:val="0"/>
                <w:sz w:val="21"/>
                <w:szCs w:val="21"/>
              </w:rPr>
              <w:t>1720</w:t>
            </w:r>
            <w:r>
              <w:rPr>
                <w:rFonts w:hint="default" w:ascii="Times New Roman" w:hAnsi="Times New Roman" w:cs="Times New Roman"/>
                <w:color w:val="auto"/>
                <w:spacing w:val="0"/>
                <w:position w:val="0"/>
                <w:sz w:val="21"/>
                <w:szCs w:val="21"/>
              </w:rPr>
              <w:t>℃</w:t>
            </w:r>
            <w:r>
              <w:rPr>
                <w:rFonts w:hint="default" w:ascii="Times New Roman" w:hAnsi="Times New Roman" w:cs="Times New Roman"/>
                <w:color w:val="auto"/>
                <w:spacing w:val="0"/>
                <w:position w:val="0"/>
                <w:sz w:val="21"/>
                <w:szCs w:val="21"/>
                <w:lang w:eastAsia="zh-CN"/>
              </w:rPr>
              <w:t>，</w:t>
            </w:r>
            <w:r>
              <w:rPr>
                <w:rFonts w:hint="default" w:ascii="Times New Roman" w:hAnsi="Times New Roman" w:cs="Times New Roman"/>
                <w:color w:val="auto"/>
                <w:spacing w:val="0"/>
                <w:position w:val="0"/>
                <w:sz w:val="21"/>
                <w:szCs w:val="21"/>
              </w:rPr>
              <w:t>沸点为</w:t>
            </w:r>
            <w:r>
              <w:rPr>
                <w:rFonts w:hint="default" w:ascii="Times New Roman" w:hAnsi="Times New Roman" w:eastAsia="Times New Roman" w:cs="Times New Roman"/>
                <w:color w:val="auto"/>
                <w:spacing w:val="0"/>
                <w:position w:val="0"/>
                <w:sz w:val="21"/>
                <w:szCs w:val="21"/>
              </w:rPr>
              <w:t>3530</w:t>
            </w:r>
            <w:r>
              <w:rPr>
                <w:rFonts w:hint="default" w:ascii="Times New Roman" w:hAnsi="Times New Roman" w:cs="Times New Roman"/>
                <w:color w:val="auto"/>
                <w:spacing w:val="0"/>
                <w:position w:val="0"/>
                <w:sz w:val="21"/>
                <w:szCs w:val="21"/>
              </w:rPr>
              <w:t>℃。相对密度</w:t>
            </w:r>
            <w:r>
              <w:rPr>
                <w:rFonts w:hint="default" w:ascii="Times New Roman" w:hAnsi="Times New Roman" w:eastAsia="Times New Roman" w:cs="Times New Roman"/>
                <w:color w:val="auto"/>
                <w:spacing w:val="0"/>
                <w:position w:val="0"/>
                <w:sz w:val="21"/>
                <w:szCs w:val="21"/>
              </w:rPr>
              <w:t>4.5</w:t>
            </w:r>
            <w:r>
              <w:rPr>
                <w:rFonts w:hint="default" w:ascii="Times New Roman" w:hAnsi="Times New Roman" w:cs="Times New Roman"/>
                <w:color w:val="auto"/>
                <w:spacing w:val="0"/>
                <w:position w:val="0"/>
                <w:sz w:val="21"/>
                <w:szCs w:val="21"/>
              </w:rPr>
              <w:t>，深灰色或黑色发亮无定形粉末；易燃，具有爆炸性，遇热、明火、发生化学反应后会发生燃烧爆炸，吸入后对上呼吸道有刺激性</w:t>
            </w:r>
            <w:r>
              <w:rPr>
                <w:rFonts w:hint="default" w:ascii="Times New Roman" w:hAnsi="Times New Roman" w:cs="Times New Roman"/>
                <w:color w:val="auto"/>
                <w:spacing w:val="0"/>
                <w:position w:val="0"/>
                <w:sz w:val="21"/>
                <w:szCs w:val="21"/>
                <w:lang w:eastAsia="zh-CN"/>
              </w:rPr>
              <w:t>。</w:t>
            </w:r>
          </w:p>
        </w:tc>
      </w:tr>
    </w:tbl>
    <w:p w14:paraId="3BF8ACBF">
      <w:pPr>
        <w:pStyle w:val="31"/>
        <w:spacing w:line="360" w:lineRule="auto"/>
        <w:ind w:left="420" w:leftChars="200" w:firstLine="0" w:firstLineChars="0"/>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2.成品危险有害因素辨识</w:t>
      </w:r>
    </w:p>
    <w:p w14:paraId="1240EC5E">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（1）烟花爆竹成品属于易燃易爆危险物品，其危害特性为：</w:t>
      </w:r>
    </w:p>
    <w:p w14:paraId="1DEC2987">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① 敏感易爆性。通常能引起爆炸品爆炸的起爆能越小，则敏感度超高，其危险性也就越大。如含有高氯酸盐的烟火药就比含硝酸盐的烟火药更危险。</w:t>
      </w:r>
    </w:p>
    <w:p w14:paraId="576199C2">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② 遇热危险性。烟火药遇热达到一定的温度即自行着火爆炸。一般爆炸品的起爆温度较低，如含氯酸钾的烟火药剂就低于200℃。</w:t>
      </w:r>
    </w:p>
    <w:p w14:paraId="4B46F877">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③ 机械作用危险性。烟火药受到撞击、震动、摩擦等机械作用时就会爆炸着火。</w:t>
      </w:r>
    </w:p>
    <w:p w14:paraId="79A511AA">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④ 静电火花危险。烟火药是电的不良导体。在包装、运输过程中容易产生静电，一旦发生静电放电就会引起爆炸。</w:t>
      </w:r>
    </w:p>
    <w:p w14:paraId="5923A370">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⑤ 火灾危险。绝大多数爆炸都伴有燃烧。爆炸时可形成数千度的高温，会造成重大火灾。</w:t>
      </w:r>
    </w:p>
    <w:p w14:paraId="3A1C51BC">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⑥ 毒害性。烟火药爆炸时会产生CO、SO</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、CO</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、NO、NO</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、KCI、HCN、N</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等有害或窒息性气体，从而引起人体中毒、窒息。</w:t>
      </w:r>
    </w:p>
    <w:p w14:paraId="38D3B5AC">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（2）烟花爆竹成品经过包装及装箱后，药物直接外界接触机会减少，相对半成品的危险性降低。但成品在以下条件下均有发生火灾、爆炸的危险：</w:t>
      </w:r>
    </w:p>
    <w:p w14:paraId="7C0607E5">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① 产品配方不合理，产品质量存在缺陷，容易引起意外伤害事故；</w:t>
      </w:r>
    </w:p>
    <w:p w14:paraId="13064D6A">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② 有火源的情况下，可能引起烟花爆竹燃烧而爆炸；</w:t>
      </w:r>
    </w:p>
    <w:p w14:paraId="323F4A48">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③ 搬运、运输过程中，由于用力过猛、颠簸、相互之间的撞击与摩擦，可能引起燃烧与爆炸；</w:t>
      </w:r>
    </w:p>
    <w:p w14:paraId="69AF1959">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④ 环境影响也是造成火灾爆炸的危险、有害因素。环境对成品造成的主要危险、有害因素有：春季潮湿（多雨季节）气候、天气突然反常、刮大风、下暴雨时易使成品吸潮，发生化学反应，放出热量有引起燃烧爆炸危险，雷电易引燃成品的危险，高温环境、潮湿环境，可能导致烟花爆竹的燃烧与爆竹。</w:t>
      </w:r>
    </w:p>
    <w:p w14:paraId="77221AF8">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3.仓储场所危险有害因素辨识</w:t>
      </w:r>
    </w:p>
    <w:p w14:paraId="4D8D687E">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烟花爆竹成品仓库，发生的危险首先是燃烧，燃烧一定时间后，产生高温，可能形成爆燃、爆炸。成品仓储场所存药量较大，危险性较大，储存的物品都是已有氧化剂、可燃物质等组成，对机械能、热能及其它能量引燃引爆值要求降低，遇火源、高温、磨擦、撞击、电火花等，即会发生燃烧甚至爆炸。</w:t>
      </w:r>
    </w:p>
    <w:p w14:paraId="1FA88ED8">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储存过程危险性辨识统计见表</w:t>
      </w:r>
      <w:r>
        <w:rPr>
          <w:rFonts w:hint="eastAsia" w:ascii="Times New Roman" w:hAnsi="Times New Roman" w:eastAsia="宋体" w:cs="Times New Roman"/>
          <w:color w:val="auto"/>
          <w:sz w:val="24"/>
          <w:szCs w:val="24"/>
          <w:lang w:val="en-US" w:eastAsia="zh-CN"/>
        </w:rPr>
        <w:t>18</w:t>
      </w:r>
      <w:r>
        <w:rPr>
          <w:rFonts w:hint="eastAsia" w:ascii="Times New Roman" w:hAnsi="Times New Roman" w:eastAsia="宋体" w:cs="Times New Roman"/>
          <w:color w:val="auto"/>
          <w:sz w:val="24"/>
          <w:szCs w:val="24"/>
        </w:rPr>
        <w:t>。</w:t>
      </w:r>
    </w:p>
    <w:p w14:paraId="4A83E75A">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表</w:t>
      </w:r>
      <w:r>
        <w:rPr>
          <w:rFonts w:hint="eastAsia" w:ascii="Times New Roman" w:hAnsi="Times New Roman" w:eastAsia="宋体" w:cs="Times New Roman"/>
          <w:b/>
          <w:bCs/>
          <w:color w:val="auto"/>
          <w:sz w:val="21"/>
          <w:szCs w:val="21"/>
          <w:lang w:val="en-US" w:eastAsia="zh-CN"/>
        </w:rPr>
        <w:t xml:space="preserve">18 </w:t>
      </w:r>
      <w:r>
        <w:rPr>
          <w:rFonts w:hint="eastAsia" w:ascii="Times New Roman" w:hAnsi="Times New Roman" w:eastAsia="宋体" w:cs="Times New Roman"/>
          <w:b/>
          <w:bCs/>
          <w:color w:val="auto"/>
          <w:sz w:val="21"/>
          <w:szCs w:val="21"/>
        </w:rPr>
        <w:t xml:space="preserve"> 储存过程的危险性辨识表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620"/>
        <w:gridCol w:w="2955"/>
        <w:gridCol w:w="3757"/>
      </w:tblGrid>
      <w:tr w14:paraId="1796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34A934C2">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序号</w:t>
            </w:r>
          </w:p>
        </w:tc>
        <w:tc>
          <w:tcPr>
            <w:tcW w:w="1620" w:type="dxa"/>
            <w:vAlign w:val="center"/>
          </w:tcPr>
          <w:p w14:paraId="1D03D787">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名称</w:t>
            </w:r>
          </w:p>
        </w:tc>
        <w:tc>
          <w:tcPr>
            <w:tcW w:w="2955" w:type="dxa"/>
            <w:vAlign w:val="center"/>
          </w:tcPr>
          <w:p w14:paraId="4E3BB61B">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可能发生的危险</w:t>
            </w:r>
          </w:p>
        </w:tc>
        <w:tc>
          <w:tcPr>
            <w:tcW w:w="3757" w:type="dxa"/>
            <w:vAlign w:val="center"/>
          </w:tcPr>
          <w:p w14:paraId="0FF93FF4">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注意事项</w:t>
            </w:r>
          </w:p>
        </w:tc>
      </w:tr>
      <w:tr w14:paraId="425C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451AB51A">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620" w:type="dxa"/>
            <w:vAlign w:val="center"/>
          </w:tcPr>
          <w:p w14:paraId="70A17A4E">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仓库温、湿度大</w:t>
            </w:r>
          </w:p>
        </w:tc>
        <w:tc>
          <w:tcPr>
            <w:tcW w:w="2955" w:type="dxa"/>
            <w:vAlign w:val="center"/>
          </w:tcPr>
          <w:p w14:paraId="0AA3B3E4">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火灾、爆炸</w:t>
            </w:r>
          </w:p>
        </w:tc>
        <w:tc>
          <w:tcPr>
            <w:tcW w:w="3757" w:type="dxa"/>
            <w:vAlign w:val="center"/>
          </w:tcPr>
          <w:p w14:paraId="5BA1A612">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应控制好仓库的温、湿度，避免烟花爆竹产品吸潮，当热量得不到散发时易发生燃烧而引起爆炸</w:t>
            </w:r>
          </w:p>
        </w:tc>
      </w:tr>
      <w:tr w14:paraId="196F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3AD28C67">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1620" w:type="dxa"/>
            <w:vAlign w:val="center"/>
          </w:tcPr>
          <w:p w14:paraId="08C2A2B3">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仓库通风、降温不好</w:t>
            </w:r>
          </w:p>
        </w:tc>
        <w:tc>
          <w:tcPr>
            <w:tcW w:w="2955" w:type="dxa"/>
            <w:vAlign w:val="center"/>
          </w:tcPr>
          <w:p w14:paraId="20B755C8">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 xml:space="preserve">发生自燃、自爆 </w:t>
            </w:r>
          </w:p>
        </w:tc>
        <w:tc>
          <w:tcPr>
            <w:tcW w:w="3757" w:type="dxa"/>
            <w:vAlign w:val="center"/>
          </w:tcPr>
          <w:p w14:paraId="41AD84B8">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保持仓库通风良好</w:t>
            </w:r>
          </w:p>
        </w:tc>
      </w:tr>
      <w:tr w14:paraId="63D6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28" w:type="dxa"/>
            <w:vAlign w:val="center"/>
          </w:tcPr>
          <w:p w14:paraId="1E1A8B7D">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p>
        </w:tc>
        <w:tc>
          <w:tcPr>
            <w:tcW w:w="1620" w:type="dxa"/>
            <w:vAlign w:val="center"/>
          </w:tcPr>
          <w:p w14:paraId="5C81A3BC">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仓库内堆码超高</w:t>
            </w:r>
          </w:p>
        </w:tc>
        <w:tc>
          <w:tcPr>
            <w:tcW w:w="2955" w:type="dxa"/>
            <w:vAlign w:val="center"/>
          </w:tcPr>
          <w:p w14:paraId="66F4C196">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摩擦撞击，出现火花导致火灾、爆炸</w:t>
            </w:r>
          </w:p>
        </w:tc>
        <w:tc>
          <w:tcPr>
            <w:tcW w:w="3757" w:type="dxa"/>
            <w:vAlign w:val="center"/>
          </w:tcPr>
          <w:p w14:paraId="491E8737">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产品堆垛高度不要超过规定的高度，避免倒塌引起撞击产生火花出现事故</w:t>
            </w:r>
          </w:p>
        </w:tc>
      </w:tr>
      <w:tr w14:paraId="560F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28" w:type="dxa"/>
            <w:vAlign w:val="center"/>
          </w:tcPr>
          <w:p w14:paraId="241B2CD5">
            <w:pPr>
              <w:pStyle w:val="31"/>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1620" w:type="dxa"/>
            <w:shd w:val="clear" w:color="auto" w:fill="auto"/>
            <w:vAlign w:val="top"/>
          </w:tcPr>
          <w:p w14:paraId="4B8B3A15">
            <w:pPr>
              <w:pStyle w:val="31"/>
              <w:spacing w:line="240" w:lineRule="auto"/>
              <w:ind w:firstLine="0" w:firstLineChars="0"/>
              <w:jc w:val="center"/>
              <w:rPr>
                <w:rFonts w:hint="eastAsia" w:ascii="宋体" w:hAnsi="宋体" w:eastAsia="宋体" w:cs="宋体"/>
                <w:color w:val="auto"/>
                <w:kern w:val="2"/>
                <w:sz w:val="20"/>
                <w:szCs w:val="20"/>
                <w:lang w:val="en-US" w:eastAsia="en-US" w:bidi="ar-SA"/>
              </w:rPr>
            </w:pPr>
            <w:r>
              <w:rPr>
                <w:rFonts w:hint="eastAsia" w:ascii="Times New Roman" w:hAnsi="Times New Roman" w:eastAsia="宋体" w:cs="Times New Roman"/>
                <w:color w:val="auto"/>
                <w:sz w:val="21"/>
                <w:szCs w:val="21"/>
              </w:rPr>
              <w:t>禁忌物同库储存</w:t>
            </w:r>
          </w:p>
        </w:tc>
        <w:tc>
          <w:tcPr>
            <w:tcW w:w="2955" w:type="dxa"/>
            <w:shd w:val="clear" w:color="auto" w:fill="auto"/>
            <w:vAlign w:val="top"/>
          </w:tcPr>
          <w:p w14:paraId="10495BF1">
            <w:pPr>
              <w:pStyle w:val="31"/>
              <w:spacing w:line="240" w:lineRule="auto"/>
              <w:ind w:firstLine="0" w:firstLineChars="0"/>
              <w:jc w:val="center"/>
              <w:rPr>
                <w:rFonts w:hint="eastAsia" w:ascii="宋体" w:hAnsi="宋体" w:eastAsia="宋体" w:cs="宋体"/>
                <w:color w:val="auto"/>
                <w:kern w:val="2"/>
                <w:sz w:val="20"/>
                <w:szCs w:val="20"/>
                <w:lang w:val="en-US" w:eastAsia="en-US" w:bidi="ar-SA"/>
              </w:rPr>
            </w:pPr>
            <w:r>
              <w:rPr>
                <w:rFonts w:hint="eastAsia" w:ascii="Times New Roman" w:hAnsi="Times New Roman" w:eastAsia="宋体" w:cs="Times New Roman"/>
                <w:color w:val="auto"/>
                <w:sz w:val="21"/>
                <w:szCs w:val="21"/>
              </w:rPr>
              <w:t>火灾、爆炸</w:t>
            </w:r>
          </w:p>
        </w:tc>
        <w:tc>
          <w:tcPr>
            <w:tcW w:w="3757" w:type="dxa"/>
            <w:shd w:val="clear" w:color="auto" w:fill="auto"/>
            <w:vAlign w:val="top"/>
          </w:tcPr>
          <w:p w14:paraId="23462574">
            <w:pPr>
              <w:pStyle w:val="31"/>
              <w:spacing w:line="240" w:lineRule="auto"/>
              <w:ind w:firstLine="0" w:firstLineChars="0"/>
              <w:jc w:val="center"/>
              <w:rPr>
                <w:rFonts w:hint="eastAsia" w:ascii="宋体" w:hAnsi="宋体" w:eastAsia="宋体" w:cs="宋体"/>
                <w:color w:val="auto"/>
                <w:kern w:val="2"/>
                <w:sz w:val="20"/>
                <w:szCs w:val="20"/>
                <w:lang w:val="en-US" w:eastAsia="en-US" w:bidi="ar-SA"/>
              </w:rPr>
            </w:pPr>
            <w:r>
              <w:rPr>
                <w:rFonts w:hint="eastAsia" w:ascii="Times New Roman" w:hAnsi="Times New Roman" w:eastAsia="宋体" w:cs="Times New Roman"/>
                <w:color w:val="auto"/>
                <w:sz w:val="21"/>
                <w:szCs w:val="21"/>
              </w:rPr>
              <w:t>按危险化学品的规定进行分类储存。</w:t>
            </w:r>
          </w:p>
        </w:tc>
      </w:tr>
    </w:tbl>
    <w:p w14:paraId="50F34A71">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highlight w:val="none"/>
        </w:rPr>
        <w:t>根据《烟花爆竹工程设计安全规范》（GB50161-20</w:t>
      </w:r>
      <w:r>
        <w:rPr>
          <w:rFonts w:hint="eastAsia" w:ascii="Times New Roman" w:hAnsi="Times New Roman" w:eastAsia="宋体" w:cs="Times New Roman"/>
          <w:color w:val="auto"/>
          <w:sz w:val="24"/>
          <w:szCs w:val="24"/>
          <w:highlight w:val="none"/>
          <w:lang w:val="en-US" w:eastAsia="zh-CN"/>
        </w:rPr>
        <w:t>22</w:t>
      </w:r>
      <w:r>
        <w:rPr>
          <w:rFonts w:hint="eastAsia" w:ascii="Times New Roman" w:hAnsi="Times New Roman" w:eastAsia="宋体" w:cs="Times New Roman"/>
          <w:color w:val="auto"/>
          <w:sz w:val="24"/>
          <w:szCs w:val="24"/>
          <w:highlight w:val="none"/>
        </w:rPr>
        <w:t>）的规定，</w:t>
      </w:r>
      <w:r>
        <w:rPr>
          <w:rFonts w:hint="eastAsia" w:ascii="Times New Roman" w:hAnsi="Times New Roman" w:eastAsia="宋体" w:cs="Times New Roman"/>
          <w:color w:val="auto"/>
          <w:sz w:val="24"/>
          <w:szCs w:val="24"/>
          <w:highlight w:val="none"/>
          <w:lang w:val="en-US" w:eastAsia="zh-CN"/>
        </w:rPr>
        <w:t>地块一</w:t>
      </w:r>
      <w:r>
        <w:rPr>
          <w:rFonts w:hint="eastAsia" w:ascii="Times New Roman" w:hAnsi="Times New Roman" w:eastAsia="宋体" w:cs="Times New Roman"/>
          <w:color w:val="auto"/>
          <w:sz w:val="24"/>
          <w:szCs w:val="24"/>
          <w:highlight w:val="none"/>
        </w:rPr>
        <w:t>项目烟花爆竹仓库的危险等级为1.3级，</w:t>
      </w:r>
      <w:r>
        <w:rPr>
          <w:rFonts w:hint="eastAsia" w:ascii="Times New Roman" w:hAnsi="Times New Roman" w:eastAsia="宋体" w:cs="Times New Roman"/>
          <w:color w:val="auto"/>
          <w:sz w:val="24"/>
          <w:szCs w:val="24"/>
          <w:highlight w:val="none"/>
          <w:lang w:val="en-US" w:eastAsia="zh-CN"/>
        </w:rPr>
        <w:t>地块二</w:t>
      </w:r>
      <w:r>
        <w:rPr>
          <w:rFonts w:hint="eastAsia" w:ascii="Times New Roman" w:hAnsi="Times New Roman" w:eastAsia="宋体" w:cs="Times New Roman"/>
          <w:color w:val="auto"/>
          <w:sz w:val="24"/>
          <w:szCs w:val="24"/>
          <w:highlight w:val="none"/>
        </w:rPr>
        <w:t>项目烟花爆竹仓库的危险等级为1.</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rPr>
        <w:t>级，</w:t>
      </w:r>
      <w:r>
        <w:rPr>
          <w:rFonts w:hint="eastAsia" w:ascii="Times New Roman" w:hAnsi="Times New Roman" w:eastAsia="宋体" w:cs="Times New Roman"/>
          <w:color w:val="auto"/>
          <w:sz w:val="24"/>
          <w:szCs w:val="24"/>
        </w:rPr>
        <w:t>具有爆炸危险性。项目可能发生的风险事故主要是烟花爆竹仓库用电设备运行管理不当，绝缘破损而漏电，线路过载或建筑物遭雷电击中而引起烟花爆竹的燃烧和爆炸，这些事故可能导致火灾、爆炸事故，从而引起环境污染。</w:t>
      </w:r>
    </w:p>
    <w:p w14:paraId="677EE444">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因此，项目存储设施主要风险目标为烟花爆竹仓库。</w:t>
      </w:r>
    </w:p>
    <w:p w14:paraId="62BFB041">
      <w:pPr>
        <w:pStyle w:val="31"/>
        <w:ind w:firstLine="422"/>
        <w:rPr>
          <w:rFonts w:hint="eastAsia"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4.运输过程危险有害因素辨识</w:t>
      </w:r>
    </w:p>
    <w:p w14:paraId="711A54C3">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公司</w:t>
      </w:r>
      <w:r>
        <w:rPr>
          <w:rFonts w:hint="eastAsia" w:ascii="Times New Roman" w:hAnsi="Times New Roman" w:eastAsia="宋体" w:cs="Times New Roman"/>
          <w:color w:val="auto"/>
          <w:sz w:val="24"/>
          <w:szCs w:val="24"/>
          <w:lang w:val="en-US" w:eastAsia="zh-CN"/>
        </w:rPr>
        <w:t>购买烟花爆竹时由</w:t>
      </w:r>
      <w:r>
        <w:rPr>
          <w:rFonts w:hint="eastAsia" w:ascii="Times New Roman" w:hAnsi="Times New Roman" w:eastAsia="宋体" w:cs="Times New Roman"/>
          <w:color w:val="auto"/>
          <w:sz w:val="24"/>
          <w:szCs w:val="24"/>
        </w:rPr>
        <w:t>浏阳市东风烟花制造厂配置专用防爆箱式货车进行烟花爆竹成品的运输入库</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此运输过程产生的突发事件均由</w:t>
      </w:r>
      <w:r>
        <w:rPr>
          <w:rFonts w:hint="eastAsia" w:ascii="Times New Roman" w:hAnsi="Times New Roman" w:eastAsia="宋体" w:cs="Times New Roman"/>
          <w:color w:val="auto"/>
          <w:sz w:val="24"/>
          <w:szCs w:val="24"/>
        </w:rPr>
        <w:t>浏阳市东风烟花制造厂</w:t>
      </w:r>
      <w:r>
        <w:rPr>
          <w:rFonts w:hint="eastAsia" w:ascii="Times New Roman" w:hAnsi="Times New Roman" w:eastAsia="宋体" w:cs="Times New Roman"/>
          <w:color w:val="auto"/>
          <w:sz w:val="24"/>
          <w:szCs w:val="24"/>
          <w:lang w:val="en-US" w:eastAsia="zh-CN"/>
        </w:rPr>
        <w:t>承担</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，再由</w:t>
      </w:r>
      <w:r>
        <w:rPr>
          <w:rFonts w:hint="eastAsia" w:ascii="Times New Roman" w:hAnsi="Times New Roman" w:eastAsia="宋体" w:cs="Times New Roman"/>
          <w:color w:val="auto"/>
          <w:sz w:val="24"/>
          <w:szCs w:val="24"/>
          <w:lang w:val="en-US" w:eastAsia="zh-CN"/>
        </w:rPr>
        <w:t>本公司的烟花爆竹专用车</w:t>
      </w:r>
      <w:r>
        <w:rPr>
          <w:rFonts w:hint="eastAsia" w:ascii="Times New Roman" w:hAnsi="Times New Roman" w:eastAsia="宋体" w:cs="Times New Roman"/>
          <w:color w:val="auto"/>
          <w:sz w:val="24"/>
          <w:szCs w:val="24"/>
        </w:rPr>
        <w:t>运输发放给零散经营部</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此运输过程产生的突发事件均由建设单位承担</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在运输危险品过程中可能出现的危险见下表</w:t>
      </w:r>
      <w:r>
        <w:rPr>
          <w:rFonts w:hint="eastAsia" w:ascii="Times New Roman" w:hAnsi="Times New Roman" w:eastAsia="宋体" w:cs="Times New Roman"/>
          <w:color w:val="auto"/>
          <w:sz w:val="24"/>
          <w:szCs w:val="24"/>
          <w:lang w:val="en-US" w:eastAsia="zh-CN"/>
        </w:rPr>
        <w:t>19</w:t>
      </w:r>
      <w:r>
        <w:rPr>
          <w:rFonts w:hint="eastAsia" w:ascii="Times New Roman" w:hAnsi="Times New Roman" w:eastAsia="宋体" w:cs="Times New Roman"/>
          <w:color w:val="auto"/>
          <w:sz w:val="24"/>
          <w:szCs w:val="24"/>
        </w:rPr>
        <w:t>。</w:t>
      </w:r>
    </w:p>
    <w:p w14:paraId="195FE2CF">
      <w:pPr>
        <w:pStyle w:val="31"/>
        <w:spacing w:line="240" w:lineRule="auto"/>
        <w:ind w:firstLine="422"/>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9</w:t>
      </w:r>
      <w:r>
        <w:rPr>
          <w:rFonts w:hint="eastAsia" w:ascii="Times New Roman" w:hAnsi="Times New Roman" w:eastAsia="宋体" w:cs="Times New Roman"/>
          <w:b/>
          <w:bCs/>
          <w:color w:val="auto"/>
          <w:sz w:val="21"/>
          <w:szCs w:val="21"/>
        </w:rPr>
        <w:t xml:space="preserve">  运输过程中的危险性辨识表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2100"/>
        <w:gridCol w:w="2280"/>
        <w:gridCol w:w="3952"/>
      </w:tblGrid>
      <w:tr w14:paraId="1E9E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653454E">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序号</w:t>
            </w:r>
          </w:p>
        </w:tc>
        <w:tc>
          <w:tcPr>
            <w:tcW w:w="2100" w:type="dxa"/>
            <w:vAlign w:val="center"/>
          </w:tcPr>
          <w:p w14:paraId="01941948">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名称</w:t>
            </w:r>
          </w:p>
        </w:tc>
        <w:tc>
          <w:tcPr>
            <w:tcW w:w="2280" w:type="dxa"/>
            <w:vAlign w:val="center"/>
          </w:tcPr>
          <w:p w14:paraId="17D2BF4C">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可能发生的危险</w:t>
            </w:r>
          </w:p>
        </w:tc>
        <w:tc>
          <w:tcPr>
            <w:tcW w:w="3952" w:type="dxa"/>
            <w:vAlign w:val="center"/>
          </w:tcPr>
          <w:p w14:paraId="272C2A57">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注意事项</w:t>
            </w:r>
          </w:p>
        </w:tc>
      </w:tr>
      <w:tr w14:paraId="484A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28B1823">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2100" w:type="dxa"/>
            <w:vAlign w:val="center"/>
          </w:tcPr>
          <w:p w14:paraId="682BFA4A">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运输车辆不合格，进入仓库区的机动车没有防火花装置</w:t>
            </w:r>
          </w:p>
        </w:tc>
        <w:tc>
          <w:tcPr>
            <w:tcW w:w="2280" w:type="dxa"/>
            <w:vAlign w:val="center"/>
          </w:tcPr>
          <w:p w14:paraId="090CC60B">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火灾、爆炸，车辆伤害</w:t>
            </w:r>
          </w:p>
        </w:tc>
        <w:tc>
          <w:tcPr>
            <w:tcW w:w="3952" w:type="dxa"/>
            <w:vAlign w:val="center"/>
          </w:tcPr>
          <w:p w14:paraId="3C8A153E">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按我国对爆炸品运输专用车辆的要求进行核准</w:t>
            </w:r>
          </w:p>
        </w:tc>
      </w:tr>
      <w:tr w14:paraId="5F33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7DCE11F2">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2100" w:type="dxa"/>
            <w:vAlign w:val="center"/>
          </w:tcPr>
          <w:p w14:paraId="5D179886">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运输人员操作不规范</w:t>
            </w:r>
          </w:p>
        </w:tc>
        <w:tc>
          <w:tcPr>
            <w:tcW w:w="2280" w:type="dxa"/>
            <w:vAlign w:val="center"/>
          </w:tcPr>
          <w:p w14:paraId="42783BB1">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人员伤害</w:t>
            </w:r>
          </w:p>
        </w:tc>
        <w:tc>
          <w:tcPr>
            <w:tcW w:w="3952" w:type="dxa"/>
            <w:vAlign w:val="center"/>
          </w:tcPr>
          <w:p w14:paraId="7FBCA2E6">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经过培训，按操作规程操作</w:t>
            </w:r>
          </w:p>
        </w:tc>
      </w:tr>
      <w:tr w14:paraId="2F16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0E4FDECF">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p>
        </w:tc>
        <w:tc>
          <w:tcPr>
            <w:tcW w:w="2100" w:type="dxa"/>
            <w:vAlign w:val="center"/>
          </w:tcPr>
          <w:p w14:paraId="4CD1F92B">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搬运所经路面</w:t>
            </w:r>
          </w:p>
        </w:tc>
        <w:tc>
          <w:tcPr>
            <w:tcW w:w="2280" w:type="dxa"/>
            <w:vAlign w:val="center"/>
          </w:tcPr>
          <w:p w14:paraId="32EA0A6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火灾、爆炸，车辆伤害</w:t>
            </w:r>
          </w:p>
        </w:tc>
        <w:tc>
          <w:tcPr>
            <w:tcW w:w="3952" w:type="dxa"/>
            <w:vAlign w:val="center"/>
          </w:tcPr>
          <w:p w14:paraId="6CA001F3">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按我国对爆炸品运输专用车辆的要求进行核准</w:t>
            </w:r>
          </w:p>
        </w:tc>
      </w:tr>
      <w:tr w14:paraId="1165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57759CA">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p>
        </w:tc>
        <w:tc>
          <w:tcPr>
            <w:tcW w:w="2100" w:type="dxa"/>
            <w:vAlign w:val="center"/>
          </w:tcPr>
          <w:p w14:paraId="2C470BCF">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运输过程违规，危险品运输时可能发生的翻车、撞车、坠落、碰撞及摩擦等险情</w:t>
            </w:r>
          </w:p>
        </w:tc>
        <w:tc>
          <w:tcPr>
            <w:tcW w:w="2280" w:type="dxa"/>
            <w:vAlign w:val="center"/>
          </w:tcPr>
          <w:p w14:paraId="7B2E9A5C">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火灾、爆炸，遗失</w:t>
            </w:r>
          </w:p>
        </w:tc>
        <w:tc>
          <w:tcPr>
            <w:tcW w:w="3952" w:type="dxa"/>
            <w:vAlign w:val="center"/>
          </w:tcPr>
          <w:p w14:paraId="71F33B2C">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严格按配送制度进行运输，司机和押运员应切实对所运输的危险品进行检查，避免遗失和火灾爆炸事故的发生</w:t>
            </w:r>
          </w:p>
        </w:tc>
      </w:tr>
    </w:tbl>
    <w:p w14:paraId="48869F85">
      <w:pPr>
        <w:pStyle w:val="31"/>
        <w:spacing w:line="360" w:lineRule="auto"/>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5.</w:t>
      </w:r>
      <w:r>
        <w:rPr>
          <w:rFonts w:ascii="Times New Roman" w:hAnsi="Times New Roman" w:eastAsia="宋体" w:cs="Times New Roman"/>
          <w:b/>
          <w:bCs/>
          <w:color w:val="auto"/>
          <w:sz w:val="24"/>
          <w:szCs w:val="24"/>
        </w:rPr>
        <w:t>装卸过程的危险有害因素辨识</w:t>
      </w:r>
    </w:p>
    <w:p w14:paraId="2301E8AF">
      <w:pPr>
        <w:pStyle w:val="31"/>
        <w:spacing w:line="360" w:lineRule="auto"/>
        <w:ind w:firstLine="42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在烟花爆竹装卸过程中，因野蛮装卸货体力不济而造成烟花爆竹翻滚、拖拉、踩踏、坠落、撞击，有引燃引爆烟花爆竹的危险。装卸作业主要体现在库区内危险品的搬运（入库和出库），其主要危险性见下表</w:t>
      </w:r>
      <w:r>
        <w:rPr>
          <w:rFonts w:hint="eastAsia" w:ascii="Times New Roman" w:hAnsi="Times New Roman" w:eastAsia="宋体" w:cs="Times New Roman"/>
          <w:color w:val="auto"/>
          <w:sz w:val="24"/>
          <w:szCs w:val="24"/>
          <w:lang w:val="en-US" w:eastAsia="zh-CN"/>
        </w:rPr>
        <w:t>20</w:t>
      </w:r>
      <w:r>
        <w:rPr>
          <w:rFonts w:ascii="Times New Roman" w:hAnsi="Times New Roman" w:eastAsia="宋体" w:cs="Times New Roman"/>
          <w:color w:val="auto"/>
          <w:sz w:val="24"/>
          <w:szCs w:val="24"/>
        </w:rPr>
        <w:t>。</w:t>
      </w:r>
    </w:p>
    <w:p w14:paraId="7D5A10A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 xml:space="preserve">20 </w:t>
      </w:r>
      <w:r>
        <w:rPr>
          <w:rFonts w:hint="eastAsia" w:ascii="Times New Roman" w:hAnsi="Times New Roman" w:eastAsia="宋体" w:cs="Times New Roman"/>
          <w:b/>
          <w:color w:val="auto"/>
          <w:sz w:val="21"/>
          <w:szCs w:val="21"/>
        </w:rPr>
        <w:t xml:space="preserve"> 装卸过程中的危险性辨识表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620"/>
        <w:gridCol w:w="2955"/>
        <w:gridCol w:w="3757"/>
      </w:tblGrid>
      <w:tr w14:paraId="0BF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CAC4DE4">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序号</w:t>
            </w:r>
          </w:p>
        </w:tc>
        <w:tc>
          <w:tcPr>
            <w:tcW w:w="1620" w:type="dxa"/>
            <w:vAlign w:val="center"/>
          </w:tcPr>
          <w:p w14:paraId="665DA71B">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名称</w:t>
            </w:r>
          </w:p>
        </w:tc>
        <w:tc>
          <w:tcPr>
            <w:tcW w:w="2955" w:type="dxa"/>
            <w:vAlign w:val="center"/>
          </w:tcPr>
          <w:p w14:paraId="7CAD8242">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可能发生的危险</w:t>
            </w:r>
          </w:p>
        </w:tc>
        <w:tc>
          <w:tcPr>
            <w:tcW w:w="3757" w:type="dxa"/>
            <w:vAlign w:val="center"/>
          </w:tcPr>
          <w:p w14:paraId="351D8C8D">
            <w:pPr>
              <w:pStyle w:val="31"/>
              <w:spacing w:line="240" w:lineRule="auto"/>
              <w:ind w:firstLine="0" w:firstLineChars="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注意事项</w:t>
            </w:r>
          </w:p>
        </w:tc>
      </w:tr>
      <w:tr w14:paraId="51F4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4FA0CC4C">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620" w:type="dxa"/>
            <w:vAlign w:val="center"/>
          </w:tcPr>
          <w:p w14:paraId="6D40AFF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搬运工具</w:t>
            </w:r>
          </w:p>
        </w:tc>
        <w:tc>
          <w:tcPr>
            <w:tcW w:w="2955" w:type="dxa"/>
            <w:vAlign w:val="center"/>
          </w:tcPr>
          <w:p w14:paraId="3DE26B13">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摩擦出现火花导致火灾、爆炸</w:t>
            </w:r>
          </w:p>
        </w:tc>
        <w:tc>
          <w:tcPr>
            <w:tcW w:w="3757" w:type="dxa"/>
            <w:vAlign w:val="center"/>
          </w:tcPr>
          <w:p w14:paraId="6470F07C">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避免使用发火材料制造的搬运工具，在可能出现撞击的部位加设防撞措施。</w:t>
            </w:r>
          </w:p>
        </w:tc>
      </w:tr>
      <w:tr w14:paraId="4364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7D9B73F">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1620" w:type="dxa"/>
            <w:vAlign w:val="center"/>
          </w:tcPr>
          <w:p w14:paraId="64E9BDB9">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搬运操作是否正规</w:t>
            </w:r>
          </w:p>
        </w:tc>
        <w:tc>
          <w:tcPr>
            <w:tcW w:w="2955" w:type="dxa"/>
            <w:vAlign w:val="center"/>
          </w:tcPr>
          <w:p w14:paraId="155047D4">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火灾、爆炸</w:t>
            </w:r>
          </w:p>
        </w:tc>
        <w:tc>
          <w:tcPr>
            <w:tcW w:w="3757" w:type="dxa"/>
            <w:vAlign w:val="center"/>
          </w:tcPr>
          <w:p w14:paraId="085D6D96">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严格按操作规程进行操作，轻拿轻放。</w:t>
            </w:r>
          </w:p>
        </w:tc>
      </w:tr>
      <w:tr w14:paraId="4251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dxa"/>
            <w:vAlign w:val="center"/>
          </w:tcPr>
          <w:p w14:paraId="525A6D15">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p>
        </w:tc>
        <w:tc>
          <w:tcPr>
            <w:tcW w:w="1620" w:type="dxa"/>
            <w:vAlign w:val="center"/>
          </w:tcPr>
          <w:p w14:paraId="6D87C235">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搬运所经路面</w:t>
            </w:r>
          </w:p>
        </w:tc>
        <w:tc>
          <w:tcPr>
            <w:tcW w:w="2955" w:type="dxa"/>
            <w:vAlign w:val="center"/>
          </w:tcPr>
          <w:p w14:paraId="14830CE6">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出现颠簸，使被搬运物品发生撞击，可能导致火灾、爆炸</w:t>
            </w:r>
          </w:p>
        </w:tc>
        <w:tc>
          <w:tcPr>
            <w:tcW w:w="3757" w:type="dxa"/>
            <w:vAlign w:val="center"/>
          </w:tcPr>
          <w:p w14:paraId="16571242">
            <w:pPr>
              <w:pStyle w:val="31"/>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搬运路面应严格参阅国家相应标准设置，如坡度，路面粗糙度等应符合标准和规范要求。</w:t>
            </w:r>
          </w:p>
        </w:tc>
      </w:tr>
    </w:tbl>
    <w:p w14:paraId="76507807">
      <w:pPr>
        <w:pStyle w:val="31"/>
        <w:spacing w:line="360" w:lineRule="auto"/>
        <w:ind w:firstLine="0" w:firstLineChars="0"/>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综上可知，本项目建设和投入使用后存在的主要危险、有害因素是火灾、爆炸。</w:t>
      </w:r>
    </w:p>
    <w:p w14:paraId="11C37277">
      <w:pPr>
        <w:pStyle w:val="31"/>
        <w:spacing w:line="360" w:lineRule="auto"/>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四、风险类型</w:t>
      </w:r>
    </w:p>
    <w:p w14:paraId="40ED80F0">
      <w:pPr>
        <w:pStyle w:val="31"/>
        <w:spacing w:line="360" w:lineRule="auto"/>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1.风险事故情形分析</w:t>
      </w:r>
    </w:p>
    <w:p w14:paraId="1C14C68D">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根据《建设项目环境风险评价技术导则》（HJ 169-2018），结合项目环境风险识别结果，项目的环境风险类型主要为</w:t>
      </w:r>
      <w:r>
        <w:rPr>
          <w:rFonts w:hint="eastAsia" w:ascii="Times New Roman" w:hAnsi="Times New Roman" w:eastAsia="宋体" w:cs="Times New Roman"/>
          <w:color w:val="auto"/>
          <w:sz w:val="24"/>
          <w:szCs w:val="24"/>
          <w:lang w:val="en-US" w:eastAsia="zh-CN"/>
        </w:rPr>
        <w:t>烟花爆竹发生</w:t>
      </w:r>
      <w:r>
        <w:rPr>
          <w:rFonts w:hint="eastAsia" w:ascii="Times New Roman" w:hAnsi="Times New Roman" w:eastAsia="宋体" w:cs="Times New Roman"/>
          <w:color w:val="auto"/>
          <w:sz w:val="24"/>
          <w:szCs w:val="24"/>
        </w:rPr>
        <w:t>火灾、爆炸，火灾爆炸后会产生CO、SO</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、NO</w:t>
      </w:r>
      <w:r>
        <w:rPr>
          <w:rFonts w:hint="eastAsia" w:ascii="Times New Roman" w:hAnsi="Times New Roman" w:eastAsia="宋体" w:cs="Times New Roman"/>
          <w:color w:val="auto"/>
          <w:sz w:val="24"/>
          <w:szCs w:val="24"/>
          <w:vertAlign w:val="subscript"/>
        </w:rPr>
        <w:t>X</w:t>
      </w:r>
      <w:r>
        <w:rPr>
          <w:rFonts w:hint="eastAsia" w:ascii="Times New Roman" w:hAnsi="Times New Roman" w:eastAsia="宋体" w:cs="Times New Roman"/>
          <w:color w:val="auto"/>
          <w:sz w:val="24"/>
          <w:szCs w:val="24"/>
        </w:rPr>
        <w:t>等有毒有害气体</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会产生消防废水</w:t>
      </w:r>
      <w:r>
        <w:rPr>
          <w:rFonts w:hint="eastAsia" w:ascii="Times New Roman" w:hAnsi="Times New Roman" w:eastAsia="宋体" w:cs="Times New Roman"/>
          <w:color w:val="auto"/>
          <w:sz w:val="24"/>
          <w:szCs w:val="24"/>
        </w:rPr>
        <w:t>对环境造成污染。</w:t>
      </w:r>
    </w:p>
    <w:p w14:paraId="3D47686C">
      <w:pPr>
        <w:pStyle w:val="31"/>
        <w:spacing w:line="360" w:lineRule="auto"/>
        <w:ind w:firstLine="422"/>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五、源项分析</w:t>
      </w:r>
    </w:p>
    <w:p w14:paraId="162ABB3A">
      <w:pPr>
        <w:pStyle w:val="31"/>
        <w:spacing w:line="360" w:lineRule="auto"/>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1.事故资料统计</w:t>
      </w:r>
    </w:p>
    <w:p w14:paraId="31F15513">
      <w:pPr>
        <w:pStyle w:val="31"/>
        <w:spacing w:line="360" w:lineRule="auto"/>
        <w:ind w:firstLine="422"/>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案例1：</w:t>
      </w:r>
      <w:r>
        <w:rPr>
          <w:rFonts w:hint="eastAsia" w:ascii="Times New Roman" w:hAnsi="Times New Roman" w:eastAsia="宋体" w:cs="Times New Roman"/>
          <w:color w:val="auto"/>
          <w:sz w:val="24"/>
          <w:szCs w:val="24"/>
        </w:rPr>
        <w:t>2012年10月17日16时15分左右，位于河北省张家口市怀安县第六屯乡郭家窑村的一存放烟花爆竹的仓库发生爆炸，当晚19时左右，明火得到扑灭。事故共造成2人死亡，直接经济损失22万元。事故原因是怀安县瑞祥烟花爆竹有限公司租用部队闲置营房私自仓储烟花爆竹所致。</w:t>
      </w:r>
    </w:p>
    <w:p w14:paraId="2EE033C6">
      <w:pPr>
        <w:pStyle w:val="31"/>
        <w:spacing w:line="360" w:lineRule="auto"/>
        <w:ind w:firstLine="422"/>
        <w:rPr>
          <w:rFonts w:hint="eastAsia"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案例2：</w:t>
      </w:r>
      <w:r>
        <w:rPr>
          <w:rFonts w:hint="eastAsia" w:ascii="Times New Roman" w:hAnsi="Times New Roman" w:eastAsia="宋体" w:cs="Times New Roman"/>
          <w:color w:val="auto"/>
          <w:sz w:val="24"/>
          <w:szCs w:val="24"/>
        </w:rPr>
        <w:t>2008年2月14日凌晨3时32分，位于广东省佛山市三水区西南街道金本彭坑村的佛山市三水粤通仓储运输有限公司（以下称“粤通公司”）烟花仓库（以下称“粤通仓库”）发生爆炸事故，造成直接经济损失929万元。事故未造成人员伤亡。事故直接原因为粤通仓库A-2仓库内储存的烟花爆竹火药受潮，产生大量的热量并聚集引起殉爆（装药的爆炸能引起与其相距一定距离的被惰性介质隔离的装药的爆炸，这一现象叫做殉爆），而临近的C-4、C-9以及其他仓库内的产品受到A-2仓库爆炸影响而爆炸燃烧。事故同时也反映出企业安全生产主体责任不落实等间接原因。</w:t>
      </w:r>
    </w:p>
    <w:p w14:paraId="4DC9CA1C">
      <w:pPr>
        <w:pStyle w:val="31"/>
        <w:spacing w:line="360" w:lineRule="auto"/>
        <w:ind w:firstLine="422"/>
        <w:rPr>
          <w:rFonts w:hint="eastAsia" w:ascii="Times New Roman" w:hAnsi="Times New Roman" w:eastAsia="宋体" w:cs="Times New Roman"/>
          <w:b w:val="0"/>
          <w:bCs w:val="0"/>
          <w:color w:val="auto"/>
          <w:sz w:val="24"/>
          <w:szCs w:val="24"/>
        </w:rPr>
      </w:pPr>
      <w:r>
        <w:rPr>
          <w:rFonts w:hint="eastAsia" w:ascii="Times New Roman" w:hAnsi="Times New Roman" w:eastAsia="宋体" w:cs="Times New Roman"/>
          <w:b/>
          <w:bCs/>
          <w:color w:val="auto"/>
          <w:sz w:val="24"/>
          <w:szCs w:val="24"/>
          <w:lang w:val="en-US" w:eastAsia="zh-CN"/>
        </w:rPr>
        <w:t>案例3：</w:t>
      </w:r>
      <w:r>
        <w:rPr>
          <w:rFonts w:hint="eastAsia" w:ascii="Times New Roman" w:hAnsi="Times New Roman" w:eastAsia="宋体" w:cs="Times New Roman"/>
          <w:b w:val="0"/>
          <w:bCs w:val="0"/>
          <w:color w:val="auto"/>
          <w:sz w:val="24"/>
          <w:szCs w:val="24"/>
          <w:lang w:val="en-US" w:eastAsia="zh-CN"/>
        </w:rPr>
        <w:t>2019年3月19日10时05分，四川省仪陇县鑫和引线有限公司发生燃烧爆炸事故，造成4人死亡，直接经济损失510余万元。发生原因是，搬运工李某驾驶电瓶车违规进入正在进行包装作业的34号工房门口，在倒车过程中因操作不当，致使电瓶车尾部下方的牙包（后轮驱动电机和减速机机械部位）与位于34号工房外的引线产品发生摩擦，导致引线发生燃爆。34号工房区域爆炸后，爆炸波通过34号工房与33号工房之间的通道走廊（违规放置有引线），导致位于33号工房的引火线发生殉爆，形成第二次燃爆。主要教训：四川省仪陇县鑫和引线有限公司未落实安全生产责任制、安全生产规章制度和操作规程，现场安全管理混乱，违规超员超量组织生产，危险工序作业使用无特种作业操作资质人员作业，未按照规定对从业人员进行安全教育培训。</w:t>
      </w:r>
    </w:p>
    <w:p w14:paraId="2FF1419B">
      <w:pPr>
        <w:pStyle w:val="31"/>
        <w:spacing w:line="360" w:lineRule="auto"/>
        <w:ind w:firstLine="422"/>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lang w:val="en-US" w:eastAsia="zh-CN"/>
        </w:rPr>
        <w:t>案例4：</w:t>
      </w:r>
      <w:r>
        <w:rPr>
          <w:rFonts w:hint="eastAsia" w:ascii="Times New Roman" w:hAnsi="Times New Roman" w:eastAsia="宋体" w:cs="Times New Roman"/>
          <w:b w:val="0"/>
          <w:bCs w:val="0"/>
          <w:color w:val="auto"/>
          <w:sz w:val="24"/>
          <w:szCs w:val="24"/>
          <w:lang w:val="en-US" w:eastAsia="zh-CN"/>
        </w:rPr>
        <w:t>2019年5月23日16时10分左右，江西宏利化工科技有限公司发生一起燃爆事故，造成3人死亡，直接经济损失469.4万元。发生原因是，事发当时地表温度高，收取的单基火药粉处于干燥状态，而干燥的单基火药粉敏感度高，作业人员甘某在收取单基火药粉时，违规作业，致使单基火药粉与地面摩擦、撞击引发燃爆，导致事故发生。主要教训：江西宏利化工科技有限公司主要负责人未参与企业实际管理，未履行安全管理职责，实际负责人在未取得安全管理资格时，无证上岗，违反停产指令，擅自组织生产；违规改变生产工艺，擅自增设单基火药粉的晾晒工序，并在成品库区围墙外私自违规增建阳光棚，用于单基火药粉的晾晒作业。</w:t>
      </w:r>
    </w:p>
    <w:p w14:paraId="3039EC51">
      <w:pPr>
        <w:pStyle w:val="31"/>
        <w:spacing w:line="360" w:lineRule="auto"/>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综上所述，发生事故的主要原因是违规经营、管理不善，职工素质较低、违规操作安全意识淡漠以及设备陈旧等问题，事故后果是造成人员伤亡与财产损失。</w:t>
      </w:r>
    </w:p>
    <w:p w14:paraId="41993EC4">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2.项目事故危险因素分析</w:t>
      </w:r>
    </w:p>
    <w:p w14:paraId="1EDAE14A">
      <w:pPr>
        <w:pStyle w:val="31"/>
        <w:ind w:firstLine="42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由于项目储存物品为烟花爆竹，均属易爆物，因此在运输、储存、装卸过程中存在爆炸、火灾等事故风险</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但在</w:t>
      </w:r>
      <w:r>
        <w:rPr>
          <w:rFonts w:hint="eastAsia" w:ascii="Times New Roman" w:hAnsi="Times New Roman" w:eastAsia="宋体" w:cs="Times New Roman"/>
          <w:color w:val="auto"/>
          <w:sz w:val="24"/>
          <w:szCs w:val="24"/>
        </w:rPr>
        <w:t>运输</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装卸时，也会因车辆违规操作</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装卸操作不规范</w:t>
      </w:r>
      <w:r>
        <w:rPr>
          <w:rFonts w:hint="eastAsia" w:ascii="Times New Roman" w:hAnsi="Times New Roman" w:eastAsia="宋体" w:cs="Times New Roman"/>
          <w:color w:val="auto"/>
          <w:sz w:val="24"/>
          <w:szCs w:val="24"/>
        </w:rPr>
        <w:t>而引起爆炸。</w:t>
      </w:r>
    </w:p>
    <w:p w14:paraId="1278C7E0">
      <w:pPr>
        <w:pStyle w:val="31"/>
        <w:ind w:firstLine="422"/>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3.</w:t>
      </w:r>
      <w:r>
        <w:rPr>
          <w:rFonts w:ascii="Times New Roman" w:hAnsi="Times New Roman" w:eastAsia="宋体" w:cs="Times New Roman"/>
          <w:b/>
          <w:bCs/>
          <w:color w:val="auto"/>
          <w:sz w:val="24"/>
          <w:szCs w:val="24"/>
        </w:rPr>
        <w:t>最大可信度</w:t>
      </w:r>
    </w:p>
    <w:p w14:paraId="4DDE65EA">
      <w:pPr>
        <w:pStyle w:val="31"/>
        <w:ind w:firstLine="42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w:t>
      </w:r>
      <w:r>
        <w:rPr>
          <w:rFonts w:ascii="Times New Roman" w:hAnsi="Times New Roman" w:eastAsia="宋体" w:cs="Times New Roman"/>
          <w:color w:val="auto"/>
          <w:sz w:val="24"/>
          <w:szCs w:val="24"/>
        </w:rPr>
        <w:t>事故危险因素分析</w:t>
      </w:r>
    </w:p>
    <w:p w14:paraId="5272A18E">
      <w:pPr>
        <w:pStyle w:val="31"/>
        <w:ind w:firstLine="42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由于该项目储存物品均为烟花爆竹成品，属易爆物，因此在运输、储存</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装卸</w:t>
      </w:r>
      <w:r>
        <w:rPr>
          <w:rFonts w:ascii="Times New Roman" w:hAnsi="Times New Roman" w:eastAsia="宋体" w:cs="Times New Roman"/>
          <w:color w:val="auto"/>
          <w:sz w:val="24"/>
          <w:szCs w:val="24"/>
        </w:rPr>
        <w:t>中存在爆炸和火灾等事故风险。该事故源如下：</w:t>
      </w:r>
    </w:p>
    <w:p w14:paraId="6128DCB6">
      <w:pPr>
        <w:pStyle w:val="31"/>
        <w:ind w:firstLine="42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库房</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库区内存放烟花爆竹成品，一旦碰到明火、震动、雷击等作用时发生爆炸，从而可能引起整个库房内烟花爆竹的连锁爆炸，引起燃烧放出大量烟雾。</w:t>
      </w:r>
    </w:p>
    <w:p w14:paraId="43B60E58">
      <w:pPr>
        <w:pStyle w:val="31"/>
        <w:ind w:firstLine="42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运输</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运输事故的主要原因是车辆违规操作引起爆炸。</w:t>
      </w:r>
    </w:p>
    <w:p w14:paraId="5DA33433">
      <w:pPr>
        <w:pStyle w:val="31"/>
        <w:ind w:firstLine="42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装卸：主要是人为装卸过程中由于操作不规范</w:t>
      </w:r>
      <w:r>
        <w:rPr>
          <w:rFonts w:ascii="Times New Roman" w:hAnsi="Times New Roman" w:eastAsia="宋体" w:cs="Times New Roman"/>
          <w:color w:val="auto"/>
          <w:sz w:val="24"/>
          <w:szCs w:val="24"/>
        </w:rPr>
        <w:t>造成烟花爆竹翻滚、拖拉、踩踏、坠落、撞击，有引燃引爆烟花爆竹的危险</w:t>
      </w:r>
      <w:r>
        <w:rPr>
          <w:rFonts w:hint="eastAsia" w:ascii="Times New Roman" w:hAnsi="Times New Roman" w:eastAsia="宋体" w:cs="Times New Roman"/>
          <w:color w:val="auto"/>
          <w:sz w:val="24"/>
          <w:szCs w:val="24"/>
          <w:lang w:eastAsia="zh-CN"/>
        </w:rPr>
        <w:t>。</w:t>
      </w:r>
    </w:p>
    <w:p w14:paraId="7002C707">
      <w:pPr>
        <w:pStyle w:val="31"/>
        <w:ind w:firstLine="42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根据国内同类情况的调查，只要运输车量在运输中符合运输规范</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装卸严格按操作规程进行操作避免撞击等</w:t>
      </w:r>
      <w:r>
        <w:rPr>
          <w:rFonts w:hint="eastAsia" w:ascii="Times New Roman" w:hAnsi="Times New Roman" w:eastAsia="宋体" w:cs="Times New Roman"/>
          <w:color w:val="auto"/>
          <w:sz w:val="24"/>
          <w:szCs w:val="24"/>
        </w:rPr>
        <w:t>，此类事故发生率较低</w:t>
      </w:r>
      <w:r>
        <w:rPr>
          <w:rFonts w:hint="eastAsia" w:ascii="Times New Roman" w:hAnsi="Times New Roman" w:eastAsia="宋体" w:cs="Times New Roman"/>
          <w:color w:val="auto"/>
          <w:sz w:val="24"/>
          <w:szCs w:val="24"/>
          <w:lang w:eastAsia="zh-CN"/>
        </w:rPr>
        <w:t>。</w:t>
      </w:r>
    </w:p>
    <w:p w14:paraId="1A409690">
      <w:pPr>
        <w:pStyle w:val="31"/>
        <w:ind w:firstLine="42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项目成品烟花爆竹若发生火灾爆炸事故，将产生大量的</w:t>
      </w:r>
      <w:r>
        <w:rPr>
          <w:rFonts w:hint="eastAsia" w:ascii="Times New Roman" w:hAnsi="Times New Roman" w:eastAsia="宋体" w:cs="Times New Roman"/>
          <w:color w:val="auto"/>
          <w:sz w:val="24"/>
          <w:szCs w:val="24"/>
        </w:rPr>
        <w:t>CO、SO</w:t>
      </w:r>
      <w:r>
        <w:rPr>
          <w:rFonts w:hint="eastAsia" w:ascii="Times New Roman" w:hAnsi="Times New Roman" w:eastAsia="宋体" w:cs="Times New Roman"/>
          <w:color w:val="auto"/>
          <w:sz w:val="24"/>
          <w:szCs w:val="24"/>
          <w:vertAlign w:val="subscript"/>
        </w:rPr>
        <w:t>2</w:t>
      </w:r>
      <w:r>
        <w:rPr>
          <w:rFonts w:hint="eastAsia" w:ascii="Times New Roman" w:hAnsi="Times New Roman" w:eastAsia="宋体" w:cs="Times New Roman"/>
          <w:color w:val="auto"/>
          <w:sz w:val="24"/>
          <w:szCs w:val="24"/>
        </w:rPr>
        <w:t>、NO</w:t>
      </w:r>
      <w:r>
        <w:rPr>
          <w:rFonts w:hint="eastAsia" w:ascii="Times New Roman" w:hAnsi="Times New Roman" w:eastAsia="宋体" w:cs="Times New Roman"/>
          <w:color w:val="auto"/>
          <w:sz w:val="24"/>
          <w:szCs w:val="24"/>
          <w:vertAlign w:val="subscript"/>
        </w:rPr>
        <w:t>X</w:t>
      </w:r>
      <w:r>
        <w:rPr>
          <w:rFonts w:hint="eastAsia" w:ascii="Times New Roman" w:hAnsi="Times New Roman" w:eastAsia="宋体" w:cs="Times New Roman"/>
          <w:color w:val="auto"/>
          <w:sz w:val="24"/>
          <w:szCs w:val="24"/>
          <w:lang w:eastAsia="zh-CN"/>
        </w:rPr>
        <w:t>等大气污染物，并释放大量能量将对大气造成二次污染，</w:t>
      </w:r>
      <w:r>
        <w:rPr>
          <w:rFonts w:hint="eastAsia" w:ascii="Times New Roman" w:hAnsi="Times New Roman" w:eastAsia="宋体" w:cs="Times New Roman"/>
          <w:color w:val="auto"/>
          <w:sz w:val="24"/>
          <w:szCs w:val="24"/>
          <w:lang w:val="en-US" w:eastAsia="zh-CN"/>
        </w:rPr>
        <w:t>以及产生的消防废水处理不当会</w:t>
      </w:r>
      <w:r>
        <w:rPr>
          <w:rFonts w:hint="eastAsia" w:ascii="Times New Roman" w:hAnsi="Times New Roman" w:eastAsia="宋体" w:cs="Times New Roman"/>
          <w:color w:val="auto"/>
          <w:sz w:val="24"/>
          <w:szCs w:val="24"/>
        </w:rPr>
        <w:t>对环境造成污染</w:t>
      </w:r>
      <w:r>
        <w:rPr>
          <w:rFonts w:hint="eastAsia" w:ascii="Times New Roman" w:hAnsi="Times New Roman" w:eastAsia="宋体" w:cs="Times New Roman"/>
          <w:color w:val="auto"/>
          <w:sz w:val="24"/>
          <w:szCs w:val="24"/>
          <w:lang w:eastAsia="zh-CN"/>
        </w:rPr>
        <w:t>，本项目环境风险主要为爆炸事故时产生二次污染物对环境的影响。因此本评价将成品烟花爆竹燃烧爆炸事故产生的二次污染物</w:t>
      </w:r>
      <w:r>
        <w:rPr>
          <w:rFonts w:hint="eastAsia" w:ascii="Times New Roman" w:hAnsi="Times New Roman" w:eastAsia="宋体" w:cs="Times New Roman"/>
          <w:color w:val="auto"/>
          <w:sz w:val="24"/>
          <w:szCs w:val="24"/>
          <w:lang w:val="en-US" w:eastAsia="zh-CN"/>
        </w:rPr>
        <w:t>对环境污染情况做</w:t>
      </w:r>
      <w:r>
        <w:rPr>
          <w:rFonts w:hint="eastAsia" w:ascii="Times New Roman" w:hAnsi="Times New Roman" w:eastAsia="宋体" w:cs="Times New Roman"/>
          <w:color w:val="auto"/>
          <w:sz w:val="24"/>
          <w:szCs w:val="24"/>
          <w:lang w:eastAsia="zh-CN"/>
        </w:rPr>
        <w:t>定性分析。</w:t>
      </w:r>
    </w:p>
    <w:p w14:paraId="1E45293E">
      <w:pPr>
        <w:pStyle w:val="31"/>
        <w:ind w:firstLine="42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4.事故源强</w:t>
      </w:r>
    </w:p>
    <w:p w14:paraId="3ABCC426">
      <w:pPr>
        <w:pStyle w:val="31"/>
        <w:keepNext w:val="0"/>
        <w:keepLines w:val="0"/>
        <w:pageBreakBefore w:val="0"/>
        <w:widowControl/>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本次环境风险评价重点分析燃烧爆炸事故的伴生烟气</w:t>
      </w:r>
      <w:r>
        <w:rPr>
          <w:rFonts w:hint="eastAsia" w:ascii="Times New Roman" w:hAnsi="Times New Roman" w:eastAsia="宋体" w:cs="Times New Roman"/>
          <w:b w:val="0"/>
          <w:bCs w:val="0"/>
          <w:color w:val="auto"/>
          <w:sz w:val="24"/>
          <w:szCs w:val="24"/>
          <w:lang w:val="en-US" w:eastAsia="zh-CN"/>
        </w:rPr>
        <w:t>、消防废水</w:t>
      </w:r>
      <w:r>
        <w:rPr>
          <w:rFonts w:hint="default" w:ascii="Times New Roman" w:hAnsi="Times New Roman" w:eastAsia="宋体" w:cs="Times New Roman"/>
          <w:b w:val="0"/>
          <w:bCs w:val="0"/>
          <w:color w:val="auto"/>
          <w:sz w:val="24"/>
          <w:szCs w:val="24"/>
          <w:lang w:val="en-US" w:eastAsia="zh-CN"/>
        </w:rPr>
        <w:t>对环境的污染情况。</w:t>
      </w:r>
    </w:p>
    <w:p w14:paraId="24604DB3">
      <w:pPr>
        <w:spacing w:line="360" w:lineRule="auto"/>
        <w:ind w:firstLine="482" w:firstLineChars="200"/>
        <w:rPr>
          <w:b/>
          <w:bCs/>
          <w:color w:val="auto"/>
          <w:sz w:val="24"/>
          <w:szCs w:val="24"/>
        </w:rPr>
      </w:pPr>
      <w:r>
        <w:rPr>
          <w:rFonts w:hint="eastAsia"/>
          <w:b/>
          <w:bCs/>
          <w:color w:val="auto"/>
          <w:sz w:val="24"/>
          <w:szCs w:val="24"/>
        </w:rPr>
        <w:t>六</w:t>
      </w:r>
      <w:r>
        <w:rPr>
          <w:b/>
          <w:bCs/>
          <w:color w:val="auto"/>
          <w:sz w:val="24"/>
          <w:szCs w:val="24"/>
        </w:rPr>
        <w:t>、环境风险分析</w:t>
      </w:r>
      <w:bookmarkEnd w:id="60"/>
      <w:bookmarkEnd w:id="61"/>
    </w:p>
    <w:p w14:paraId="18503335">
      <w:pPr>
        <w:spacing w:line="360" w:lineRule="auto"/>
        <w:ind w:firstLine="422" w:firstLineChars="200"/>
        <w:rPr>
          <w:b/>
          <w:bCs/>
          <w:color w:val="auto"/>
          <w:szCs w:val="21"/>
        </w:rPr>
      </w:pPr>
      <w:bookmarkStart w:id="62" w:name="_Toc13761"/>
      <w:bookmarkStart w:id="63" w:name="_Toc1188"/>
      <w:r>
        <w:rPr>
          <w:rFonts w:hint="eastAsia"/>
          <w:b/>
          <w:bCs/>
          <w:color w:val="auto"/>
          <w:szCs w:val="21"/>
        </w:rPr>
        <w:t>1.</w:t>
      </w:r>
      <w:r>
        <w:rPr>
          <w:b/>
          <w:bCs/>
          <w:color w:val="auto"/>
          <w:szCs w:val="21"/>
        </w:rPr>
        <w:t>大气环境风险影响</w:t>
      </w:r>
      <w:bookmarkEnd w:id="62"/>
      <w:bookmarkEnd w:id="63"/>
    </w:p>
    <w:p w14:paraId="384168BE">
      <w:pPr>
        <w:pStyle w:val="59"/>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both"/>
        <w:textAlignment w:val="auto"/>
        <w:rPr>
          <w:color w:val="auto"/>
          <w:spacing w:val="0"/>
          <w:position w:val="0"/>
          <w:sz w:val="24"/>
          <w:szCs w:val="24"/>
          <w:u w:val="none" w:color="auto"/>
        </w:rPr>
      </w:pPr>
      <w:bookmarkStart w:id="64" w:name="_Toc5488"/>
      <w:bookmarkStart w:id="65" w:name="_Toc24051"/>
      <w:r>
        <w:rPr>
          <w:color w:val="auto"/>
          <w:spacing w:val="-7"/>
          <w:sz w:val="24"/>
          <w:szCs w:val="24"/>
          <w:u w:val="none" w:color="auto"/>
        </w:rPr>
        <w:t>本项目库区的内外部距离符合《烟花爆竹工程设计安全规范》（</w:t>
      </w:r>
      <w:r>
        <w:rPr>
          <w:rFonts w:ascii="Times New Roman" w:hAnsi="Times New Roman" w:eastAsia="Times New Roman" w:cs="Times New Roman"/>
          <w:color w:val="auto"/>
          <w:spacing w:val="-7"/>
          <w:sz w:val="24"/>
          <w:szCs w:val="24"/>
          <w:u w:val="none" w:color="auto"/>
        </w:rPr>
        <w:t>GB50161-2022</w:t>
      </w:r>
      <w:r>
        <w:rPr>
          <w:color w:val="auto"/>
          <w:spacing w:val="-7"/>
          <w:sz w:val="24"/>
          <w:szCs w:val="24"/>
          <w:u w:val="none" w:color="auto"/>
        </w:rPr>
        <w:t>）</w:t>
      </w:r>
      <w:r>
        <w:rPr>
          <w:color w:val="auto"/>
          <w:spacing w:val="2"/>
          <w:sz w:val="24"/>
          <w:szCs w:val="24"/>
          <w:u w:val="none" w:color="auto"/>
        </w:rPr>
        <w:t>的要求，可认为单个库房爆炸时不会造成周围库房的殉爆。烟花爆竹爆炸瞬时产</w:t>
      </w:r>
      <w:r>
        <w:rPr>
          <w:color w:val="auto"/>
          <w:spacing w:val="-2"/>
          <w:position w:val="1"/>
          <w:sz w:val="24"/>
          <w:szCs w:val="24"/>
          <w:u w:val="none" w:color="auto"/>
        </w:rPr>
        <w:t>生的有毒有害气体主要为</w:t>
      </w:r>
      <w:r>
        <w:rPr>
          <w:color w:val="auto"/>
          <w:spacing w:val="-42"/>
          <w:position w:val="1"/>
          <w:sz w:val="24"/>
          <w:szCs w:val="24"/>
          <w:u w:val="none" w:color="auto"/>
        </w:rPr>
        <w:t xml:space="preserve"> </w:t>
      </w:r>
      <w:r>
        <w:rPr>
          <w:rFonts w:ascii="Times New Roman" w:hAnsi="Times New Roman" w:eastAsia="Times New Roman" w:cs="Times New Roman"/>
          <w:color w:val="auto"/>
          <w:spacing w:val="-2"/>
          <w:position w:val="1"/>
          <w:sz w:val="24"/>
          <w:szCs w:val="24"/>
          <w:u w:val="none" w:color="auto"/>
        </w:rPr>
        <w:t>CO</w:t>
      </w:r>
      <w:r>
        <w:rPr>
          <w:color w:val="auto"/>
          <w:spacing w:val="-2"/>
          <w:position w:val="1"/>
          <w:sz w:val="24"/>
          <w:szCs w:val="24"/>
          <w:u w:val="none" w:color="auto"/>
        </w:rPr>
        <w:t>、</w:t>
      </w:r>
      <w:r>
        <w:rPr>
          <w:rFonts w:ascii="Times New Roman" w:hAnsi="Times New Roman" w:eastAsia="Times New Roman" w:cs="Times New Roman"/>
          <w:color w:val="auto"/>
          <w:spacing w:val="-2"/>
          <w:position w:val="1"/>
          <w:sz w:val="24"/>
          <w:szCs w:val="24"/>
          <w:u w:val="none" w:color="auto"/>
        </w:rPr>
        <w:t>SO</w:t>
      </w:r>
      <w:r>
        <w:rPr>
          <w:rFonts w:ascii="Times New Roman" w:hAnsi="Times New Roman" w:eastAsia="Times New Roman" w:cs="Times New Roman"/>
          <w:color w:val="auto"/>
          <w:spacing w:val="-2"/>
          <w:sz w:val="24"/>
          <w:szCs w:val="24"/>
          <w:u w:val="none" w:color="auto"/>
          <w:vertAlign w:val="subscript"/>
        </w:rPr>
        <w:t>2</w:t>
      </w:r>
      <w:r>
        <w:rPr>
          <w:color w:val="auto"/>
          <w:spacing w:val="-2"/>
          <w:position w:val="1"/>
          <w:sz w:val="24"/>
          <w:szCs w:val="24"/>
          <w:u w:val="none" w:color="auto"/>
        </w:rPr>
        <w:t>、</w:t>
      </w:r>
      <w:r>
        <w:rPr>
          <w:rFonts w:ascii="Times New Roman" w:hAnsi="Times New Roman" w:eastAsia="Times New Roman" w:cs="Times New Roman"/>
          <w:color w:val="auto"/>
          <w:spacing w:val="-2"/>
          <w:position w:val="1"/>
          <w:sz w:val="24"/>
          <w:szCs w:val="24"/>
          <w:u w:val="none" w:color="auto"/>
        </w:rPr>
        <w:t>NO</w:t>
      </w:r>
      <w:r>
        <w:rPr>
          <w:rFonts w:ascii="Times New Roman" w:hAnsi="Times New Roman" w:eastAsia="Times New Roman" w:cs="Times New Roman"/>
          <w:color w:val="auto"/>
          <w:spacing w:val="-2"/>
          <w:position w:val="1"/>
          <w:sz w:val="24"/>
          <w:szCs w:val="24"/>
          <w:u w:val="none" w:color="auto"/>
          <w:vertAlign w:val="subscript"/>
        </w:rPr>
        <w:t>x</w:t>
      </w:r>
      <w:r>
        <w:rPr>
          <w:color w:val="auto"/>
          <w:spacing w:val="-2"/>
          <w:position w:val="1"/>
          <w:sz w:val="24"/>
          <w:szCs w:val="24"/>
          <w:u w:val="none" w:color="auto"/>
        </w:rPr>
        <w:t>。火药爆炸瞬时会释放出大量有毒</w:t>
      </w:r>
      <w:r>
        <w:rPr>
          <w:color w:val="auto"/>
          <w:position w:val="1"/>
          <w:sz w:val="24"/>
          <w:szCs w:val="24"/>
          <w:u w:val="none" w:color="auto"/>
        </w:rPr>
        <w:t>的</w:t>
      </w:r>
      <w:r>
        <w:rPr>
          <w:color w:val="auto"/>
          <w:spacing w:val="-46"/>
          <w:position w:val="1"/>
          <w:sz w:val="24"/>
          <w:szCs w:val="24"/>
          <w:u w:val="none" w:color="auto"/>
        </w:rPr>
        <w:t xml:space="preserve"> </w:t>
      </w:r>
      <w:r>
        <w:rPr>
          <w:rFonts w:ascii="Times New Roman" w:hAnsi="Times New Roman" w:eastAsia="Times New Roman" w:cs="Times New Roman"/>
          <w:color w:val="auto"/>
          <w:position w:val="1"/>
          <w:sz w:val="24"/>
          <w:szCs w:val="24"/>
          <w:u w:val="none" w:color="auto"/>
        </w:rPr>
        <w:t>CO</w:t>
      </w:r>
      <w:r>
        <w:rPr>
          <w:color w:val="auto"/>
          <w:position w:val="1"/>
          <w:sz w:val="24"/>
          <w:szCs w:val="24"/>
          <w:u w:val="none" w:color="auto"/>
        </w:rPr>
        <w:t>、</w:t>
      </w:r>
      <w:r>
        <w:rPr>
          <w:rFonts w:ascii="Times New Roman" w:hAnsi="Times New Roman" w:eastAsia="Times New Roman" w:cs="Times New Roman"/>
          <w:color w:val="auto"/>
          <w:position w:val="1"/>
          <w:sz w:val="24"/>
          <w:szCs w:val="24"/>
          <w:u w:val="none" w:color="auto"/>
        </w:rPr>
        <w:t>SO</w:t>
      </w:r>
      <w:r>
        <w:rPr>
          <w:rFonts w:ascii="Times New Roman" w:hAnsi="Times New Roman" w:eastAsia="Times New Roman" w:cs="Times New Roman"/>
          <w:color w:val="auto"/>
          <w:sz w:val="24"/>
          <w:szCs w:val="24"/>
          <w:u w:val="none" w:color="auto"/>
          <w:vertAlign w:val="subscript"/>
        </w:rPr>
        <w:t>2</w:t>
      </w:r>
      <w:r>
        <w:rPr>
          <w:color w:val="auto"/>
          <w:position w:val="1"/>
          <w:sz w:val="24"/>
          <w:szCs w:val="24"/>
          <w:u w:val="none" w:color="auto"/>
        </w:rPr>
        <w:t>、</w:t>
      </w:r>
      <w:r>
        <w:rPr>
          <w:rFonts w:ascii="Times New Roman" w:hAnsi="Times New Roman" w:eastAsia="Times New Roman" w:cs="Times New Roman"/>
          <w:color w:val="auto"/>
          <w:position w:val="1"/>
          <w:sz w:val="24"/>
          <w:szCs w:val="24"/>
          <w:u w:val="none" w:color="auto"/>
        </w:rPr>
        <w:t>NO</w:t>
      </w:r>
      <w:r>
        <w:rPr>
          <w:rFonts w:ascii="Times New Roman" w:hAnsi="Times New Roman" w:eastAsia="Times New Roman" w:cs="Times New Roman"/>
          <w:color w:val="auto"/>
          <w:position w:val="1"/>
          <w:sz w:val="24"/>
          <w:szCs w:val="24"/>
          <w:u w:val="none" w:color="auto"/>
          <w:vertAlign w:val="subscript"/>
        </w:rPr>
        <w:t>x</w:t>
      </w:r>
      <w:r>
        <w:rPr>
          <w:color w:val="auto"/>
          <w:position w:val="1"/>
          <w:sz w:val="24"/>
          <w:szCs w:val="24"/>
          <w:u w:val="none" w:color="auto"/>
        </w:rPr>
        <w:t>等气体，其中，</w:t>
      </w:r>
      <w:r>
        <w:rPr>
          <w:rFonts w:ascii="Times New Roman" w:hAnsi="Times New Roman" w:eastAsia="Times New Roman" w:cs="Times New Roman"/>
          <w:color w:val="auto"/>
          <w:position w:val="1"/>
          <w:sz w:val="24"/>
          <w:szCs w:val="24"/>
          <w:u w:val="none" w:color="auto"/>
        </w:rPr>
        <w:t>CO</w:t>
      </w:r>
      <w:r>
        <w:rPr>
          <w:color w:val="auto"/>
          <w:position w:val="1"/>
          <w:sz w:val="24"/>
          <w:szCs w:val="24"/>
          <w:u w:val="none" w:color="auto"/>
        </w:rPr>
        <w:t>产生率为</w:t>
      </w:r>
      <w:r>
        <w:rPr>
          <w:rFonts w:ascii="Times New Roman" w:hAnsi="Times New Roman" w:eastAsia="Times New Roman" w:cs="Times New Roman"/>
          <w:color w:val="auto"/>
          <w:position w:val="1"/>
          <w:sz w:val="24"/>
          <w:szCs w:val="24"/>
          <w:u w:val="none" w:color="auto"/>
        </w:rPr>
        <w:t>10</w:t>
      </w:r>
      <w:r>
        <w:rPr>
          <w:rFonts w:hint="eastAsia" w:ascii="Times New Roman" w:hAnsi="Times New Roman" w:eastAsia="宋体" w:cs="Times New Roman"/>
          <w:color w:val="auto"/>
          <w:position w:val="1"/>
          <w:sz w:val="24"/>
          <w:szCs w:val="24"/>
          <w:u w:val="none" w:color="auto"/>
          <w:lang w:val="en-US" w:eastAsia="zh-CN"/>
        </w:rPr>
        <w:t>0</w:t>
      </w:r>
      <w:r>
        <w:rPr>
          <w:rFonts w:ascii="Times New Roman" w:hAnsi="Times New Roman" w:eastAsia="Times New Roman" w:cs="Times New Roman"/>
          <w:color w:val="auto"/>
          <w:position w:val="1"/>
          <w:sz w:val="24"/>
          <w:szCs w:val="24"/>
          <w:u w:val="none" w:color="auto"/>
        </w:rPr>
        <w:t>g/kg</w:t>
      </w:r>
      <w:r>
        <w:rPr>
          <w:color w:val="auto"/>
          <w:position w:val="1"/>
          <w:sz w:val="24"/>
          <w:szCs w:val="24"/>
          <w:u w:val="none" w:color="auto"/>
        </w:rPr>
        <w:t>火药</w:t>
      </w:r>
      <w:r>
        <w:rPr>
          <w:color w:val="auto"/>
          <w:spacing w:val="0"/>
          <w:position w:val="0"/>
          <w:sz w:val="24"/>
          <w:szCs w:val="24"/>
          <w:u w:val="none" w:color="auto"/>
        </w:rPr>
        <w:t>，</w:t>
      </w:r>
      <w:r>
        <w:rPr>
          <w:rFonts w:ascii="Times New Roman" w:hAnsi="Times New Roman" w:eastAsia="Times New Roman" w:cs="Times New Roman"/>
          <w:color w:val="auto"/>
          <w:spacing w:val="0"/>
          <w:position w:val="0"/>
          <w:sz w:val="24"/>
          <w:szCs w:val="24"/>
          <w:u w:val="none" w:color="auto"/>
        </w:rPr>
        <w:t>SO</w:t>
      </w:r>
      <w:r>
        <w:rPr>
          <w:rFonts w:ascii="Times New Roman" w:hAnsi="Times New Roman" w:eastAsia="Times New Roman" w:cs="Times New Roman"/>
          <w:color w:val="auto"/>
          <w:spacing w:val="0"/>
          <w:position w:val="0"/>
          <w:sz w:val="24"/>
          <w:szCs w:val="24"/>
          <w:u w:val="none" w:color="auto"/>
          <w:vertAlign w:val="subscript"/>
        </w:rPr>
        <w:t>2</w:t>
      </w:r>
      <w:r>
        <w:rPr>
          <w:color w:val="auto"/>
          <w:spacing w:val="0"/>
          <w:position w:val="0"/>
          <w:sz w:val="24"/>
          <w:szCs w:val="24"/>
          <w:u w:val="none" w:color="auto"/>
        </w:rPr>
        <w:t>产生率为</w:t>
      </w:r>
      <w:r>
        <w:rPr>
          <w:rFonts w:ascii="Times New Roman" w:hAnsi="Times New Roman" w:eastAsia="Times New Roman" w:cs="Times New Roman"/>
          <w:color w:val="auto"/>
          <w:spacing w:val="0"/>
          <w:position w:val="0"/>
          <w:sz w:val="24"/>
          <w:szCs w:val="24"/>
          <w:u w:val="none" w:color="auto"/>
        </w:rPr>
        <w:t>38g/kg</w:t>
      </w:r>
      <w:r>
        <w:rPr>
          <w:color w:val="auto"/>
          <w:spacing w:val="0"/>
          <w:position w:val="0"/>
          <w:sz w:val="24"/>
          <w:szCs w:val="24"/>
          <w:u w:val="none" w:color="auto"/>
        </w:rPr>
        <w:t>火药，</w:t>
      </w:r>
      <w:r>
        <w:rPr>
          <w:rFonts w:ascii="Times New Roman" w:hAnsi="Times New Roman" w:eastAsia="Times New Roman" w:cs="Times New Roman"/>
          <w:color w:val="auto"/>
          <w:spacing w:val="0"/>
          <w:position w:val="0"/>
          <w:sz w:val="24"/>
          <w:szCs w:val="24"/>
          <w:u w:val="none" w:color="auto"/>
        </w:rPr>
        <w:t>NO</w:t>
      </w:r>
      <w:r>
        <w:rPr>
          <w:rFonts w:ascii="Times New Roman" w:hAnsi="Times New Roman" w:eastAsia="Times New Roman" w:cs="Times New Roman"/>
          <w:color w:val="auto"/>
          <w:spacing w:val="0"/>
          <w:position w:val="0"/>
          <w:sz w:val="24"/>
          <w:szCs w:val="24"/>
          <w:u w:val="none" w:color="auto"/>
          <w:vertAlign w:val="subscript"/>
        </w:rPr>
        <w:t>2</w:t>
      </w:r>
      <w:r>
        <w:rPr>
          <w:color w:val="auto"/>
          <w:spacing w:val="0"/>
          <w:position w:val="0"/>
          <w:sz w:val="24"/>
          <w:szCs w:val="24"/>
          <w:u w:val="none" w:color="auto"/>
        </w:rPr>
        <w:t>产生率为</w:t>
      </w:r>
      <w:r>
        <w:rPr>
          <w:rFonts w:ascii="Times New Roman" w:hAnsi="Times New Roman" w:eastAsia="Times New Roman" w:cs="Times New Roman"/>
          <w:color w:val="auto"/>
          <w:spacing w:val="0"/>
          <w:position w:val="0"/>
          <w:sz w:val="24"/>
          <w:szCs w:val="24"/>
          <w:u w:val="none" w:color="auto"/>
        </w:rPr>
        <w:t>1.1g/kg</w:t>
      </w:r>
      <w:r>
        <w:rPr>
          <w:color w:val="auto"/>
          <w:spacing w:val="0"/>
          <w:position w:val="0"/>
          <w:sz w:val="24"/>
          <w:szCs w:val="24"/>
          <w:u w:val="none" w:color="auto"/>
        </w:rPr>
        <w:t>火药。本项目烟花爆竹仓库储存的物质为烟花爆竹成品不是裸药，因此，当火灾爆炸事故发生时，不会瞬间完成，假定库区内烟花爆竹（单个仓库最大存药量为</w:t>
      </w:r>
      <w:r>
        <w:rPr>
          <w:rFonts w:hint="eastAsia" w:ascii="Times New Roman" w:hAnsi="Times New Roman" w:eastAsia="宋体" w:cs="Times New Roman"/>
          <w:color w:val="auto"/>
          <w:spacing w:val="0"/>
          <w:position w:val="0"/>
          <w:sz w:val="24"/>
          <w:szCs w:val="24"/>
          <w:u w:val="none" w:color="auto"/>
          <w:lang w:val="en-US" w:eastAsia="zh-CN"/>
        </w:rPr>
        <w:t>2</w:t>
      </w:r>
      <w:r>
        <w:rPr>
          <w:rFonts w:ascii="Times New Roman" w:hAnsi="Times New Roman" w:eastAsia="Times New Roman" w:cs="Times New Roman"/>
          <w:color w:val="auto"/>
          <w:spacing w:val="0"/>
          <w:position w:val="0"/>
          <w:sz w:val="24"/>
          <w:szCs w:val="24"/>
          <w:u w:val="none" w:color="auto"/>
        </w:rPr>
        <w:t>0000kg</w:t>
      </w:r>
      <w:r>
        <w:rPr>
          <w:color w:val="auto"/>
          <w:spacing w:val="0"/>
          <w:position w:val="0"/>
          <w:sz w:val="24"/>
          <w:szCs w:val="24"/>
          <w:u w:val="none" w:color="auto"/>
        </w:rPr>
        <w:t>）</w:t>
      </w:r>
      <w:r>
        <w:rPr>
          <w:rFonts w:ascii="Times New Roman" w:hAnsi="Times New Roman" w:eastAsia="Times New Roman" w:cs="Times New Roman"/>
          <w:color w:val="auto"/>
          <w:spacing w:val="0"/>
          <w:position w:val="0"/>
          <w:sz w:val="24"/>
          <w:szCs w:val="24"/>
          <w:u w:val="none" w:color="auto"/>
        </w:rPr>
        <w:t>10min</w:t>
      </w:r>
      <w:r>
        <w:rPr>
          <w:color w:val="auto"/>
          <w:spacing w:val="0"/>
          <w:position w:val="0"/>
          <w:sz w:val="24"/>
          <w:szCs w:val="24"/>
          <w:u w:val="none" w:color="auto"/>
        </w:rPr>
        <w:t>内全部爆炸。则</w:t>
      </w:r>
      <w:r>
        <w:rPr>
          <w:rFonts w:ascii="Times New Roman" w:hAnsi="Times New Roman" w:eastAsia="Times New Roman" w:cs="Times New Roman"/>
          <w:color w:val="auto"/>
          <w:spacing w:val="0"/>
          <w:position w:val="0"/>
          <w:sz w:val="24"/>
          <w:szCs w:val="24"/>
          <w:u w:val="none" w:color="auto"/>
        </w:rPr>
        <w:t>CO</w:t>
      </w:r>
      <w:r>
        <w:rPr>
          <w:color w:val="auto"/>
          <w:spacing w:val="0"/>
          <w:position w:val="0"/>
          <w:sz w:val="24"/>
          <w:szCs w:val="24"/>
          <w:u w:val="none" w:color="auto"/>
        </w:rPr>
        <w:t>产生量为</w:t>
      </w:r>
      <w:r>
        <w:rPr>
          <w:rFonts w:hint="eastAsia" w:ascii="Times New Roman" w:hAnsi="Times New Roman" w:eastAsia="宋体" w:cs="Times New Roman"/>
          <w:color w:val="auto"/>
          <w:spacing w:val="0"/>
          <w:position w:val="0"/>
          <w:sz w:val="24"/>
          <w:szCs w:val="24"/>
          <w:u w:val="none" w:color="auto"/>
          <w:lang w:val="en-US" w:eastAsia="zh-CN"/>
        </w:rPr>
        <w:t>2000</w:t>
      </w:r>
      <w:r>
        <w:rPr>
          <w:rFonts w:ascii="Times New Roman" w:hAnsi="Times New Roman" w:eastAsia="Times New Roman" w:cs="Times New Roman"/>
          <w:color w:val="auto"/>
          <w:spacing w:val="0"/>
          <w:position w:val="0"/>
          <w:sz w:val="24"/>
          <w:szCs w:val="24"/>
          <w:u w:val="none" w:color="auto"/>
        </w:rPr>
        <w:t>kg</w:t>
      </w:r>
      <w:r>
        <w:rPr>
          <w:color w:val="auto"/>
          <w:spacing w:val="0"/>
          <w:position w:val="0"/>
          <w:sz w:val="24"/>
          <w:szCs w:val="24"/>
          <w:u w:val="none" w:color="auto"/>
        </w:rPr>
        <w:t>，</w:t>
      </w:r>
      <w:r>
        <w:rPr>
          <w:rFonts w:ascii="Times New Roman" w:hAnsi="Times New Roman" w:eastAsia="Times New Roman" w:cs="Times New Roman"/>
          <w:color w:val="auto"/>
          <w:spacing w:val="0"/>
          <w:position w:val="0"/>
          <w:sz w:val="24"/>
          <w:szCs w:val="24"/>
          <w:u w:val="none" w:color="auto"/>
        </w:rPr>
        <w:t>SO</w:t>
      </w:r>
      <w:r>
        <w:rPr>
          <w:rFonts w:ascii="Times New Roman" w:hAnsi="Times New Roman" w:eastAsia="Times New Roman" w:cs="Times New Roman"/>
          <w:color w:val="auto"/>
          <w:spacing w:val="0"/>
          <w:position w:val="0"/>
          <w:sz w:val="24"/>
          <w:szCs w:val="24"/>
          <w:u w:val="none" w:color="auto"/>
          <w:vertAlign w:val="subscript"/>
        </w:rPr>
        <w:t>2</w:t>
      </w:r>
      <w:r>
        <w:rPr>
          <w:color w:val="auto"/>
          <w:spacing w:val="0"/>
          <w:position w:val="0"/>
          <w:sz w:val="24"/>
          <w:szCs w:val="24"/>
          <w:u w:val="none" w:color="auto"/>
        </w:rPr>
        <w:t>产生量为</w:t>
      </w:r>
      <w:r>
        <w:rPr>
          <w:rFonts w:hint="eastAsia"/>
          <w:color w:val="auto"/>
          <w:spacing w:val="0"/>
          <w:position w:val="0"/>
          <w:sz w:val="24"/>
          <w:szCs w:val="24"/>
          <w:u w:val="none" w:color="auto"/>
          <w:lang w:val="en-US" w:eastAsia="zh-CN"/>
        </w:rPr>
        <w:t>760</w:t>
      </w:r>
      <w:r>
        <w:rPr>
          <w:rFonts w:ascii="Times New Roman" w:hAnsi="Times New Roman" w:eastAsia="Times New Roman" w:cs="Times New Roman"/>
          <w:color w:val="auto"/>
          <w:spacing w:val="0"/>
          <w:position w:val="0"/>
          <w:sz w:val="24"/>
          <w:szCs w:val="24"/>
          <w:u w:val="none" w:color="auto"/>
        </w:rPr>
        <w:t>kg</w:t>
      </w:r>
      <w:r>
        <w:rPr>
          <w:color w:val="auto"/>
          <w:spacing w:val="0"/>
          <w:position w:val="0"/>
          <w:sz w:val="24"/>
          <w:szCs w:val="24"/>
          <w:u w:val="none" w:color="auto"/>
        </w:rPr>
        <w:t>，</w:t>
      </w:r>
      <w:r>
        <w:rPr>
          <w:rFonts w:ascii="Times New Roman" w:hAnsi="Times New Roman" w:eastAsia="Times New Roman" w:cs="Times New Roman"/>
          <w:color w:val="auto"/>
          <w:spacing w:val="0"/>
          <w:position w:val="0"/>
          <w:sz w:val="24"/>
          <w:szCs w:val="24"/>
          <w:u w:val="none" w:color="auto"/>
        </w:rPr>
        <w:t>NO</w:t>
      </w:r>
      <w:r>
        <w:rPr>
          <w:rFonts w:ascii="Times New Roman" w:hAnsi="Times New Roman" w:eastAsia="Times New Roman" w:cs="Times New Roman"/>
          <w:color w:val="auto"/>
          <w:spacing w:val="0"/>
          <w:position w:val="0"/>
          <w:sz w:val="24"/>
          <w:szCs w:val="24"/>
          <w:u w:val="none" w:color="auto"/>
          <w:vertAlign w:val="subscript"/>
        </w:rPr>
        <w:t>x</w:t>
      </w:r>
      <w:r>
        <w:rPr>
          <w:color w:val="auto"/>
          <w:spacing w:val="0"/>
          <w:position w:val="0"/>
          <w:sz w:val="24"/>
          <w:szCs w:val="24"/>
          <w:u w:val="none" w:color="auto"/>
        </w:rPr>
        <w:t>产生量为</w:t>
      </w:r>
      <w:r>
        <w:rPr>
          <w:rFonts w:hint="eastAsia" w:ascii="Times New Roman" w:hAnsi="Times New Roman" w:eastAsia="宋体" w:cs="Times New Roman"/>
          <w:color w:val="auto"/>
          <w:spacing w:val="0"/>
          <w:position w:val="0"/>
          <w:sz w:val="24"/>
          <w:szCs w:val="24"/>
          <w:u w:val="none" w:color="auto"/>
          <w:lang w:val="en-US" w:eastAsia="zh-CN"/>
        </w:rPr>
        <w:t>22</w:t>
      </w:r>
      <w:r>
        <w:rPr>
          <w:rFonts w:ascii="Times New Roman" w:hAnsi="Times New Roman" w:eastAsia="Times New Roman" w:cs="Times New Roman"/>
          <w:color w:val="auto"/>
          <w:spacing w:val="0"/>
          <w:position w:val="0"/>
          <w:sz w:val="24"/>
          <w:szCs w:val="24"/>
          <w:u w:val="none" w:color="auto"/>
        </w:rPr>
        <w:t>kg</w:t>
      </w:r>
      <w:r>
        <w:rPr>
          <w:color w:val="auto"/>
          <w:spacing w:val="0"/>
          <w:position w:val="0"/>
          <w:sz w:val="24"/>
          <w:szCs w:val="24"/>
          <w:u w:val="none" w:color="auto"/>
        </w:rPr>
        <w:t>。</w:t>
      </w:r>
    </w:p>
    <w:p w14:paraId="5BB6859C">
      <w:pPr>
        <w:spacing w:line="360" w:lineRule="auto"/>
        <w:ind w:firstLine="480" w:firstLineChars="200"/>
        <w:rPr>
          <w:color w:val="auto"/>
          <w:sz w:val="24"/>
          <w:szCs w:val="24"/>
        </w:rPr>
      </w:pPr>
      <w:r>
        <w:rPr>
          <w:color w:val="auto"/>
          <w:sz w:val="24"/>
          <w:szCs w:val="24"/>
        </w:rPr>
        <w:t>项目为烟花爆竹仓库项目，</w:t>
      </w:r>
      <w:bookmarkEnd w:id="64"/>
      <w:bookmarkEnd w:id="65"/>
      <w:bookmarkStart w:id="66" w:name="_Toc23719"/>
      <w:bookmarkStart w:id="67" w:name="_Toc9634"/>
      <w:r>
        <w:rPr>
          <w:rFonts w:hint="eastAsia"/>
          <w:color w:val="auto"/>
          <w:sz w:val="24"/>
          <w:szCs w:val="24"/>
        </w:rPr>
        <w:t>烟花爆竹遇明火爆炸及发生火灾，不完全燃烧状态下将可能会产生CO、SO</w:t>
      </w:r>
      <w:r>
        <w:rPr>
          <w:rFonts w:hint="eastAsia"/>
          <w:color w:val="auto"/>
          <w:sz w:val="24"/>
          <w:szCs w:val="24"/>
          <w:vertAlign w:val="subscript"/>
        </w:rPr>
        <w:t>2</w:t>
      </w:r>
      <w:r>
        <w:rPr>
          <w:rFonts w:hint="eastAsia"/>
          <w:color w:val="auto"/>
          <w:sz w:val="24"/>
          <w:szCs w:val="24"/>
        </w:rPr>
        <w:t>、NO</w:t>
      </w:r>
      <w:r>
        <w:rPr>
          <w:rFonts w:hint="eastAsia"/>
          <w:color w:val="auto"/>
          <w:sz w:val="24"/>
          <w:szCs w:val="24"/>
          <w:vertAlign w:val="subscript"/>
        </w:rPr>
        <w:t>X</w:t>
      </w:r>
      <w:r>
        <w:rPr>
          <w:rFonts w:hint="eastAsia"/>
          <w:color w:val="auto"/>
          <w:sz w:val="24"/>
          <w:szCs w:val="24"/>
        </w:rPr>
        <w:t>等，</w:t>
      </w:r>
      <w:r>
        <w:rPr>
          <w:rFonts w:hint="eastAsia"/>
          <w:color w:val="auto"/>
          <w:sz w:val="24"/>
          <w:szCs w:val="24"/>
          <w:lang w:val="en-US" w:eastAsia="zh-CN"/>
        </w:rPr>
        <w:t>此类气体</w:t>
      </w:r>
      <w:r>
        <w:rPr>
          <w:rFonts w:hint="eastAsia"/>
          <w:color w:val="auto"/>
          <w:sz w:val="24"/>
          <w:szCs w:val="24"/>
        </w:rPr>
        <w:t>是有毒气体</w:t>
      </w:r>
      <w:r>
        <w:rPr>
          <w:color w:val="auto"/>
          <w:spacing w:val="0"/>
          <w:w w:val="100"/>
          <w:position w:val="0"/>
          <w:sz w:val="24"/>
          <w:szCs w:val="24"/>
          <w:u w:val="none" w:color="auto"/>
        </w:rPr>
        <w:t>，</w:t>
      </w:r>
      <w:r>
        <w:rPr>
          <w:rFonts w:hint="eastAsia"/>
          <w:color w:val="auto"/>
          <w:spacing w:val="0"/>
          <w:w w:val="100"/>
          <w:position w:val="0"/>
          <w:sz w:val="24"/>
          <w:szCs w:val="24"/>
          <w:u w:val="none" w:color="auto"/>
          <w:lang w:val="en-US" w:eastAsia="zh-CN"/>
        </w:rPr>
        <w:t>产生量较小，产生时间较短，</w:t>
      </w:r>
      <w:r>
        <w:rPr>
          <w:color w:val="auto"/>
          <w:spacing w:val="0"/>
          <w:w w:val="100"/>
          <w:position w:val="0"/>
          <w:sz w:val="24"/>
          <w:szCs w:val="24"/>
          <w:u w:val="none" w:color="auto"/>
        </w:rPr>
        <w:t>不会对人体造成难以挽回的伤害。</w:t>
      </w:r>
      <w:r>
        <w:rPr>
          <w:rFonts w:hint="eastAsia"/>
          <w:color w:val="auto"/>
          <w:spacing w:val="0"/>
          <w:w w:val="100"/>
          <w:position w:val="0"/>
          <w:sz w:val="24"/>
          <w:szCs w:val="24"/>
          <w:u w:val="none" w:color="auto"/>
          <w:lang w:val="en-US" w:eastAsia="zh-CN"/>
        </w:rPr>
        <w:t>项目</w:t>
      </w:r>
      <w:r>
        <w:rPr>
          <w:rFonts w:hint="eastAsia"/>
          <w:color w:val="auto"/>
          <w:sz w:val="24"/>
          <w:szCs w:val="24"/>
        </w:rPr>
        <w:t>烟花爆竹储存仓库与其他建(构)筑物的安全防护距离符合</w:t>
      </w:r>
      <w:r>
        <w:rPr>
          <w:color w:val="auto"/>
          <w:sz w:val="24"/>
          <w:szCs w:val="24"/>
        </w:rPr>
        <w:t>《烟火爆竹批发仓库建设标准》(建标125-2009)</w:t>
      </w:r>
      <w:r>
        <w:rPr>
          <w:rFonts w:hint="eastAsia"/>
          <w:color w:val="auto"/>
          <w:sz w:val="24"/>
          <w:szCs w:val="24"/>
        </w:rPr>
        <w:t>和</w:t>
      </w:r>
      <w:r>
        <w:rPr>
          <w:color w:val="auto"/>
          <w:sz w:val="24"/>
          <w:szCs w:val="24"/>
        </w:rPr>
        <w:t>《烟花爆竹工程设计安全规范》(GB50161-20</w:t>
      </w:r>
      <w:r>
        <w:rPr>
          <w:rFonts w:hint="eastAsia"/>
          <w:color w:val="auto"/>
          <w:sz w:val="24"/>
          <w:szCs w:val="24"/>
          <w:lang w:val="en-US" w:eastAsia="zh-CN"/>
        </w:rPr>
        <w:t>22</w:t>
      </w:r>
      <w:r>
        <w:rPr>
          <w:color w:val="auto"/>
          <w:sz w:val="24"/>
          <w:szCs w:val="24"/>
        </w:rPr>
        <w:t>)</w:t>
      </w:r>
      <w:r>
        <w:rPr>
          <w:rFonts w:hint="eastAsia"/>
          <w:color w:val="auto"/>
          <w:sz w:val="24"/>
          <w:szCs w:val="24"/>
        </w:rPr>
        <w:t>的相关规定，在发生火灾时能够及时采取措施在最短时间内将火扑灭，废气产生量很小，在扑灭后经空气扩散稀释后对大气环境影响很小。</w:t>
      </w:r>
    </w:p>
    <w:p w14:paraId="1A7AD5F4">
      <w:pPr>
        <w:spacing w:line="360" w:lineRule="auto"/>
        <w:ind w:firstLine="482" w:firstLineChars="200"/>
        <w:rPr>
          <w:color w:val="auto"/>
          <w:sz w:val="24"/>
          <w:szCs w:val="24"/>
        </w:rPr>
      </w:pPr>
      <w:r>
        <w:rPr>
          <w:rFonts w:hint="eastAsia"/>
          <w:b/>
          <w:bCs/>
          <w:color w:val="auto"/>
          <w:sz w:val="24"/>
          <w:szCs w:val="24"/>
        </w:rPr>
        <w:t>2.</w:t>
      </w:r>
      <w:r>
        <w:rPr>
          <w:b/>
          <w:bCs/>
          <w:color w:val="auto"/>
          <w:sz w:val="24"/>
          <w:szCs w:val="24"/>
        </w:rPr>
        <w:t>地表水环境风险分析</w:t>
      </w:r>
      <w:bookmarkEnd w:id="66"/>
      <w:bookmarkEnd w:id="67"/>
    </w:p>
    <w:p w14:paraId="0E546B0A">
      <w:pPr>
        <w:pStyle w:val="31"/>
        <w:keepNext w:val="0"/>
        <w:keepLines w:val="0"/>
        <w:pageBreakBefore w:val="0"/>
        <w:widowControl/>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b w:val="0"/>
          <w:bCs w:val="0"/>
          <w:color w:val="auto"/>
          <w:sz w:val="24"/>
          <w:szCs w:val="24"/>
          <w:lang w:val="en-US" w:eastAsia="zh-CN"/>
        </w:rPr>
      </w:pPr>
      <w:bookmarkStart w:id="68" w:name="_Toc4191"/>
      <w:bookmarkStart w:id="69" w:name="_Toc21375"/>
      <w:r>
        <w:rPr>
          <w:rFonts w:hint="eastAsia" w:ascii="Times New Roman" w:hAnsi="Times New Roman" w:eastAsia="宋体" w:cs="Times New Roman"/>
          <w:b w:val="0"/>
          <w:bCs w:val="0"/>
          <w:color w:val="auto"/>
          <w:sz w:val="24"/>
          <w:szCs w:val="24"/>
          <w:lang w:val="en-US" w:eastAsia="zh-CN"/>
        </w:rPr>
        <w:t>扩</w:t>
      </w:r>
      <w:r>
        <w:rPr>
          <w:rFonts w:hint="default" w:ascii="Times New Roman" w:hAnsi="Times New Roman" w:eastAsia="宋体" w:cs="Times New Roman"/>
          <w:b w:val="0"/>
          <w:bCs w:val="0"/>
          <w:color w:val="auto"/>
          <w:sz w:val="24"/>
          <w:szCs w:val="24"/>
          <w:lang w:val="en-US" w:eastAsia="zh-CN"/>
        </w:rPr>
        <w:t>建项目设有消防水池及灭火栓等消防设施，一旦拟建项目贮存库发生火灾、爆炸等事故时，将会产生消防废水</w:t>
      </w:r>
      <w:r>
        <w:rPr>
          <w:rFonts w:hint="eastAsia"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爆炸对水环境的影响主要是考虑由于火灾爆炸事故引发的水环境风险，主要是消防污水。为防止火灾爆炸事故引发的水环境风险，</w:t>
      </w:r>
      <w:r>
        <w:rPr>
          <w:rFonts w:hint="eastAsia" w:ascii="Times New Roman" w:hAnsi="Times New Roman" w:eastAsia="宋体" w:cs="Times New Roman"/>
          <w:b w:val="0"/>
          <w:bCs w:val="0"/>
          <w:color w:val="auto"/>
          <w:sz w:val="24"/>
          <w:szCs w:val="24"/>
          <w:lang w:val="en-US" w:eastAsia="zh-CN"/>
        </w:rPr>
        <w:t>项目区</w:t>
      </w:r>
      <w:r>
        <w:rPr>
          <w:rFonts w:hint="default" w:ascii="Times New Roman" w:hAnsi="Times New Roman" w:eastAsia="宋体" w:cs="Times New Roman"/>
          <w:b w:val="0"/>
          <w:bCs w:val="0"/>
          <w:color w:val="auto"/>
          <w:sz w:val="24"/>
          <w:szCs w:val="24"/>
          <w:lang w:val="en-US" w:eastAsia="zh-CN"/>
        </w:rPr>
        <w:t>应配套建设集水沟事故应急池相连。一旦发生事故，消防水经集水沟收集可以进入事故应急池。</w:t>
      </w:r>
    </w:p>
    <w:p w14:paraId="4D561128">
      <w:pPr>
        <w:spacing w:line="360" w:lineRule="auto"/>
        <w:ind w:firstLine="480" w:firstLineChars="200"/>
        <w:rPr>
          <w:color w:val="auto"/>
          <w:szCs w:val="21"/>
        </w:rPr>
      </w:pPr>
      <w:r>
        <w:rPr>
          <w:rFonts w:hint="default" w:ascii="Times New Roman" w:hAnsi="Times New Roman" w:eastAsia="宋体" w:cs="Times New Roman"/>
          <w:b w:val="0"/>
          <w:bCs w:val="0"/>
          <w:color w:val="auto"/>
          <w:sz w:val="24"/>
          <w:szCs w:val="24"/>
          <w:lang w:val="en-US" w:eastAsia="zh-CN"/>
        </w:rPr>
        <w:t>当项目发生火灾爆炸等事故时会使用消防用水，根据《消防给水及消火栓系统技术规范》（GB 50974-2014）消防水量为15L/s，以2小时计算，则消防用水量为108m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，考虑1.2的安全系数</w:t>
      </w:r>
      <w:r>
        <w:rPr>
          <w:rFonts w:hint="eastAsia" w:cs="Times New Roman"/>
          <w:b w:val="0"/>
          <w:bCs w:val="0"/>
          <w:color w:val="auto"/>
          <w:sz w:val="24"/>
          <w:szCs w:val="24"/>
          <w:lang w:val="en-US" w:eastAsia="zh-CN"/>
        </w:rPr>
        <w:t>。</w:t>
      </w:r>
      <w:r>
        <w:rPr>
          <w:color w:val="auto"/>
          <w:spacing w:val="3"/>
          <w:sz w:val="24"/>
          <w:szCs w:val="24"/>
          <w:u w:val="none" w:color="auto"/>
        </w:rPr>
        <w:t>为确保在发生火灾爆炸事故时，消防废水不排</w:t>
      </w:r>
      <w:r>
        <w:rPr>
          <w:color w:val="auto"/>
          <w:spacing w:val="2"/>
          <w:sz w:val="24"/>
          <w:szCs w:val="24"/>
          <w:u w:val="none" w:color="auto"/>
        </w:rPr>
        <w:t>入地表水体和地下</w:t>
      </w:r>
      <w:r>
        <w:rPr>
          <w:color w:val="auto"/>
          <w:spacing w:val="3"/>
          <w:sz w:val="24"/>
          <w:szCs w:val="24"/>
          <w:u w:val="none" w:color="auto"/>
        </w:rPr>
        <w:t>水体，项目在烟花爆竹仓库周边设置截流明沟、仓库场区地势</w:t>
      </w:r>
      <w:r>
        <w:rPr>
          <w:color w:val="auto"/>
          <w:spacing w:val="2"/>
          <w:sz w:val="24"/>
          <w:szCs w:val="24"/>
          <w:u w:val="none" w:color="auto"/>
        </w:rPr>
        <w:t>较低的位置</w:t>
      </w:r>
      <w:r>
        <w:rPr>
          <w:rFonts w:hint="eastAsia"/>
          <w:color w:val="auto"/>
          <w:spacing w:val="2"/>
          <w:sz w:val="24"/>
          <w:szCs w:val="24"/>
          <w:u w:val="none" w:color="auto"/>
          <w:lang w:val="en-US" w:eastAsia="zh-CN"/>
        </w:rPr>
        <w:t>事故池。</w:t>
      </w:r>
      <w:r>
        <w:rPr>
          <w:rFonts w:hint="default" w:ascii="Times New Roman" w:hAnsi="Times New Roman" w:eastAsia="宋体" w:cs="Times New Roman"/>
          <w:b w:val="0"/>
          <w:bCs w:val="0"/>
          <w:color w:val="auto"/>
          <w:sz w:val="24"/>
          <w:szCs w:val="24"/>
          <w:lang w:val="en-US" w:eastAsia="zh-CN"/>
        </w:rPr>
        <w:t>项目在地块一</w:t>
      </w:r>
      <w:r>
        <w:rPr>
          <w:rFonts w:hint="eastAsia" w:ascii="Times New Roman" w:hAnsi="Times New Roman" w:eastAsia="宋体" w:cs="Times New Roman"/>
          <w:b w:val="0"/>
          <w:bCs w:val="0"/>
          <w:color w:val="auto"/>
          <w:sz w:val="24"/>
          <w:szCs w:val="24"/>
          <w:lang w:val="en-US" w:eastAsia="zh-CN"/>
        </w:rPr>
        <w:t>西侧</w:t>
      </w:r>
      <w:r>
        <w:rPr>
          <w:rFonts w:hint="default" w:ascii="Times New Roman" w:hAnsi="Times New Roman" w:eastAsia="宋体" w:cs="Times New Roman"/>
          <w:b w:val="0"/>
          <w:bCs w:val="0"/>
          <w:color w:val="auto"/>
          <w:sz w:val="24"/>
          <w:szCs w:val="24"/>
          <w:lang w:val="en-US" w:eastAsia="zh-CN"/>
        </w:rPr>
        <w:t>设置容积为1</w:t>
      </w:r>
      <w:r>
        <w:rPr>
          <w:rFonts w:hint="eastAsia"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lang w:val="en-US" w:eastAsia="zh-CN"/>
        </w:rPr>
        <w:t>0m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的事故池，</w:t>
      </w:r>
      <w:r>
        <w:rPr>
          <w:rFonts w:hint="eastAsia" w:ascii="Times New Roman" w:hAnsi="Times New Roman" w:eastAsia="宋体" w:cs="Times New Roman"/>
          <w:b w:val="0"/>
          <w:bCs w:val="0"/>
          <w:color w:val="auto"/>
          <w:sz w:val="24"/>
          <w:szCs w:val="24"/>
          <w:lang w:val="en-US" w:eastAsia="zh-CN"/>
        </w:rPr>
        <w:t>地块二仓库南侧设</w:t>
      </w:r>
      <w:r>
        <w:rPr>
          <w:rFonts w:hint="default" w:ascii="Times New Roman" w:hAnsi="Times New Roman" w:eastAsia="宋体" w:cs="Times New Roman"/>
          <w:b w:val="0"/>
          <w:bCs w:val="0"/>
          <w:color w:val="auto"/>
          <w:sz w:val="24"/>
          <w:szCs w:val="24"/>
          <w:lang w:val="en-US" w:eastAsia="zh-CN"/>
        </w:rPr>
        <w:t>置容积为1</w:t>
      </w:r>
      <w:r>
        <w:rPr>
          <w:rFonts w:hint="eastAsia"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0m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的事故池，发生事故时产生的事故废水</w:t>
      </w:r>
      <w:r>
        <w:rPr>
          <w:rFonts w:hint="eastAsia" w:ascii="Times New Roman" w:hAnsi="Times New Roman" w:eastAsia="宋体" w:cs="Times New Roman"/>
          <w:b w:val="0"/>
          <w:bCs w:val="0"/>
          <w:color w:val="auto"/>
          <w:sz w:val="24"/>
          <w:szCs w:val="24"/>
          <w:lang w:val="en-US" w:eastAsia="zh-CN"/>
        </w:rPr>
        <w:t>通过</w:t>
      </w:r>
      <w:r>
        <w:rPr>
          <w:rFonts w:hint="default" w:ascii="Times New Roman" w:hAnsi="Times New Roman" w:eastAsia="宋体" w:cs="Times New Roman"/>
          <w:b w:val="0"/>
          <w:bCs w:val="0"/>
          <w:color w:val="auto"/>
          <w:sz w:val="24"/>
          <w:szCs w:val="24"/>
          <w:lang w:val="en-US" w:eastAsia="zh-CN"/>
        </w:rPr>
        <w:t>集水沟</w:t>
      </w:r>
      <w:r>
        <w:rPr>
          <w:rFonts w:hint="eastAsia" w:ascii="Times New Roman" w:hAnsi="Times New Roman" w:eastAsia="宋体" w:cs="Times New Roman"/>
          <w:b w:val="0"/>
          <w:bCs w:val="0"/>
          <w:color w:val="auto"/>
          <w:sz w:val="24"/>
          <w:szCs w:val="24"/>
          <w:lang w:val="en-US" w:eastAsia="zh-CN"/>
        </w:rPr>
        <w:t>进</w:t>
      </w:r>
      <w:r>
        <w:rPr>
          <w:rFonts w:hint="default" w:ascii="Times New Roman" w:hAnsi="Times New Roman" w:eastAsia="宋体" w:cs="Times New Roman"/>
          <w:b w:val="0"/>
          <w:bCs w:val="0"/>
          <w:color w:val="auto"/>
          <w:sz w:val="24"/>
          <w:szCs w:val="24"/>
          <w:lang w:val="en-US" w:eastAsia="zh-CN"/>
        </w:rPr>
        <w:t>入事故池收集事故废水。</w:t>
      </w:r>
      <w:r>
        <w:rPr>
          <w:rFonts w:hint="eastAsia"/>
          <w:color w:val="auto"/>
          <w:sz w:val="24"/>
          <w:szCs w:val="24"/>
        </w:rPr>
        <w:t>事故池禁止设排放阀，池内污水应报当地环保局，经水质检验后确定其处理方法。若应急事故池中污水水质经检验后能达到消防用水要求，可将池内污水经沉淀后返回</w:t>
      </w:r>
      <w:r>
        <w:rPr>
          <w:rFonts w:hint="eastAsia"/>
          <w:color w:val="auto"/>
          <w:sz w:val="24"/>
          <w:szCs w:val="24"/>
          <w:lang w:val="en-US" w:eastAsia="zh-CN"/>
        </w:rPr>
        <w:t>消防</w:t>
      </w:r>
      <w:r>
        <w:rPr>
          <w:rFonts w:hint="eastAsia"/>
          <w:color w:val="auto"/>
          <w:sz w:val="24"/>
          <w:szCs w:val="24"/>
        </w:rPr>
        <w:t>水池，循环利用；若应急事故池中污水水质经检验存在有毒有害物质，则需并委托有资质的单位采用罐车运送至指定地点进行处理，处理达标后方可排放。</w:t>
      </w:r>
    </w:p>
    <w:p w14:paraId="715FB3E3">
      <w:pPr>
        <w:spacing w:line="360" w:lineRule="auto"/>
        <w:ind w:firstLine="480" w:firstLineChars="200"/>
        <w:rPr>
          <w:color w:val="auto"/>
          <w:sz w:val="24"/>
          <w:szCs w:val="24"/>
        </w:rPr>
      </w:pPr>
      <w:r>
        <w:rPr>
          <w:rFonts w:hint="eastAsia"/>
          <w:color w:val="auto"/>
          <w:sz w:val="24"/>
          <w:szCs w:val="24"/>
        </w:rPr>
        <w:t>烟花爆竹储存仓库与其他建(构)筑物的安全防护距离符合</w:t>
      </w:r>
      <w:r>
        <w:rPr>
          <w:color w:val="auto"/>
          <w:sz w:val="24"/>
          <w:szCs w:val="24"/>
        </w:rPr>
        <w:t>《烟火爆竹批发仓库建设标准》(建标125-2009)</w:t>
      </w:r>
      <w:r>
        <w:rPr>
          <w:rFonts w:hint="eastAsia"/>
          <w:color w:val="auto"/>
          <w:sz w:val="24"/>
          <w:szCs w:val="24"/>
        </w:rPr>
        <w:t>和</w:t>
      </w:r>
      <w:r>
        <w:rPr>
          <w:color w:val="auto"/>
          <w:sz w:val="24"/>
          <w:szCs w:val="24"/>
        </w:rPr>
        <w:t>《烟花爆竹工程设计安全规范》(GB50161-20</w:t>
      </w:r>
      <w:r>
        <w:rPr>
          <w:rFonts w:hint="eastAsia"/>
          <w:color w:val="auto"/>
          <w:sz w:val="24"/>
          <w:szCs w:val="24"/>
          <w:lang w:val="en-US" w:eastAsia="zh-CN"/>
        </w:rPr>
        <w:t>22</w:t>
      </w:r>
      <w:r>
        <w:rPr>
          <w:color w:val="auto"/>
          <w:sz w:val="24"/>
          <w:szCs w:val="24"/>
        </w:rPr>
        <w:t>)</w:t>
      </w:r>
      <w:r>
        <w:rPr>
          <w:rFonts w:hint="eastAsia"/>
          <w:color w:val="auto"/>
          <w:sz w:val="24"/>
          <w:szCs w:val="24"/>
        </w:rPr>
        <w:t>的相关规定，</w:t>
      </w:r>
      <w:r>
        <w:rPr>
          <w:color w:val="auto"/>
          <w:sz w:val="24"/>
          <w:szCs w:val="24"/>
        </w:rPr>
        <w:t>项目</w:t>
      </w:r>
      <w:r>
        <w:rPr>
          <w:rFonts w:hint="eastAsia"/>
          <w:color w:val="auto"/>
          <w:sz w:val="24"/>
          <w:szCs w:val="24"/>
        </w:rPr>
        <w:t>产生的废水</w:t>
      </w:r>
      <w:r>
        <w:rPr>
          <w:color w:val="auto"/>
          <w:sz w:val="24"/>
          <w:szCs w:val="24"/>
        </w:rPr>
        <w:t>排入化粪池后委托环卫部门</w:t>
      </w:r>
      <w:r>
        <w:rPr>
          <w:rFonts w:hint="eastAsia"/>
          <w:color w:val="auto"/>
          <w:sz w:val="24"/>
          <w:szCs w:val="24"/>
          <w:lang w:val="en-US" w:eastAsia="zh-CN"/>
        </w:rPr>
        <w:t>15天</w:t>
      </w:r>
      <w:r>
        <w:rPr>
          <w:color w:val="auto"/>
          <w:sz w:val="24"/>
          <w:szCs w:val="24"/>
        </w:rPr>
        <w:t>抽运一次，</w:t>
      </w:r>
      <w:r>
        <w:rPr>
          <w:rFonts w:hint="eastAsia"/>
          <w:color w:val="auto"/>
          <w:sz w:val="24"/>
          <w:szCs w:val="24"/>
          <w:lang w:val="en-US" w:eastAsia="zh-CN"/>
        </w:rPr>
        <w:t>运至寻甸污水处理厂处理，</w:t>
      </w:r>
      <w:r>
        <w:rPr>
          <w:color w:val="auto"/>
          <w:sz w:val="24"/>
          <w:szCs w:val="24"/>
        </w:rPr>
        <w:t>不影响项目所在地附近的地表水环境。</w:t>
      </w:r>
      <w:bookmarkEnd w:id="68"/>
      <w:bookmarkEnd w:id="69"/>
    </w:p>
    <w:p w14:paraId="22865ECF">
      <w:pPr>
        <w:spacing w:line="360" w:lineRule="auto"/>
        <w:ind w:firstLine="480" w:firstLineChars="200"/>
        <w:rPr>
          <w:color w:val="auto"/>
          <w:sz w:val="24"/>
          <w:szCs w:val="24"/>
        </w:rPr>
      </w:pPr>
      <w:r>
        <w:rPr>
          <w:rFonts w:hint="eastAsia"/>
          <w:color w:val="auto"/>
          <w:sz w:val="24"/>
          <w:szCs w:val="24"/>
        </w:rPr>
        <w:t>采取以上措施后，可满足项目最严重事故状态下的污水收集要求，污水可做到达标合法排放，不影响</w:t>
      </w:r>
      <w:r>
        <w:rPr>
          <w:rFonts w:hint="eastAsia"/>
          <w:color w:val="auto"/>
          <w:sz w:val="24"/>
          <w:szCs w:val="24"/>
          <w:lang w:val="en-US" w:eastAsia="zh-CN"/>
        </w:rPr>
        <w:t>周围地表水</w:t>
      </w:r>
      <w:r>
        <w:rPr>
          <w:rFonts w:hint="eastAsia"/>
          <w:color w:val="auto"/>
          <w:sz w:val="24"/>
          <w:szCs w:val="24"/>
        </w:rPr>
        <w:t>水质，也不会影响到地下水水质。风险状况下废水能有效收集，火灾状态下及时处置前提下不会对周围</w:t>
      </w:r>
      <w:r>
        <w:rPr>
          <w:rFonts w:hint="eastAsia"/>
          <w:color w:val="auto"/>
          <w:sz w:val="24"/>
          <w:szCs w:val="24"/>
          <w:lang w:val="en-US" w:eastAsia="zh-CN"/>
        </w:rPr>
        <w:t>环境</w:t>
      </w:r>
      <w:r>
        <w:rPr>
          <w:rFonts w:hint="eastAsia"/>
          <w:color w:val="auto"/>
          <w:sz w:val="24"/>
          <w:szCs w:val="24"/>
        </w:rPr>
        <w:t>造成影响。</w:t>
      </w:r>
    </w:p>
    <w:p w14:paraId="2786D092">
      <w:pPr>
        <w:spacing w:line="360" w:lineRule="auto"/>
        <w:ind w:firstLine="482" w:firstLineChars="200"/>
        <w:rPr>
          <w:b/>
          <w:bCs/>
          <w:color w:val="auto"/>
          <w:sz w:val="24"/>
          <w:szCs w:val="24"/>
        </w:rPr>
      </w:pPr>
      <w:r>
        <w:rPr>
          <w:rFonts w:hint="eastAsia"/>
          <w:b/>
          <w:bCs/>
          <w:color w:val="auto"/>
          <w:sz w:val="24"/>
          <w:szCs w:val="24"/>
          <w:lang w:val="en-US" w:eastAsia="zh-CN"/>
        </w:rPr>
        <w:t>3</w:t>
      </w:r>
      <w:r>
        <w:rPr>
          <w:rFonts w:hint="eastAsia"/>
          <w:b/>
          <w:bCs/>
          <w:color w:val="auto"/>
          <w:sz w:val="24"/>
          <w:szCs w:val="24"/>
        </w:rPr>
        <w:t>.对地下水环境影响</w:t>
      </w:r>
    </w:p>
    <w:p w14:paraId="7C2FC46C">
      <w:pPr>
        <w:spacing w:line="360" w:lineRule="auto"/>
        <w:ind w:firstLine="480" w:firstLineChars="200"/>
        <w:rPr>
          <w:color w:val="auto"/>
          <w:sz w:val="24"/>
          <w:szCs w:val="24"/>
          <w:highlight w:val="none"/>
        </w:rPr>
      </w:pPr>
      <w:r>
        <w:rPr>
          <w:rFonts w:hint="eastAsia"/>
          <w:color w:val="auto"/>
          <w:sz w:val="24"/>
          <w:szCs w:val="24"/>
        </w:rPr>
        <w:t>本项目的烟花爆竹均为危险化学品，仅进行贮存，不生产，贮存烟花爆竹均为固体，</w:t>
      </w:r>
      <w:r>
        <w:rPr>
          <w:rFonts w:hint="eastAsia"/>
          <w:color w:val="auto"/>
          <w:sz w:val="24"/>
          <w:szCs w:val="24"/>
          <w:lang w:val="en-US" w:eastAsia="zh-CN"/>
        </w:rPr>
        <w:t>库区及运输道路</w:t>
      </w:r>
      <w:r>
        <w:rPr>
          <w:rFonts w:hint="eastAsia"/>
          <w:color w:val="auto"/>
          <w:sz w:val="24"/>
          <w:szCs w:val="24"/>
        </w:rPr>
        <w:t>经过地面硬化</w:t>
      </w:r>
      <w:r>
        <w:rPr>
          <w:rFonts w:hint="eastAsia"/>
          <w:color w:val="auto"/>
          <w:sz w:val="24"/>
          <w:szCs w:val="24"/>
          <w:highlight w:val="none"/>
          <w:lang w:eastAsia="zh-CN"/>
        </w:rPr>
        <w:t>，</w:t>
      </w:r>
      <w:r>
        <w:rPr>
          <w:rFonts w:hint="eastAsia"/>
          <w:color w:val="auto"/>
          <w:sz w:val="24"/>
          <w:szCs w:val="24"/>
          <w:highlight w:val="none"/>
        </w:rPr>
        <w:t>危险废物暂存间</w:t>
      </w:r>
      <w:r>
        <w:rPr>
          <w:rFonts w:hint="eastAsia"/>
          <w:color w:val="auto"/>
          <w:sz w:val="24"/>
          <w:szCs w:val="24"/>
          <w:highlight w:val="none"/>
          <w:lang w:eastAsia="zh-CN"/>
        </w:rPr>
        <w:t>、</w:t>
      </w:r>
      <w:r>
        <w:rPr>
          <w:rFonts w:hint="eastAsia"/>
          <w:color w:val="auto"/>
          <w:sz w:val="24"/>
          <w:szCs w:val="24"/>
          <w:highlight w:val="none"/>
          <w:lang w:val="en-US" w:eastAsia="zh-CN"/>
        </w:rPr>
        <w:t>事故池</w:t>
      </w:r>
      <w:r>
        <w:rPr>
          <w:rFonts w:hint="eastAsia"/>
          <w:color w:val="auto"/>
          <w:sz w:val="24"/>
          <w:szCs w:val="24"/>
          <w:highlight w:val="none"/>
        </w:rPr>
        <w:t>地面及裙脚进行重点防渗，渗透系数≤1×10</w:t>
      </w:r>
      <w:r>
        <w:rPr>
          <w:rFonts w:hint="eastAsia"/>
          <w:color w:val="auto"/>
          <w:sz w:val="24"/>
          <w:szCs w:val="24"/>
          <w:highlight w:val="none"/>
          <w:vertAlign w:val="superscript"/>
        </w:rPr>
        <w:t>-10</w:t>
      </w:r>
      <w:r>
        <w:rPr>
          <w:rFonts w:hint="eastAsia"/>
          <w:color w:val="auto"/>
          <w:sz w:val="24"/>
          <w:szCs w:val="24"/>
          <w:highlight w:val="none"/>
        </w:rPr>
        <w:t>cm/s</w:t>
      </w:r>
      <w:r>
        <w:rPr>
          <w:rFonts w:hint="eastAsia"/>
          <w:color w:val="auto"/>
          <w:sz w:val="24"/>
          <w:szCs w:val="24"/>
          <w:highlight w:val="none"/>
          <w:lang w:eastAsia="zh-CN"/>
        </w:rPr>
        <w:t>，</w:t>
      </w:r>
      <w:r>
        <w:rPr>
          <w:rFonts w:hint="eastAsia"/>
          <w:color w:val="auto"/>
          <w:sz w:val="24"/>
          <w:szCs w:val="24"/>
          <w:highlight w:val="none"/>
          <w:lang w:val="en-US" w:eastAsia="zh-CN"/>
        </w:rPr>
        <w:t>如发生事故时，产生的事故废水排入事故池，事故池容积</w:t>
      </w:r>
      <w:r>
        <w:rPr>
          <w:rFonts w:hint="eastAsia"/>
          <w:color w:val="auto"/>
          <w:sz w:val="24"/>
          <w:szCs w:val="24"/>
          <w:highlight w:val="none"/>
        </w:rPr>
        <w:t>可满足项目最严重事故状态下的污水收集要求，污水可做到达标合法排放</w:t>
      </w:r>
      <w:r>
        <w:rPr>
          <w:rFonts w:hint="eastAsia"/>
          <w:color w:val="auto"/>
          <w:sz w:val="24"/>
          <w:szCs w:val="24"/>
          <w:highlight w:val="none"/>
          <w:lang w:eastAsia="zh-CN"/>
        </w:rPr>
        <w:t>，</w:t>
      </w:r>
      <w:r>
        <w:rPr>
          <w:rFonts w:hint="eastAsia"/>
          <w:color w:val="auto"/>
          <w:sz w:val="24"/>
          <w:szCs w:val="24"/>
          <w:highlight w:val="none"/>
        </w:rPr>
        <w:t>对地下水基本无影响。</w:t>
      </w:r>
    </w:p>
    <w:p w14:paraId="064FF8E7">
      <w:pPr>
        <w:numPr>
          <w:ilvl w:val="0"/>
          <w:numId w:val="8"/>
        </w:numPr>
        <w:spacing w:line="360" w:lineRule="auto"/>
        <w:ind w:firstLine="482" w:firstLineChars="200"/>
        <w:rPr>
          <w:b/>
          <w:bCs/>
          <w:color w:val="auto"/>
          <w:sz w:val="24"/>
          <w:szCs w:val="24"/>
        </w:rPr>
      </w:pPr>
      <w:bookmarkStart w:id="70" w:name="_Toc29965"/>
      <w:bookmarkStart w:id="71" w:name="_Toc29400"/>
      <w:r>
        <w:rPr>
          <w:b/>
          <w:bCs/>
          <w:color w:val="auto"/>
          <w:sz w:val="24"/>
          <w:szCs w:val="24"/>
        </w:rPr>
        <w:t>环境风险措施</w:t>
      </w:r>
      <w:bookmarkEnd w:id="70"/>
      <w:bookmarkEnd w:id="71"/>
    </w:p>
    <w:p w14:paraId="1D2043F7">
      <w:pPr>
        <w:pStyle w:val="30"/>
        <w:jc w:val="both"/>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1、运输过程中的事故风险防范措施</w:t>
      </w:r>
    </w:p>
    <w:p w14:paraId="7C5700B7">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（1）烟花爆竹运输车辆应采用带有防火罩的汽车运输，运输道路的主干道纵坡不宜大于6%，车辆在A、C级建筑物门前装卸作业时，应打开相应的安全出口，机动车应熄火平稳停靠在仓库门前2.5m以外。</w:t>
      </w:r>
    </w:p>
    <w:p w14:paraId="56671583">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（2）物品装运应做到定人、定车</w:t>
      </w:r>
      <w:r>
        <w:rPr>
          <w:rFonts w:hint="eastAsia" w:ascii="Times New Roman" w:hAnsi="Times New Roman" w:eastAsia="宋体" w:cs="Times New Roman"/>
          <w:color w:val="auto"/>
          <w:kern w:val="2"/>
          <w:sz w:val="24"/>
          <w:szCs w:val="24"/>
          <w:highlight w:val="none"/>
          <w:lang w:val="en-US" w:eastAsia="zh-CN" w:bidi="ar-SA"/>
        </w:rPr>
        <w:t>，随车携带《烟花爆竹道路运输许可证》。定人就是装卸烟花爆竹成品进入库房定员，不应有无关人员靠近。定车就是要把装运的车辆相对</w:t>
      </w:r>
      <w:r>
        <w:rPr>
          <w:rFonts w:hint="eastAsia" w:ascii="Times New Roman" w:hAnsi="Times New Roman" w:eastAsia="宋体" w:cs="Times New Roman"/>
          <w:color w:val="auto"/>
          <w:kern w:val="2"/>
          <w:sz w:val="24"/>
          <w:szCs w:val="24"/>
          <w:lang w:val="en-US" w:eastAsia="zh-CN" w:bidi="ar-SA"/>
        </w:rPr>
        <w:t>固定，专车专用。担负长途运输烟花爆竹等的汽车，途中不得停车住宿，如果途中因气候恶劣、运输工具严重故障等原因不能按《烟花爆竹道路运输许可证》准许时间内达到目的地时，必须在准运时间内途中向所在地（市、区）公安报告，由公安机关指定临时停靠站或暂存库，并凭《烟花爆竹道路运输许可证》到当地公安机关签到延期证明。</w:t>
      </w:r>
    </w:p>
    <w:p w14:paraId="0AE496ED">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（3）装载烟花爆竹的车厢不得载人，运输车辆限速行驶，途中经停必须有专人看守。</w:t>
      </w:r>
    </w:p>
    <w:p w14:paraId="6F86E253">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（4）要选择气候较好的时间运输烟花爆竹，以防遇险；如中途遇暴风雨或雷电时，要将车辆停在远离建筑物的空旷地方。</w:t>
      </w:r>
    </w:p>
    <w:p w14:paraId="42BC7582">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5）在烟花爆竹运输过程中，一旦发生意外，在采取应急处理的同时，迅速报告公安机关和环保等有关部门，疏散群众，防止事态进一步扩大，并积极协助前来救助的公安交通和消防人员抢救伤者和物资，使损失降低到最小范围。</w:t>
      </w:r>
    </w:p>
    <w:p w14:paraId="773E5A51">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6）禁止运输烟花爆竹的车辆在集镇、闹市、人员集中的地方、交叉路口桥梁上、下或火源附近停放。当车辆经过铁路道口时，应注意铁路信号和加强观察，遇有火车通过或即将通过时，车辆应停放在停车线以外或至少距铁路路基5m以外，严禁抢道行驶。</w:t>
      </w:r>
    </w:p>
    <w:p w14:paraId="3DD6F1A1">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7）在暴雨和雷电等恶劣天气情况下，不准装货出入库，运输途中遇风沙大雾气能见度在10m以内时，应停止行驶。遇暴雷天气时，应将运输车停放在空旷地区，并距人口稠密区边缘不少于250m，距高大树林（木）不少于200m，除押运员留守外，其他人员撤至200m外。</w:t>
      </w:r>
    </w:p>
    <w:p w14:paraId="0FA7A0B7">
      <w:pPr>
        <w:pStyle w:val="3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8）此外，为保证运输的安全，应注意驾驶员应由熟悉危险化学品性质，具有三年以上安全驾驶经验的司机驾驶。车身必须符合装载危险化学品的各项要求，被装运的烟花爆竹必须在其外包装的明显部位按《危险货物包装标志》（GB190-2009）规定的危险物品标志，包装标志要粘牢固、正确，以便一旦发生问题，可以进行多种防护。出车前要对车辆各系统进行检查，严禁带故障出车，车上要有危险标志，配备灭火器、报警设备，修车工具要齐全，尾气管防火帽。烟花爆竹采购进货由厂方承运，厂区自备配送车，为用户单位配送运输服务。白天行车时速不应超过40km；雷雨、夜间或雾天时尽量不出车，如必须出车，速度不得超过20km，并要开灯行驶。运输过程与前车车距不应小于50m，上下坡时不应小于300m。尤其在乡镇道路路况较差情况下更应注意时速和车距。行车过程中不准在车上开启烟花爆竹，也不准进入加油站加油，驾驶室内严禁吸烟。在雪冻道路上行驶时，必须采取防滑措施，加挂防滑链，夜间行车，车辆前后要打开有标志危险的信号灯。出车前要对车辆各系统进行检查，严禁带故障出车。</w:t>
      </w:r>
    </w:p>
    <w:p w14:paraId="60153968">
      <w:pPr>
        <w:pStyle w:val="32"/>
        <w:rPr>
          <w:rFonts w:hint="eastAsia"/>
          <w:b/>
          <w:bCs/>
          <w:color w:val="auto"/>
          <w:sz w:val="24"/>
          <w:szCs w:val="24"/>
          <w:lang w:val="en-US" w:eastAsia="zh-CN"/>
        </w:rPr>
      </w:pPr>
      <w:r>
        <w:rPr>
          <w:rFonts w:hint="eastAsia"/>
          <w:b/>
          <w:bCs/>
          <w:color w:val="auto"/>
          <w:sz w:val="24"/>
          <w:szCs w:val="24"/>
          <w:lang w:val="en-US" w:eastAsia="zh-CN"/>
        </w:rPr>
        <w:t>2、装卸过程中的事故风险防范措施</w:t>
      </w:r>
    </w:p>
    <w:p w14:paraId="78C7DB7E">
      <w:pPr>
        <w:pStyle w:val="32"/>
        <w:rPr>
          <w:rFonts w:hint="eastAsia"/>
          <w:color w:val="auto"/>
          <w:sz w:val="24"/>
          <w:szCs w:val="24"/>
          <w:lang w:val="en-US" w:eastAsia="zh-CN"/>
        </w:rPr>
      </w:pPr>
      <w:r>
        <w:rPr>
          <w:rFonts w:hint="eastAsia"/>
          <w:color w:val="auto"/>
          <w:sz w:val="24"/>
          <w:szCs w:val="24"/>
          <w:lang w:val="en-US" w:eastAsia="zh-CN"/>
        </w:rPr>
        <w:t>（1）装卸作业宜在白天进行，夜间作业应有足够的照明。天气条件恶劣时，如遇雷雨、强风时应停止作业。</w:t>
      </w:r>
    </w:p>
    <w:p w14:paraId="7669A6CB">
      <w:pPr>
        <w:pStyle w:val="32"/>
        <w:rPr>
          <w:rFonts w:hint="eastAsia"/>
          <w:color w:val="auto"/>
          <w:sz w:val="24"/>
          <w:szCs w:val="24"/>
          <w:lang w:val="en-US" w:eastAsia="zh-CN"/>
        </w:rPr>
      </w:pPr>
      <w:r>
        <w:rPr>
          <w:rFonts w:hint="eastAsia"/>
          <w:color w:val="auto"/>
          <w:sz w:val="24"/>
          <w:szCs w:val="24"/>
          <w:lang w:val="en-US" w:eastAsia="zh-CN"/>
        </w:rPr>
        <w:t>（2）人工搬运时一人一次只允许搬一件，如采用专用手推车转运时一次只允许转运五件，并有防止坠落的措施。作业时应注意轻取轻放，稳步行走，防止碰撞或掉箱，严禁拖拽、翻滚、抛送、摔放、撞击、敲打、脚踏、坐卧、震动、倒置包装件，严禁相互在手中直接传递包装件，注意作业过程中的防雨、防晒。</w:t>
      </w:r>
    </w:p>
    <w:p w14:paraId="37DC6AD3">
      <w:pPr>
        <w:pStyle w:val="32"/>
        <w:rPr>
          <w:rFonts w:hint="eastAsia"/>
          <w:color w:val="auto"/>
          <w:sz w:val="24"/>
          <w:szCs w:val="24"/>
          <w:lang w:val="en-US" w:eastAsia="zh-CN"/>
        </w:rPr>
      </w:pPr>
      <w:r>
        <w:rPr>
          <w:rFonts w:hint="eastAsia"/>
          <w:color w:val="auto"/>
          <w:sz w:val="24"/>
          <w:szCs w:val="24"/>
          <w:lang w:val="en-US" w:eastAsia="zh-CN"/>
        </w:rPr>
        <w:t>（3）应在距仓库门不小于2.5m处进行装卸作业，严禁车辆抵近库门装卸货物。仓库装卸平台应有防止车辆碰撞的措施。</w:t>
      </w:r>
    </w:p>
    <w:p w14:paraId="6A81914B">
      <w:pPr>
        <w:pStyle w:val="32"/>
        <w:rPr>
          <w:rFonts w:hint="eastAsia"/>
          <w:color w:val="auto"/>
          <w:sz w:val="24"/>
          <w:szCs w:val="24"/>
          <w:lang w:val="en-US" w:eastAsia="zh-CN"/>
        </w:rPr>
      </w:pPr>
      <w:r>
        <w:rPr>
          <w:rFonts w:hint="eastAsia"/>
          <w:color w:val="auto"/>
          <w:sz w:val="24"/>
          <w:szCs w:val="24"/>
          <w:lang w:val="en-US" w:eastAsia="zh-CN"/>
        </w:rPr>
        <w:t>（4）对于装卸同类烟花爆竹应逐车装卸，不得在同一装卸点同时对两车或两车以上进行交叉作业，必须按照“卸货优先、轻车让重车”的原则安排烟花爆竹的装卸工作。</w:t>
      </w:r>
    </w:p>
    <w:p w14:paraId="771056C1">
      <w:pPr>
        <w:pStyle w:val="32"/>
        <w:rPr>
          <w:rFonts w:hint="eastAsia"/>
          <w:color w:val="auto"/>
          <w:sz w:val="24"/>
          <w:szCs w:val="24"/>
          <w:lang w:val="en-US" w:eastAsia="zh-CN"/>
        </w:rPr>
      </w:pPr>
      <w:r>
        <w:rPr>
          <w:rFonts w:hint="eastAsia"/>
          <w:color w:val="auto"/>
          <w:sz w:val="24"/>
          <w:szCs w:val="24"/>
          <w:lang w:val="en-US" w:eastAsia="zh-CN"/>
        </w:rPr>
        <w:t>（5）当装卸点有车辆正在作业时，待装卸的车辆应停放在距装卸点 30m 外或在防护土堤的保护范围内。</w:t>
      </w:r>
    </w:p>
    <w:p w14:paraId="36AC9ECC">
      <w:pPr>
        <w:pStyle w:val="32"/>
        <w:rPr>
          <w:rFonts w:hint="eastAsia"/>
          <w:color w:val="auto"/>
          <w:sz w:val="24"/>
          <w:szCs w:val="24"/>
          <w:lang w:val="en-US" w:eastAsia="zh-CN"/>
        </w:rPr>
      </w:pPr>
      <w:r>
        <w:rPr>
          <w:rFonts w:hint="eastAsia"/>
          <w:color w:val="auto"/>
          <w:sz w:val="24"/>
          <w:szCs w:val="24"/>
          <w:lang w:val="en-US" w:eastAsia="zh-CN"/>
        </w:rPr>
        <w:t>（6）装车时，烟花爆竹装量不得超过车辆规定的装载量，不得倒置或侧放包装箱。普通汽车（已采取了防盗、防火措施的车辆）装卸烟花爆竹时，装箱高度要低于车厢边帮的1/3，烟花爆竹纸箱高度不宜超过五个箱高且超出边帮的高度不应超过包装箱高度的1/3，车厢内不应留有空隙，应采取防止箱体移动产生碰撞的措施。检查无误后盖好篷布，并将其捆绑牢固，再关锁好后车门。</w:t>
      </w:r>
    </w:p>
    <w:p w14:paraId="44B3A806">
      <w:pPr>
        <w:pStyle w:val="32"/>
        <w:rPr>
          <w:rFonts w:hint="eastAsia"/>
          <w:color w:val="auto"/>
          <w:sz w:val="24"/>
          <w:szCs w:val="24"/>
          <w:lang w:val="en-US" w:eastAsia="zh-CN"/>
        </w:rPr>
      </w:pPr>
      <w:r>
        <w:rPr>
          <w:rFonts w:hint="eastAsia"/>
          <w:color w:val="auto"/>
          <w:sz w:val="24"/>
          <w:szCs w:val="24"/>
          <w:lang w:val="en-US" w:eastAsia="zh-CN"/>
        </w:rPr>
        <w:t>（7）在装卸现场设置警戒，禁止无关人员进入。</w:t>
      </w:r>
    </w:p>
    <w:p w14:paraId="603EDF6F">
      <w:pPr>
        <w:pStyle w:val="32"/>
        <w:rPr>
          <w:rFonts w:hint="eastAsia"/>
          <w:color w:val="auto"/>
          <w:sz w:val="24"/>
          <w:szCs w:val="24"/>
          <w:lang w:val="en-US" w:eastAsia="zh-CN"/>
        </w:rPr>
      </w:pPr>
      <w:r>
        <w:rPr>
          <w:rFonts w:hint="eastAsia"/>
          <w:color w:val="auto"/>
          <w:sz w:val="24"/>
          <w:szCs w:val="24"/>
          <w:lang w:val="en-US" w:eastAsia="zh-CN"/>
        </w:rPr>
        <w:t>（8）烟花爆竹装、卸完成后，库管员应和押运员共同清点发出或收到货物的数量，按规定履行提货或接货手续。</w:t>
      </w:r>
    </w:p>
    <w:p w14:paraId="5CAA5777">
      <w:pPr>
        <w:pStyle w:val="30"/>
        <w:keepNext w:val="0"/>
        <w:keepLines w:val="0"/>
        <w:pageBreakBefore w:val="0"/>
        <w:numPr>
          <w:ilvl w:val="0"/>
          <w:numId w:val="0"/>
        </w:numPr>
        <w:kinsoku/>
        <w:wordWrap/>
        <w:overflowPunct/>
        <w:topLinePunct w:val="0"/>
        <w:autoSpaceDE/>
        <w:autoSpaceDN/>
        <w:bidi w:val="0"/>
        <w:adjustRightInd/>
        <w:snapToGrid w:val="0"/>
        <w:ind w:firstLine="482" w:firstLineChars="200"/>
        <w:jc w:val="both"/>
        <w:textAlignment w:val="auto"/>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3、</w:t>
      </w:r>
      <w:r>
        <w:rPr>
          <w:rFonts w:hint="eastAsia" w:ascii="Times New Roman" w:hAnsi="Times New Roman" w:eastAsia="宋体" w:cs="Times New Roman"/>
          <w:b/>
          <w:bCs/>
          <w:color w:val="auto"/>
          <w:sz w:val="24"/>
          <w:szCs w:val="24"/>
          <w:highlight w:val="none"/>
        </w:rPr>
        <w:t>仓库贮存管理风险防范措施</w:t>
      </w:r>
    </w:p>
    <w:p w14:paraId="0B63D6A2">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项目区按照《建筑灭火器配置设计规范》（GB50140-20</w:t>
      </w:r>
      <w:r>
        <w:rPr>
          <w:rFonts w:hint="eastAsia"/>
          <w:color w:val="auto"/>
          <w:sz w:val="24"/>
          <w:szCs w:val="24"/>
          <w:highlight w:val="none"/>
          <w:lang w:val="en-US" w:eastAsia="zh-CN"/>
        </w:rPr>
        <w:t>05</w:t>
      </w:r>
      <w:r>
        <w:rPr>
          <w:rFonts w:hint="eastAsia"/>
          <w:color w:val="auto"/>
          <w:sz w:val="24"/>
          <w:szCs w:val="24"/>
          <w:highlight w:val="none"/>
        </w:rPr>
        <w:t>）的要求设置消防设施及灭火器材，灭火器材应放在明显、易取的地方，应定期对消防设施及灭火器材进行检查、维护。</w:t>
      </w:r>
    </w:p>
    <w:p w14:paraId="4C8D94F6">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项目区杜绝各种非生产性明火存在。</w:t>
      </w:r>
    </w:p>
    <w:p w14:paraId="7A6F0E43">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eastAsia="宋体"/>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按规定库房设置禁烟、禁火、安全标志</w:t>
      </w:r>
      <w:r>
        <w:rPr>
          <w:rFonts w:hint="eastAsia"/>
          <w:color w:val="auto"/>
          <w:sz w:val="24"/>
          <w:szCs w:val="24"/>
          <w:highlight w:val="none"/>
          <w:lang w:eastAsia="zh-CN"/>
        </w:rPr>
        <w:t>、</w:t>
      </w:r>
      <w:r>
        <w:rPr>
          <w:rFonts w:hint="eastAsia"/>
          <w:color w:val="auto"/>
          <w:sz w:val="24"/>
          <w:szCs w:val="24"/>
          <w:highlight w:val="none"/>
          <w:lang w:val="en-US" w:eastAsia="zh-CN"/>
        </w:rPr>
        <w:t>消防及</w:t>
      </w:r>
      <w:r>
        <w:rPr>
          <w:rFonts w:hint="eastAsia"/>
          <w:color w:val="auto"/>
          <w:sz w:val="24"/>
          <w:szCs w:val="24"/>
          <w:highlight w:val="none"/>
        </w:rPr>
        <w:t>应急疏散标志</w:t>
      </w:r>
      <w:r>
        <w:rPr>
          <w:rFonts w:hint="eastAsia"/>
          <w:color w:val="auto"/>
          <w:sz w:val="24"/>
          <w:szCs w:val="24"/>
          <w:highlight w:val="none"/>
          <w:lang w:eastAsia="zh-CN"/>
        </w:rPr>
        <w:t>。</w:t>
      </w:r>
    </w:p>
    <w:p w14:paraId="19536900">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烟花爆竹仓库的建筑危险等级为1.3级</w:t>
      </w:r>
      <w:r>
        <w:rPr>
          <w:rFonts w:hint="eastAsia"/>
          <w:color w:val="auto"/>
          <w:sz w:val="24"/>
          <w:szCs w:val="24"/>
          <w:highlight w:val="none"/>
          <w:lang w:val="en-US" w:eastAsia="zh-CN"/>
        </w:rPr>
        <w:t>和1.1级</w:t>
      </w:r>
      <w:r>
        <w:rPr>
          <w:rFonts w:hint="eastAsia"/>
          <w:color w:val="auto"/>
          <w:sz w:val="24"/>
          <w:szCs w:val="24"/>
          <w:highlight w:val="none"/>
        </w:rPr>
        <w:t>。需满足《烟花爆竹工程设计安全规范》(GB50161-20</w:t>
      </w:r>
      <w:r>
        <w:rPr>
          <w:rFonts w:hint="eastAsia"/>
          <w:color w:val="auto"/>
          <w:sz w:val="24"/>
          <w:szCs w:val="24"/>
          <w:highlight w:val="none"/>
          <w:lang w:val="en-US" w:eastAsia="zh-CN"/>
        </w:rPr>
        <w:t>22</w:t>
      </w:r>
      <w:r>
        <w:rPr>
          <w:rFonts w:hint="eastAsia"/>
          <w:color w:val="auto"/>
          <w:sz w:val="24"/>
          <w:szCs w:val="24"/>
          <w:highlight w:val="none"/>
        </w:rPr>
        <w:t>)及《建筑设计防火规范》(GB50016-2014)的相关规定中相关要求。</w:t>
      </w:r>
    </w:p>
    <w:p w14:paraId="7877F952">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eastAsia"/>
          <w:b/>
          <w:bCs/>
          <w:color w:val="auto"/>
          <w:sz w:val="24"/>
          <w:szCs w:val="24"/>
          <w:highlight w:val="none"/>
        </w:rPr>
      </w:pPr>
      <w:r>
        <w:rPr>
          <w:rFonts w:hint="eastAsia"/>
          <w:b/>
          <w:bCs/>
          <w:color w:val="auto"/>
          <w:sz w:val="24"/>
          <w:szCs w:val="24"/>
          <w:highlight w:val="none"/>
          <w:lang w:val="en-US" w:eastAsia="zh-CN"/>
        </w:rPr>
        <w:t>4、</w:t>
      </w:r>
      <w:r>
        <w:rPr>
          <w:rFonts w:hint="eastAsia"/>
          <w:b/>
          <w:bCs/>
          <w:color w:val="auto"/>
          <w:sz w:val="24"/>
          <w:szCs w:val="24"/>
          <w:highlight w:val="none"/>
        </w:rPr>
        <w:t>防雷及防静电措施</w:t>
      </w:r>
    </w:p>
    <w:p w14:paraId="5B3936C3">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防雷设计应符合《建筑物防雷设计规范》现行版本的要求。</w:t>
      </w:r>
    </w:p>
    <w:p w14:paraId="15B1B7AD">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施工方应按照相关规范的要求及设计中提出的要求对防雷接地设施进行施工安装，并做好检测记录。装置运行过程，应按规定对防雷接地设施进行定期检测，对损坏或不符合要求的防雷接地设施应进行更换。</w:t>
      </w:r>
    </w:p>
    <w:p w14:paraId="1FDE0567">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贮存烟花爆竹的仓库，均应采取静电接地措施。每组专设的静电接地电阻值，宜小于10欧姆。</w:t>
      </w:r>
    </w:p>
    <w:p w14:paraId="504F406D">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highlight w:val="yellow"/>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静电接地设施安装完毕后，必须按规范要求对其进行测试，以检测其是否能满足规范规定的电阻值的要求。运行中，也应加强对静电接地设施的定期检测。</w:t>
      </w:r>
    </w:p>
    <w:p w14:paraId="13BAFC8E">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eastAsia"/>
          <w:b/>
          <w:bCs/>
          <w:color w:val="auto"/>
          <w:sz w:val="24"/>
          <w:szCs w:val="24"/>
        </w:rPr>
      </w:pPr>
      <w:r>
        <w:rPr>
          <w:rFonts w:hint="eastAsia"/>
          <w:b/>
          <w:bCs/>
          <w:color w:val="auto"/>
          <w:sz w:val="24"/>
          <w:szCs w:val="24"/>
          <w:lang w:val="en-US" w:eastAsia="zh-CN"/>
        </w:rPr>
        <w:t>5、</w:t>
      </w:r>
      <w:r>
        <w:rPr>
          <w:rFonts w:hint="eastAsia"/>
          <w:b/>
          <w:bCs/>
          <w:color w:val="auto"/>
          <w:sz w:val="24"/>
          <w:szCs w:val="24"/>
        </w:rPr>
        <w:t>消防设施</w:t>
      </w:r>
      <w:r>
        <w:rPr>
          <w:rFonts w:hint="eastAsia"/>
          <w:b/>
          <w:bCs/>
          <w:color w:val="auto"/>
          <w:sz w:val="24"/>
          <w:szCs w:val="24"/>
          <w:lang w:val="en-US" w:eastAsia="zh-CN"/>
        </w:rPr>
        <w:t>管理</w:t>
      </w:r>
      <w:r>
        <w:rPr>
          <w:rFonts w:hint="eastAsia"/>
          <w:b/>
          <w:bCs/>
          <w:color w:val="auto"/>
          <w:sz w:val="24"/>
          <w:szCs w:val="24"/>
        </w:rPr>
        <w:t>对策措施</w:t>
      </w:r>
    </w:p>
    <w:p w14:paraId="28A0A5C4">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项目配置消防栓、灭火器、报警器、消防水带等设施</w:t>
      </w:r>
      <w:r>
        <w:rPr>
          <w:rFonts w:hint="eastAsia"/>
          <w:color w:val="auto"/>
          <w:sz w:val="24"/>
          <w:szCs w:val="24"/>
        </w:rPr>
        <w:t>要经常检修，保证其性能良好和使用的可靠性。</w:t>
      </w:r>
    </w:p>
    <w:p w14:paraId="2C57AB7C">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eastAsia"/>
          <w:b/>
          <w:bCs/>
          <w:color w:val="auto"/>
          <w:sz w:val="24"/>
          <w:szCs w:val="24"/>
        </w:rPr>
      </w:pPr>
      <w:r>
        <w:rPr>
          <w:rFonts w:hint="eastAsia"/>
          <w:b/>
          <w:bCs/>
          <w:color w:val="auto"/>
          <w:sz w:val="24"/>
          <w:szCs w:val="24"/>
          <w:lang w:val="en-US" w:eastAsia="zh-CN"/>
        </w:rPr>
        <w:t>6、</w:t>
      </w:r>
      <w:r>
        <w:rPr>
          <w:rFonts w:hint="eastAsia"/>
          <w:b/>
          <w:bCs/>
          <w:color w:val="auto"/>
          <w:sz w:val="24"/>
          <w:szCs w:val="24"/>
        </w:rPr>
        <w:t>加强“施工”管理</w:t>
      </w:r>
    </w:p>
    <w:p w14:paraId="4C833023">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在主体工程施工的同时，必须同时进行安全、工业卫生、环保、消防设施的施工，确保配套设施完善。</w:t>
      </w:r>
    </w:p>
    <w:p w14:paraId="54C5FD86">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rPr>
        <w:t>在施工过程中，应有人负责安全、卫生、环保、消防设施的施工监督检查，及时纠正施工中的缺陷。</w:t>
      </w:r>
    </w:p>
    <w:p w14:paraId="7929C4F2">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rPr>
        <w:t>竣工验收工作应有安全、卫生、环保、消防设施的组织参加。凡安全、卫生、环保、消防设施没有与主体工程同时建成，经考核达不到原设计要求的，均不能验收。</w:t>
      </w:r>
    </w:p>
    <w:p w14:paraId="28263F70">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eastAsia"/>
          <w:b/>
          <w:bCs/>
          <w:color w:val="auto"/>
          <w:sz w:val="24"/>
          <w:szCs w:val="24"/>
        </w:rPr>
      </w:pPr>
      <w:r>
        <w:rPr>
          <w:rFonts w:hint="eastAsia"/>
          <w:b/>
          <w:bCs/>
          <w:color w:val="auto"/>
          <w:sz w:val="24"/>
          <w:szCs w:val="24"/>
          <w:lang w:val="en-US" w:eastAsia="zh-CN"/>
        </w:rPr>
        <w:t>7、</w:t>
      </w:r>
      <w:r>
        <w:rPr>
          <w:rFonts w:hint="eastAsia"/>
          <w:b/>
          <w:bCs/>
          <w:color w:val="auto"/>
          <w:sz w:val="24"/>
          <w:szCs w:val="24"/>
        </w:rPr>
        <w:t>重大事故应急对策措施</w:t>
      </w:r>
    </w:p>
    <w:p w14:paraId="3D53C4B3">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rPr>
        <w:t>企业应制定重大事故应急措施预案，并定期组织操作人员学习、熟悉事故预案，提高企业职工的事故应急处理能力。同时加强对企业周围居民的安全教育，提高他们自我防护意识。适当时，应组织事故演习，以检验事故预案的可行性和可操作性。</w:t>
      </w:r>
    </w:p>
    <w:p w14:paraId="16FF49B9">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eastAsia"/>
          <w:b/>
          <w:bCs/>
          <w:color w:val="auto"/>
          <w:sz w:val="24"/>
          <w:szCs w:val="24"/>
        </w:rPr>
      </w:pPr>
      <w:r>
        <w:rPr>
          <w:rFonts w:hint="eastAsia"/>
          <w:b/>
          <w:bCs/>
          <w:color w:val="auto"/>
          <w:sz w:val="24"/>
          <w:szCs w:val="24"/>
          <w:lang w:val="en-US" w:eastAsia="zh-CN"/>
        </w:rPr>
        <w:t>8、</w:t>
      </w:r>
      <w:r>
        <w:rPr>
          <w:rFonts w:hint="eastAsia"/>
          <w:b/>
          <w:bCs/>
          <w:color w:val="auto"/>
          <w:sz w:val="24"/>
          <w:szCs w:val="24"/>
        </w:rPr>
        <w:t>烟花爆竹储存的技术要求措施</w:t>
      </w:r>
    </w:p>
    <w:p w14:paraId="77587263">
      <w:pPr>
        <w:pStyle w:val="32"/>
        <w:keepNext w:val="0"/>
        <w:keepLines w:val="0"/>
        <w:pageBreakBefore w:val="0"/>
        <w:numPr>
          <w:ilvl w:val="0"/>
          <w:numId w:val="0"/>
        </w:numPr>
        <w:kinsoku/>
        <w:wordWrap/>
        <w:overflowPunct/>
        <w:topLinePunct w:val="0"/>
        <w:autoSpaceDE/>
        <w:autoSpaceDN/>
        <w:bidi w:val="0"/>
        <w:adjustRightInd/>
        <w:snapToGrid w:val="0"/>
        <w:ind w:firstLine="496"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烟花爆竹应储存于阴凉、通风仓间内。远离火种、热源。仓内温度不宜超过30℃。防止阳光直射</w:t>
      </w:r>
      <w:r>
        <w:rPr>
          <w:rFonts w:hint="eastAsia"/>
          <w:color w:val="auto"/>
          <w:sz w:val="24"/>
          <w:szCs w:val="24"/>
          <w:lang w:eastAsia="zh-CN"/>
        </w:rPr>
        <w:t>，</w:t>
      </w:r>
      <w:r>
        <w:rPr>
          <w:rFonts w:hint="eastAsia"/>
          <w:color w:val="auto"/>
          <w:sz w:val="24"/>
          <w:szCs w:val="24"/>
        </w:rPr>
        <w:t>保持容器密封</w:t>
      </w:r>
      <w:r>
        <w:rPr>
          <w:rFonts w:hint="eastAsia"/>
          <w:color w:val="auto"/>
          <w:sz w:val="24"/>
          <w:szCs w:val="24"/>
          <w:lang w:eastAsia="zh-CN"/>
        </w:rPr>
        <w:t>，</w:t>
      </w:r>
      <w:r>
        <w:rPr>
          <w:rFonts w:hint="eastAsia"/>
          <w:color w:val="auto"/>
          <w:sz w:val="24"/>
          <w:szCs w:val="24"/>
        </w:rPr>
        <w:t>应与氧化剂分开存放。储存区内的照明、通风等设施应采用防爆型</w:t>
      </w:r>
      <w:r>
        <w:rPr>
          <w:rFonts w:hint="eastAsia"/>
          <w:color w:val="auto"/>
          <w:sz w:val="24"/>
          <w:szCs w:val="24"/>
          <w:lang w:eastAsia="zh-CN"/>
        </w:rPr>
        <w:t>，</w:t>
      </w:r>
      <w:r>
        <w:rPr>
          <w:rFonts w:hint="eastAsia"/>
          <w:color w:val="auto"/>
          <w:sz w:val="24"/>
          <w:szCs w:val="24"/>
        </w:rPr>
        <w:t>要有防火防爆技术措施。禁止使用易产生火花的机械设备和工具。</w:t>
      </w:r>
    </w:p>
    <w:p w14:paraId="710527C5">
      <w:pPr>
        <w:pStyle w:val="32"/>
        <w:keepNext w:val="0"/>
        <w:keepLines w:val="0"/>
        <w:pageBreakBefore w:val="0"/>
        <w:numPr>
          <w:ilvl w:val="0"/>
          <w:numId w:val="0"/>
        </w:numPr>
        <w:kinsoku/>
        <w:wordWrap/>
        <w:overflowPunct/>
        <w:topLinePunct w:val="0"/>
        <w:autoSpaceDE/>
        <w:autoSpaceDN/>
        <w:bidi w:val="0"/>
        <w:adjustRightInd/>
        <w:snapToGrid w:val="0"/>
        <w:ind w:firstLine="498" w:firstLineChars="200"/>
        <w:textAlignment w:val="auto"/>
        <w:rPr>
          <w:rFonts w:hint="default" w:eastAsia="宋体"/>
          <w:b/>
          <w:bCs/>
          <w:color w:val="auto"/>
          <w:sz w:val="24"/>
          <w:szCs w:val="24"/>
          <w:lang w:val="en-US" w:eastAsia="zh-CN"/>
        </w:rPr>
      </w:pPr>
      <w:r>
        <w:rPr>
          <w:rFonts w:hint="eastAsia"/>
          <w:b/>
          <w:bCs/>
          <w:color w:val="auto"/>
          <w:sz w:val="24"/>
          <w:szCs w:val="24"/>
          <w:lang w:val="en-US" w:eastAsia="zh-CN"/>
        </w:rPr>
        <w:t>9、火灾爆炸预防措施</w:t>
      </w:r>
    </w:p>
    <w:p w14:paraId="39D73A4F">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bookmarkStart w:id="72" w:name="_Toc31738"/>
      <w:bookmarkStart w:id="73" w:name="_Toc25773"/>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1</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严格执行火种管理规定，严禁携带火种进入仓库区，禁止在仓库区吸烟等；</w:t>
      </w:r>
    </w:p>
    <w:p w14:paraId="18EFCBBC">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2</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在有爆炸和火灾危险的环境内，应选用防爆的电气设施，电线、电缆应选用阻燃型，严禁使用黑色金属工具：</w:t>
      </w:r>
    </w:p>
    <w:p w14:paraId="4846E242">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3</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定期检查供电设施、防雷设施、防静电设施，保证设施完好。加强导静电设施的巡视检查及危险工房相对湿度监测，防止静电积聚：</w:t>
      </w:r>
    </w:p>
    <w:p w14:paraId="2BD494BA">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4</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定期检查供电线路完好情况，及时清除线路周围树障，保证供电线路正常运行：</w:t>
      </w:r>
    </w:p>
    <w:p w14:paraId="3C2FDE54">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5</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干燥季节危险品仓库周围不得有杂草：</w:t>
      </w:r>
    </w:p>
    <w:p w14:paraId="02B5AC7C">
      <w:pPr>
        <w:spacing w:line="360" w:lineRule="auto"/>
        <w:ind w:firstLine="496" w:firstLineChars="200"/>
        <w:rPr>
          <w:rFonts w:hint="eastAsia" w:ascii="Times New Roman" w:hAnsi="Times New Roman" w:eastAsia="宋体"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6</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zh-CN" w:eastAsia="zh-CN" w:bidi="ar-SA"/>
        </w:rPr>
        <w:t>进入仓库区的车辆应熄火，进入仓库区人员禁止使用手机，不应穿带有铁钉的工作鞋和易产生静电的工作服：</w:t>
      </w:r>
    </w:p>
    <w:p w14:paraId="49D12176">
      <w:pPr>
        <w:spacing w:line="360" w:lineRule="auto"/>
        <w:ind w:firstLine="496" w:firstLineChars="200"/>
        <w:rPr>
          <w:rFonts w:hint="eastAsia" w:cs="Times New Roman"/>
          <w:color w:val="auto"/>
          <w:spacing w:val="4"/>
          <w:kern w:val="24"/>
          <w:sz w:val="24"/>
          <w:szCs w:val="24"/>
          <w:lang w:val="zh-CN" w:eastAsia="zh-CN" w:bidi="ar-SA"/>
        </w:rPr>
      </w:pPr>
      <w:r>
        <w:rPr>
          <w:rFonts w:hint="eastAsia" w:cs="Times New Roman"/>
          <w:color w:val="auto"/>
          <w:spacing w:val="4"/>
          <w:kern w:val="24"/>
          <w:sz w:val="24"/>
          <w:szCs w:val="24"/>
          <w:lang w:val="zh-CN" w:eastAsia="zh-CN" w:bidi="ar-SA"/>
        </w:rPr>
        <w:t>（</w:t>
      </w:r>
      <w:r>
        <w:rPr>
          <w:rFonts w:hint="eastAsia" w:cs="Times New Roman"/>
          <w:color w:val="auto"/>
          <w:spacing w:val="4"/>
          <w:kern w:val="24"/>
          <w:sz w:val="24"/>
          <w:szCs w:val="24"/>
          <w:lang w:val="en-US" w:eastAsia="zh-CN" w:bidi="ar-SA"/>
        </w:rPr>
        <w:t>7</w:t>
      </w:r>
      <w:r>
        <w:rPr>
          <w:rFonts w:hint="eastAsia"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en-US" w:eastAsia="zh-CN" w:bidi="ar-SA"/>
        </w:rPr>
        <w:t>消防设施齐全，定期检查，</w:t>
      </w:r>
      <w:r>
        <w:rPr>
          <w:rFonts w:hint="eastAsia" w:ascii="Times New Roman" w:hAnsi="Times New Roman" w:eastAsia="宋体" w:cs="Times New Roman"/>
          <w:color w:val="auto"/>
          <w:spacing w:val="4"/>
          <w:kern w:val="24"/>
          <w:sz w:val="24"/>
          <w:szCs w:val="24"/>
          <w:lang w:val="zh-CN" w:eastAsia="zh-CN" w:bidi="ar-SA"/>
        </w:rPr>
        <w:t>保证消防水源充足</w:t>
      </w:r>
      <w:r>
        <w:rPr>
          <w:rFonts w:hint="eastAsia" w:cs="Times New Roman"/>
          <w:color w:val="auto"/>
          <w:spacing w:val="4"/>
          <w:kern w:val="24"/>
          <w:sz w:val="24"/>
          <w:szCs w:val="24"/>
          <w:lang w:val="zh-CN" w:eastAsia="zh-CN" w:bidi="ar-SA"/>
        </w:rPr>
        <w:t>。</w:t>
      </w:r>
    </w:p>
    <w:p w14:paraId="25440F16">
      <w:pPr>
        <w:spacing w:line="360" w:lineRule="auto"/>
        <w:ind w:firstLine="496" w:firstLineChars="200"/>
        <w:rPr>
          <w:color w:val="auto"/>
          <w:szCs w:val="21"/>
        </w:rPr>
      </w:pPr>
      <w:r>
        <w:rPr>
          <w:rFonts w:hint="eastAsia" w:ascii="Times New Roman" w:hAnsi="Times New Roman" w:eastAsia="宋体" w:cs="Times New Roman"/>
          <w:color w:val="auto"/>
          <w:spacing w:val="4"/>
          <w:kern w:val="24"/>
          <w:sz w:val="24"/>
          <w:szCs w:val="24"/>
          <w:lang w:val="zh-CN" w:eastAsia="zh-CN" w:bidi="ar-SA"/>
        </w:rPr>
        <w:t>（</w:t>
      </w:r>
      <w:r>
        <w:rPr>
          <w:rFonts w:hint="eastAsia" w:ascii="Times New Roman" w:hAnsi="Times New Roman" w:eastAsia="宋体" w:cs="Times New Roman"/>
          <w:color w:val="auto"/>
          <w:spacing w:val="4"/>
          <w:kern w:val="24"/>
          <w:sz w:val="24"/>
          <w:szCs w:val="24"/>
          <w:lang w:val="en-US" w:eastAsia="zh-CN" w:bidi="ar-SA"/>
        </w:rPr>
        <w:t>8</w:t>
      </w:r>
      <w:r>
        <w:rPr>
          <w:rFonts w:hint="eastAsia" w:ascii="Times New Roman" w:hAnsi="Times New Roman" w:eastAsia="宋体" w:cs="Times New Roman"/>
          <w:color w:val="auto"/>
          <w:spacing w:val="4"/>
          <w:kern w:val="24"/>
          <w:sz w:val="24"/>
          <w:szCs w:val="24"/>
          <w:lang w:val="zh-CN" w:eastAsia="zh-CN" w:bidi="ar-SA"/>
        </w:rPr>
        <w:t>）若发生火灾爆炸事故，会产生消防废水，消防废水禁止外排，</w:t>
      </w:r>
      <w:r>
        <w:rPr>
          <w:rFonts w:hint="default" w:ascii="Times New Roman" w:hAnsi="Times New Roman" w:eastAsia="宋体" w:cs="Times New Roman"/>
          <w:b w:val="0"/>
          <w:bCs w:val="0"/>
          <w:color w:val="auto"/>
          <w:sz w:val="24"/>
          <w:szCs w:val="24"/>
          <w:lang w:val="en-US" w:eastAsia="zh-CN"/>
        </w:rPr>
        <w:t>项目在地块一</w:t>
      </w:r>
      <w:r>
        <w:rPr>
          <w:rFonts w:hint="eastAsia" w:ascii="Times New Roman" w:hAnsi="Times New Roman" w:eastAsia="宋体" w:cs="Times New Roman"/>
          <w:b w:val="0"/>
          <w:bCs w:val="0"/>
          <w:color w:val="auto"/>
          <w:sz w:val="24"/>
          <w:szCs w:val="24"/>
          <w:lang w:val="en-US" w:eastAsia="zh-CN"/>
        </w:rPr>
        <w:t>西侧</w:t>
      </w:r>
      <w:r>
        <w:rPr>
          <w:rFonts w:hint="default" w:ascii="Times New Roman" w:hAnsi="Times New Roman" w:eastAsia="宋体" w:cs="Times New Roman"/>
          <w:b w:val="0"/>
          <w:bCs w:val="0"/>
          <w:color w:val="auto"/>
          <w:sz w:val="24"/>
          <w:szCs w:val="24"/>
          <w:lang w:val="en-US" w:eastAsia="zh-CN"/>
        </w:rPr>
        <w:t>设置容积为1</w:t>
      </w:r>
      <w:r>
        <w:rPr>
          <w:rFonts w:hint="eastAsia"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lang w:val="en-US" w:eastAsia="zh-CN"/>
        </w:rPr>
        <w:t>0m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的事故池，</w:t>
      </w:r>
      <w:r>
        <w:rPr>
          <w:rFonts w:hint="eastAsia" w:ascii="Times New Roman" w:hAnsi="Times New Roman" w:eastAsia="宋体" w:cs="Times New Roman"/>
          <w:b w:val="0"/>
          <w:bCs w:val="0"/>
          <w:color w:val="auto"/>
          <w:sz w:val="24"/>
          <w:szCs w:val="24"/>
          <w:lang w:val="en-US" w:eastAsia="zh-CN"/>
        </w:rPr>
        <w:t>地块二仓库南侧设</w:t>
      </w:r>
      <w:r>
        <w:rPr>
          <w:rFonts w:hint="default" w:ascii="Times New Roman" w:hAnsi="Times New Roman" w:eastAsia="宋体" w:cs="Times New Roman"/>
          <w:b w:val="0"/>
          <w:bCs w:val="0"/>
          <w:color w:val="auto"/>
          <w:sz w:val="24"/>
          <w:szCs w:val="24"/>
          <w:lang w:val="en-US" w:eastAsia="zh-CN"/>
        </w:rPr>
        <w:t>置容积为1</w:t>
      </w:r>
      <w:r>
        <w:rPr>
          <w:rFonts w:hint="eastAsia"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0m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的事故池，发生事故时产生的事故废水</w:t>
      </w:r>
      <w:r>
        <w:rPr>
          <w:rFonts w:hint="eastAsia" w:ascii="Times New Roman" w:hAnsi="Times New Roman" w:eastAsia="宋体" w:cs="Times New Roman"/>
          <w:b w:val="0"/>
          <w:bCs w:val="0"/>
          <w:color w:val="auto"/>
          <w:sz w:val="24"/>
          <w:szCs w:val="24"/>
          <w:lang w:val="en-US" w:eastAsia="zh-CN"/>
        </w:rPr>
        <w:t>通过</w:t>
      </w:r>
      <w:r>
        <w:rPr>
          <w:rFonts w:hint="default" w:ascii="Times New Roman" w:hAnsi="Times New Roman" w:eastAsia="宋体" w:cs="Times New Roman"/>
          <w:b w:val="0"/>
          <w:bCs w:val="0"/>
          <w:color w:val="auto"/>
          <w:sz w:val="24"/>
          <w:szCs w:val="24"/>
          <w:lang w:val="en-US" w:eastAsia="zh-CN"/>
        </w:rPr>
        <w:t>集水沟</w:t>
      </w:r>
      <w:r>
        <w:rPr>
          <w:rFonts w:hint="eastAsia" w:ascii="Times New Roman" w:hAnsi="Times New Roman" w:eastAsia="宋体" w:cs="Times New Roman"/>
          <w:b w:val="0"/>
          <w:bCs w:val="0"/>
          <w:color w:val="auto"/>
          <w:sz w:val="24"/>
          <w:szCs w:val="24"/>
          <w:lang w:val="en-US" w:eastAsia="zh-CN"/>
        </w:rPr>
        <w:t>进</w:t>
      </w:r>
      <w:r>
        <w:rPr>
          <w:rFonts w:hint="default" w:ascii="Times New Roman" w:hAnsi="Times New Roman" w:eastAsia="宋体" w:cs="Times New Roman"/>
          <w:b w:val="0"/>
          <w:bCs w:val="0"/>
          <w:color w:val="auto"/>
          <w:sz w:val="24"/>
          <w:szCs w:val="24"/>
          <w:lang w:val="en-US" w:eastAsia="zh-CN"/>
        </w:rPr>
        <w:t>入事故池收集事故废水。</w:t>
      </w:r>
      <w:r>
        <w:rPr>
          <w:rFonts w:hint="eastAsia"/>
          <w:color w:val="auto"/>
          <w:sz w:val="24"/>
          <w:szCs w:val="24"/>
        </w:rPr>
        <w:t>事故池禁止设排放阀，池内污水应报当地环保局，经水质检验后确定其处理方法。若应急事故池中污水水质经检验后能达到消防用水要求，可将池内污水经沉淀后返回</w:t>
      </w:r>
      <w:r>
        <w:rPr>
          <w:rFonts w:hint="eastAsia"/>
          <w:color w:val="auto"/>
          <w:sz w:val="24"/>
          <w:szCs w:val="24"/>
          <w:lang w:val="en-US" w:eastAsia="zh-CN"/>
        </w:rPr>
        <w:t>消防</w:t>
      </w:r>
      <w:r>
        <w:rPr>
          <w:rFonts w:hint="eastAsia"/>
          <w:color w:val="auto"/>
          <w:sz w:val="24"/>
          <w:szCs w:val="24"/>
        </w:rPr>
        <w:t>水池，循环利用；若应急事故池中污水水质经检验存在有毒有害物质，则需并委托有资质的单位采用罐车运送至指定地点进行处理，处理达标后方可排放。</w:t>
      </w:r>
    </w:p>
    <w:p w14:paraId="2A458E62">
      <w:pPr>
        <w:spacing w:line="360" w:lineRule="auto"/>
        <w:ind w:firstLine="482" w:firstLineChars="200"/>
        <w:rPr>
          <w:b/>
          <w:bCs/>
          <w:color w:val="auto"/>
          <w:sz w:val="24"/>
          <w:szCs w:val="24"/>
        </w:rPr>
      </w:pPr>
      <w:r>
        <w:rPr>
          <w:rFonts w:hint="eastAsia"/>
          <w:b/>
          <w:bCs/>
          <w:color w:val="auto"/>
          <w:sz w:val="24"/>
          <w:szCs w:val="24"/>
        </w:rPr>
        <w:t>八、</w:t>
      </w:r>
      <w:r>
        <w:rPr>
          <w:b/>
          <w:bCs/>
          <w:color w:val="auto"/>
          <w:sz w:val="24"/>
          <w:szCs w:val="24"/>
        </w:rPr>
        <w:t>突发环境风险事件应急预案</w:t>
      </w:r>
      <w:bookmarkEnd w:id="72"/>
      <w:bookmarkEnd w:id="73"/>
    </w:p>
    <w:p w14:paraId="46CE1800">
      <w:pPr>
        <w:spacing w:line="360" w:lineRule="auto"/>
        <w:ind w:firstLine="480" w:firstLineChars="200"/>
        <w:rPr>
          <w:color w:val="auto"/>
          <w:sz w:val="24"/>
          <w:szCs w:val="24"/>
          <w:highlight w:val="none"/>
        </w:rPr>
      </w:pPr>
      <w:r>
        <w:rPr>
          <w:color w:val="auto"/>
          <w:sz w:val="24"/>
          <w:szCs w:val="24"/>
          <w:highlight w:val="none"/>
        </w:rPr>
        <w:t>针对本项目可能发生的环境风险事故，建设单位应编制合理、可行的项目突发环境风险事件应急预案，并到昆明市生态环境局寻甸分局进行备案。</w:t>
      </w:r>
    </w:p>
    <w:p w14:paraId="4E4AFD3C">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事故处置程序</w:t>
      </w:r>
    </w:p>
    <w:p w14:paraId="35B4A876">
      <w:pPr>
        <w:pStyle w:val="31"/>
        <w:ind w:firstLine="420"/>
        <w:rPr>
          <w:rFonts w:hint="eastAsia" w:eastAsiaTheme="minorEastAsia"/>
          <w:color w:val="auto"/>
          <w:sz w:val="24"/>
          <w:szCs w:val="24"/>
          <w:lang w:eastAsia="zh-CN"/>
        </w:rPr>
      </w:pPr>
      <w:r>
        <w:rPr>
          <w:rFonts w:hint="eastAsia" w:ascii="Times New Roman" w:hAnsi="Times New Roman" w:cs="Times New Roman" w:eastAsiaTheme="minorEastAsia"/>
          <w:color w:val="auto"/>
          <w:sz w:val="24"/>
          <w:szCs w:val="24"/>
        </w:rPr>
        <w:t>项目事故应急预案主要针对生产厂区进行，事故处置的核心是及时报警，正确决策，迅速扑救，需要企业各部门及社会救援相配合，事故处理程序见下图</w:t>
      </w:r>
      <w:r>
        <w:rPr>
          <w:rFonts w:hint="eastAsia" w:ascii="Times New Roman" w:hAnsi="Times New Roman" w:cs="Times New Roman" w:eastAsiaTheme="minorEastAsia"/>
          <w:color w:val="auto"/>
          <w:sz w:val="24"/>
          <w:szCs w:val="24"/>
          <w:lang w:eastAsia="zh-CN"/>
        </w:rPr>
        <w:t>。</w:t>
      </w:r>
    </w:p>
    <w:p w14:paraId="6DE905AF">
      <w:pPr>
        <w:pStyle w:val="31"/>
        <w:ind w:firstLine="480"/>
        <w:rPr>
          <w:rFonts w:ascii="Times New Roman" w:hAnsi="Times New Roman" w:cs="Times New Roman" w:eastAsiaTheme="minorEastAsia"/>
          <w:color w:val="auto"/>
          <w:sz w:val="21"/>
          <w:szCs w:val="21"/>
        </w:rPr>
      </w:pPr>
      <w:r>
        <w:rPr>
          <w:color w:val="auto"/>
        </w:rPr>
        <w:drawing>
          <wp:inline distT="0" distB="0" distL="114300" distR="114300">
            <wp:extent cx="5073650" cy="4692650"/>
            <wp:effectExtent l="0" t="0" r="0" b="0"/>
            <wp:docPr id="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
                    <pic:cNvPicPr>
                      <a:picLocks noChangeAspect="1"/>
                    </pic:cNvPicPr>
                  </pic:nvPicPr>
                  <pic:blipFill>
                    <a:blip r:embed="rId22">
                      <a:clrChange>
                        <a:clrFrom>
                          <a:srgbClr val="FFFFFF">
                            <a:alpha val="100000"/>
                          </a:srgbClr>
                        </a:clrFrom>
                        <a:clrTo>
                          <a:srgbClr val="FFFFFF">
                            <a:alpha val="100000"/>
                            <a:alpha val="0"/>
                          </a:srgbClr>
                        </a:clrTo>
                      </a:clrChange>
                    </a:blip>
                    <a:srcRect l="5865" t="-155" r="3397" b="155"/>
                    <a:stretch>
                      <a:fillRect/>
                    </a:stretch>
                  </pic:blipFill>
                  <pic:spPr>
                    <a:xfrm>
                      <a:off x="0" y="0"/>
                      <a:ext cx="5073650" cy="4692650"/>
                    </a:xfrm>
                    <a:prstGeom prst="rect">
                      <a:avLst/>
                    </a:prstGeom>
                    <a:noFill/>
                    <a:ln>
                      <a:noFill/>
                    </a:ln>
                  </pic:spPr>
                </pic:pic>
              </a:graphicData>
            </a:graphic>
          </wp:inline>
        </w:drawing>
      </w:r>
    </w:p>
    <w:p w14:paraId="3C0B96E9">
      <w:pPr>
        <w:pStyle w:val="31"/>
        <w:ind w:firstLine="422"/>
        <w:jc w:val="center"/>
        <w:rPr>
          <w:rFonts w:ascii="Times New Roman" w:hAnsi="Times New Roman" w:cs="Times New Roman" w:eastAsiaTheme="minorEastAsia"/>
          <w:b/>
          <w:bCs/>
          <w:color w:val="auto"/>
          <w:sz w:val="21"/>
          <w:szCs w:val="21"/>
        </w:rPr>
      </w:pPr>
      <w:r>
        <w:rPr>
          <w:rFonts w:hint="eastAsia" w:ascii="Times New Roman" w:hAnsi="Times New Roman" w:cs="Times New Roman" w:eastAsiaTheme="minorEastAsia"/>
          <w:b/>
          <w:bCs/>
          <w:color w:val="auto"/>
          <w:sz w:val="21"/>
          <w:szCs w:val="21"/>
        </w:rPr>
        <w:t>图1  事故处理程序图</w:t>
      </w:r>
    </w:p>
    <w:p w14:paraId="7176649B">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2</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应急计划区</w:t>
      </w:r>
    </w:p>
    <w:p w14:paraId="1F33BC7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根据项目周围居民分布状况以及参照火灾爆炸分析结果。应急计划区主要以仓库区为中心，周围3km所在区域，其中半径1km范围内的区域作为重点防控区。</w:t>
      </w:r>
    </w:p>
    <w:p w14:paraId="172DA6CA">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3</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应急组织机构、人员及职责</w:t>
      </w:r>
    </w:p>
    <w:p w14:paraId="49497F7E">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为应对突发环境事件，公司成立事故应急指挥中心，下设应急救援办公室，对突发环境事件的预防、处置和救援等进行统一指挥协调。</w:t>
      </w:r>
    </w:p>
    <w:p w14:paraId="14806CBE">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（1）应急组织机构、人员</w:t>
      </w:r>
    </w:p>
    <w:p w14:paraId="77F489A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指挥长：公司总经理</w:t>
      </w:r>
    </w:p>
    <w:p w14:paraId="6F2EC4F6">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副指挥长：公司副总经理</w:t>
      </w:r>
    </w:p>
    <w:p w14:paraId="400F540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（2）应急组织机构职责</w:t>
      </w:r>
    </w:p>
    <w:p w14:paraId="711BB9E4">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指挥人员职责主要有：</w:t>
      </w:r>
    </w:p>
    <w:p w14:paraId="16879BB5">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指挥长：负责整个突发环境污染事件应急救援的指挥工作，发布和解除事件应急救援命令。</w:t>
      </w:r>
    </w:p>
    <w:p w14:paraId="36E67AA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副指挥长：突发环境污染事件应急救援期间，如果指挥长不在现场，由副指挥长全权负责应急救援指挥工作。</w:t>
      </w:r>
    </w:p>
    <w:p w14:paraId="5B385524">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4</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事件分级</w:t>
      </w:r>
    </w:p>
    <w:p w14:paraId="1AC1D91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按照突发环境事件严重性和紧急程度，结合项目的实际情况，将仓库各类事故应急响应级别分为I级响应、II级响应。</w:t>
      </w:r>
    </w:p>
    <w:p w14:paraId="575D89F0">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（1）不可控级（Ⅰ级事件）</w:t>
      </w:r>
    </w:p>
    <w:p w14:paraId="2F8860D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污染的范围超出厂界或污染的范围在厂区内但企业不能独立处理，为了防止事件扩大，需要调动外部力量。Ⅰ级应急响应立即通报当地人民政府和相关部门，由政府主导应急响应，企业积极协助配合。</w:t>
      </w:r>
    </w:p>
    <w:p w14:paraId="1C85589B">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（2）可控级（Ⅱ级事件）</w:t>
      </w:r>
    </w:p>
    <w:p w14:paraId="2E963E5B">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污染的范围在厂区内且企业能独立处理。Ⅱ级响应由企业总指挥负责应急指挥，组织相关应急小组开展应急工作。</w:t>
      </w:r>
    </w:p>
    <w:p w14:paraId="18E6BC5B">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5</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响应程序</w:t>
      </w:r>
    </w:p>
    <w:p w14:paraId="56F1D22F">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基本响应：</w:t>
      </w:r>
    </w:p>
    <w:p w14:paraId="0F008716">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（1）启动应急预案后，应急救援指挥中心立即发布命令，通知指挥中心成员和各专业组人员立即到办公室集合，通知人员抢救组立即赶赴现场。</w:t>
      </w:r>
    </w:p>
    <w:p w14:paraId="38619FC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（2）指挥中心全体成员接到通知后迅速赶到指挥长通知的办公室，听取事故简单情况，接受指挥长命令，分头开始行动。</w:t>
      </w:r>
    </w:p>
    <w:p w14:paraId="4D48B38B">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（3）应急预案启动后，要尽快做到救援人员到位，开通信息与通讯网络。调配救援所需物资，派出现场指挥协调人员和抢救人员赶赴现场。</w:t>
      </w:r>
    </w:p>
    <w:p w14:paraId="3F6F8DC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发生事故的车间清楚了解事故发生的时间、地点、现象、影响范围，事故现场有无人员受伤、人员是否已经安全撤离、是否已经开始进行现场抢救、有无灾情扩大可能等，做好记录并立即向救援指挥部值班领导汇报。</w:t>
      </w:r>
    </w:p>
    <w:p w14:paraId="69770133">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响应程序：</w:t>
      </w:r>
    </w:p>
    <w:p w14:paraId="4DF363B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（1）事故发生后，最早发现者应立即报告车间主任或者部门负责人后立即向项目单位应急救援指挥中心报告。</w:t>
      </w:r>
    </w:p>
    <w:p w14:paraId="17EE19A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（2）应急救援指挥中心接到报警后，应立即启动企业应急预案，组织开展事故救援行动，同时向公司报告。</w:t>
      </w:r>
    </w:p>
    <w:p w14:paraId="37CD1C2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（3）公司应及时跟踪事故发展状况，如事故超出企业自身控制范围或者事故有扩大倾向，则应向寻甸县相关部门汇报，启动相应级别的应急预案，由寻甸县政府应急办公室统一指挥组织应急救援行动。</w:t>
      </w:r>
    </w:p>
    <w:p w14:paraId="77525E6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危险控制组到达事故现场时，应穿戴好防护器具，进入事故现场，根据事故情况进行抢险和人员救援行动。如果发现受伤中毒人员，应尽快转移到安全地带交由医务救疗组负责救护。如现场有起火、存有易燃易爆危险品、漏电、漏水、漏气等情况发生，现场先期处置人员要立即通知有关主管部门实施灭火、断电、断水、断气等措施，清除现场危险品，避免次生危害的出现。</w:t>
      </w:r>
    </w:p>
    <w:p w14:paraId="42BF89A5">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（5）人员抢救组到达现场后，立即进行救护受伤中毒人员，根据中毒症状采取相应急救措施，对伤员进行包扎或现场急救后，视情况决定是否送医院抢救。</w:t>
      </w:r>
    </w:p>
    <w:p w14:paraId="7FD8BD4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（6）安全警戒组到达现场后，负责治安和警戒，立即在事故现场周围设岗、划分禁区，加强警戒和巡逻检查，实行交通管制。</w:t>
      </w:r>
    </w:p>
    <w:p w14:paraId="4E4AFB2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（7）安全疏散组成员到达现场后，迅速组织人员疏散，依法惩处哄抢财物、干扰破坏应急处置工作等扰乱社会秩序的行为、维护社会治安。</w:t>
      </w:r>
    </w:p>
    <w:p w14:paraId="403616C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（8）环境监测组到达现场后，应迅速查明泄漏物质及扩散情况，根据现场气象和地理位置，按照应急检测方案进行，气、水采样快速监测分析，第一时间将监测结果汇报应急指挥中心。</w:t>
      </w:r>
    </w:p>
    <w:p w14:paraId="5FAE4E7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（9）后勤组负责确保各专业队伍的应急通讯畅通无阻，迅速、及时组织和提供抢险所需物资、防护用品和运输车辆等，如仓库内物资供应困难，指挥中心应立即请后勤组向上级单位请求支援。</w:t>
      </w:r>
    </w:p>
    <w:p w14:paraId="31ACBAAF">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10）在事故得到控制后，立即成立事故专门处置组，调查事故原因和落实防范措施及抢修方案，并组织人员根据抢修方案组织抢修，尽快恢复生产。并在应急咨询专家组的建议下，对受污染现场和环境进行恢复处置工作。</w:t>
      </w:r>
    </w:p>
    <w:p w14:paraId="7B50B0B2">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6</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应急措施</w:t>
      </w:r>
    </w:p>
    <w:p w14:paraId="5594FA96">
      <w:pPr>
        <w:pStyle w:val="31"/>
        <w:ind w:firstLine="420"/>
        <w:rPr>
          <w:rFonts w:hint="eastAsia" w:ascii="Times New Roman" w:hAnsi="Times New Roman" w:cs="Times New Roman" w:eastAsiaTheme="minorEastAsia"/>
          <w:b/>
          <w:bCs/>
          <w:color w:val="auto"/>
          <w:sz w:val="24"/>
          <w:szCs w:val="24"/>
          <w:lang w:eastAsia="zh-CN"/>
        </w:rPr>
      </w:pPr>
      <w:r>
        <w:rPr>
          <w:rFonts w:hint="eastAsia" w:ascii="Times New Roman" w:hAnsi="Times New Roman" w:cs="Times New Roman" w:eastAsiaTheme="minorEastAsia"/>
          <w:b/>
          <w:bCs/>
          <w:color w:val="auto"/>
          <w:sz w:val="24"/>
          <w:szCs w:val="24"/>
        </w:rPr>
        <w:t>火灾爆炸事故的处理措施</w:t>
      </w:r>
      <w:r>
        <w:rPr>
          <w:rFonts w:hint="eastAsia" w:ascii="Times New Roman" w:hAnsi="Times New Roman" w:cs="Times New Roman" w:eastAsiaTheme="minorEastAsia"/>
          <w:b/>
          <w:bCs/>
          <w:color w:val="auto"/>
          <w:sz w:val="24"/>
          <w:szCs w:val="24"/>
          <w:lang w:eastAsia="zh-CN"/>
        </w:rPr>
        <w:t>：</w:t>
      </w:r>
    </w:p>
    <w:p w14:paraId="3A9E377E">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（1）发现事故者应立即拨打“119”火警电话，并迅速向生产调度室报告；</w:t>
      </w:r>
    </w:p>
    <w:p w14:paraId="1DA6422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（2）生产调度室接到报警后，应迅速查清发生事故的地点和部位，并迅速通知指挥部成员前往事故现场；</w:t>
      </w:r>
    </w:p>
    <w:p w14:paraId="020845F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（3）指挥部应立即通知各职能部门按专业分工开展工作，必要时向主管部门和公安，劳动等上级领导机关报告事故情况；</w:t>
      </w:r>
    </w:p>
    <w:p w14:paraId="262DAA59">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发生火灾、爆炸事故的车间（部门）在报警的同时，应组织力量根据不同物质的燃烧，采取相应的手段和灭火剂进行灭火。若烟花爆竹发生燃烧、爆竹，应关闭阀门切断气源，然后使用二氧化碳或干粉灭火器灭火。若电器设备发生燃烧，应先切断电源，然后迅速用二氧化碳、干粉或 1211 灭火器灭火。若是一般可燃物质引发的火灾应迅速用消防水或泡沫灭火器扑灭；</w:t>
      </w:r>
    </w:p>
    <w:p w14:paraId="243AC3B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5）消防救护队员接到报警电话后，应立即赶到现场，并引导无关人员撤离出现场，对抢险人员进行监护和供给防毒器材，配合医生对受伤者实施救护工作，按预定的作战方案针对燃烧采取灭火措施。灭火方法：喷水保持火场容器冷却，直至灭火结束。处在火场中的容器若已变色或从安全泄压装置中产生声音，必须马上撤离。灭火剂：雾状水、泡沫、干粉、二氧化碳、砂土。</w:t>
      </w:r>
    </w:p>
    <w:p w14:paraId="11092F6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（6）生产管理部门到达事故现场后，应会同发生事故的车间视火灾能否控制，是否会扩大蔓延到其它部位等情况，做出局部或全部停车的决定。若需紧急停车，则按紧急停车程序作停车处理；</w:t>
      </w:r>
    </w:p>
    <w:p w14:paraId="382B418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（7）保卫部门到达事故现场后，迅速设立警戒线，加强现场警戒治安工作，严密注视火势发展和蔓延情况，及时向指挥部报告，必要时向公安消防支队和友邻单位消防队请求支援；</w:t>
      </w:r>
    </w:p>
    <w:p w14:paraId="114A8FB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（8）医疗救护队到达现场后，与消防救护队配合，立即开展救护伤员的工作，对重伤员迅速送医院进行抢救；</w:t>
      </w:r>
    </w:p>
    <w:p w14:paraId="09B4FBF0">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（9）抢修队到达事故现场后，根据指挥部下达的抢修指令，对急需抢修的设备进行抢修，争取时间减少损失；当事故得到控制后，立即成立专门调查小组开展事故调查及处理善后工作。</w:t>
      </w:r>
    </w:p>
    <w:p w14:paraId="795AB921">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7</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报警通讯联络方式</w:t>
      </w:r>
    </w:p>
    <w:p w14:paraId="3F231E30">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厂区人员装配数量充足通讯设备，设昼夜值班室，当发生突发环境事件时，事件发现者应根据本预案相关要求立即报警。</w:t>
      </w:r>
    </w:p>
    <w:p w14:paraId="7ED4E0B4">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8</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应急监测</w:t>
      </w:r>
    </w:p>
    <w:p w14:paraId="7A11CE7E">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日常要做好应急监测的准备工作。准备好监测所需的采样器械、器皿和工具，配备好监测分析所需的各种试剂、仪器等。环境应急监测小组负责组织协调突发环境事件地区区域内应急监测工作，并负责指导环境监测站进行应急监测工作。监测人员须严格按《环境监测技术规范》、《水质监测质量保证手册》、《大气监测质量保证手册》、《水和废水监测分析方法》的要求和《环境应急响应实用手册》、《突发性环境污染事故应急监测与处理技术》规定进行采样和分析。接到环境污染事故告急报告后，环境监测站迅速组织监测人员赶赴事故现场，根据实际情况，迅速确定监测方案；应对现场生产情况、周边情况，突发环境事件的影响范围和影响程度，排污状况、突发环境事件的成因进行了解，采样人员根据突发环境事件的类型和现场的情况，确定监测点位、频率、监测项目等。环境监测人员要严格按规范认真分析，采取有效的质控措施和手段，保证监测数据的准确可靠，需做到：</w:t>
      </w:r>
    </w:p>
    <w:p w14:paraId="6A6DE55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（1）实施现场检测或现场采样；</w:t>
      </w:r>
    </w:p>
    <w:p w14:paraId="297B0C8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（2）现场检测数据随时报告现场应急监测指挥部，采集的样品在24小时内分析；</w:t>
      </w:r>
    </w:p>
    <w:p w14:paraId="125F9A9D">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（3）在完成事故现场检测的次日提交污染事故调查分析报告。</w:t>
      </w:r>
    </w:p>
    <w:p w14:paraId="73A9BA35">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9</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人员救护、紧急撤离、隔离和社会支援组织计划</w:t>
      </w:r>
    </w:p>
    <w:p w14:paraId="409DD07F">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医疗救护由消防队员和医务人员进入现场搜寻，受伤人员由抢救人员护送至急救点，实施急救后转移到当地医院继续治疗，必要时转至高一级医院治疗。</w:t>
      </w:r>
    </w:p>
    <w:p w14:paraId="4EAC6647">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应急撤离措施：</w:t>
      </w:r>
    </w:p>
    <w:p w14:paraId="3BB6114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（1）事故现场人员清点、撤离的方式、方法</w:t>
      </w:r>
    </w:p>
    <w:p w14:paraId="124EA41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当专业抢救组到达现场后，应先查看有无伤亡人员，清点现场职工人数，根据技术专家组确定的避灾路线，由警戒保卫组组织事故现场人员及非事故现场人员及时撤离至安全区并由医疗救护组对受伤人员进行现场急救。</w:t>
      </w:r>
    </w:p>
    <w:p w14:paraId="49A368B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（2）非事故现场人员紧急疏散的方式、方法</w:t>
      </w:r>
    </w:p>
    <w:p w14:paraId="34E03CA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为防止事故扩大对非事故现场的人员造成伤害，应在警戒保卫组的指挥下，根据技术专家组确定的避灾路线，撤离至安全区。</w:t>
      </w:r>
    </w:p>
    <w:p w14:paraId="7D1478C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（3）抢救人员在撤离前、撤离后的报告</w:t>
      </w:r>
    </w:p>
    <w:p w14:paraId="18454DDB">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抢救人员在撤离前、撤离后应由警戒保卫组组长向总指挥长报告，以便指挥部及时掌握现场救援情况，发出救援命令，实施下一步救援行动。</w:t>
      </w:r>
    </w:p>
    <w:p w14:paraId="1D3B9878">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危险区的隔离：</w:t>
      </w:r>
    </w:p>
    <w:p w14:paraId="486B0E89">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（1）危险区的设定</w:t>
      </w:r>
    </w:p>
    <w:p w14:paraId="48FEF0B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依据发生的安全生产事故的类别、危害程度级别。通过技术专家组对事故现场进行的分析，设定事故危险区。</w:t>
      </w:r>
    </w:p>
    <w:p w14:paraId="08B9601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（2）事故现场隔离区的划定方式、方法</w:t>
      </w:r>
    </w:p>
    <w:p w14:paraId="0F0F7B4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技术专家组在对事故危险区的划定的基础上，划定事故现场的隔离区。</w:t>
      </w:r>
    </w:p>
    <w:p w14:paraId="0309CC9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（3）事故现场隔离方法</w:t>
      </w:r>
    </w:p>
    <w:p w14:paraId="78EBA199">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由警戒保卫组对该区域实施隔离。设警戒线，并根据隔离区大小由救援小组人员及援助人员情况分段设岗。</w:t>
      </w:r>
    </w:p>
    <w:p w14:paraId="7978BFF6">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（4）事故现场周边区域的道路隔离或交通疏导方法</w:t>
      </w:r>
    </w:p>
    <w:p w14:paraId="3337746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若发生的事故较严重，影响到现场周边区域的道路交通，应由警戒保卫组协调交警，报告交通部门及相关电台，未进入该路段的车辆另择路段绕行，并对该路段的现有车辆实施分流、疏导。</w:t>
      </w:r>
    </w:p>
    <w:p w14:paraId="1E6E412E">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社会支援：</w:t>
      </w:r>
    </w:p>
    <w:p w14:paraId="62E86ED5">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当事故区域范围较大、危害较大时，直接拨打110、119或120请求外部社会力量支援。</w:t>
      </w:r>
    </w:p>
    <w:p w14:paraId="491FFE86">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10</w:t>
      </w:r>
      <w:r>
        <w:rPr>
          <w:rFonts w:hint="eastAsia" w:ascii="Times New Roman" w:hAnsi="Times New Roman" w:cs="Times New Roman" w:eastAsiaTheme="minorEastAsia"/>
          <w:b/>
          <w:bCs/>
          <w:color w:val="auto"/>
          <w:sz w:val="24"/>
          <w:szCs w:val="24"/>
          <w:lang w:eastAsia="zh-CN"/>
        </w:rPr>
        <w:t>、</w:t>
      </w:r>
      <w:r>
        <w:rPr>
          <w:rFonts w:hint="eastAsia" w:ascii="Times New Roman" w:hAnsi="Times New Roman" w:cs="Times New Roman" w:eastAsiaTheme="minorEastAsia"/>
          <w:b/>
          <w:bCs/>
          <w:color w:val="auto"/>
          <w:sz w:val="24"/>
          <w:szCs w:val="24"/>
        </w:rPr>
        <w:t>事故应急救援关闭程序与恢复措施</w:t>
      </w:r>
    </w:p>
    <w:p w14:paraId="1151251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符合下列条件之一的，即满足事故应急救援关闭条件：</w:t>
      </w:r>
    </w:p>
    <w:p w14:paraId="67D85319">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（1）事件现场得到控制，事件条件已经消除，环境风险已经消除；</w:t>
      </w:r>
    </w:p>
    <w:p w14:paraId="562EEFF5">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（2）环境危害和不利影响基本消除或得到有效控制除；</w:t>
      </w:r>
    </w:p>
    <w:p w14:paraId="73851AD4">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（3）事件现场的各种专业应急处置行动已无继续的必要。</w:t>
      </w:r>
    </w:p>
    <w:p w14:paraId="7EFE5596">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事故应急救援关闭程序包括：下降警戒级别，撤出救援力量和宣布取消应急；对现场进行清理和对受影响区域的连续监测；对于受灾的操作人员提供帮助和进入恢复正常状态；以及对于破坏损失的评估；进行事故调查和后果评价及重建等。对于事故后的行动，主要为：</w:t>
      </w:r>
    </w:p>
    <w:p w14:paraId="1B91088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（1）对现场中暴露的工作人员、应急行动人员和受污染设备、设施进行清洁净化。</w:t>
      </w:r>
    </w:p>
    <w:p w14:paraId="64F50554">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（2）将此次发生的环境事故的起因、过程和结果向有关部门做详细报告。</w:t>
      </w:r>
    </w:p>
    <w:p w14:paraId="45A68B5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（3）全力配合事件调查小组，调查事件原因，初步评估事件影响、损失、危害范围和程度，查明人员伤亡情况。</w:t>
      </w:r>
    </w:p>
    <w:p w14:paraId="6EDF0AF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（4）全面检查和维护生产设施设备，清点救援物资消耗并及时补充，维护保养补充应急设备、设施和仪器。</w:t>
      </w:r>
    </w:p>
    <w:p w14:paraId="3E872699">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5）对突发环境事件应急行动全过程进行评估，分析预案是否科学、有效，应急组织机构和应急队伍设置是否合理，应急响应和处置程序、方案制定执行是否科学、实用、到位，应急设施设备和物资是否满足需要等。</w:t>
      </w:r>
    </w:p>
    <w:p w14:paraId="1102C48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（6）编制应急救援工作总结报告，必要时对应急预案进行修订、完善。</w:t>
      </w:r>
    </w:p>
    <w:p w14:paraId="7E1237EA">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11.应急培训及演练</w:t>
      </w:r>
    </w:p>
    <w:p w14:paraId="7651453D">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.培训：</w:t>
      </w:r>
    </w:p>
    <w:p w14:paraId="2888245C">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加强环境事件专业技术人员日常培训和事件中涉及风险源人员的培训和管理，培养一批具有一定专业知识的应急处置、检验等人员。开展面向职工的应对环境突发事件相关知识培训。将环境突发事件预防、应急指挥、综合协调等作为培训内容，以提高厂内人员应对突发环境事件的能力。培训内容包括：</w:t>
      </w:r>
    </w:p>
    <w:p w14:paraId="3795CDA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（1）如何识别危险；</w:t>
      </w:r>
    </w:p>
    <w:p w14:paraId="2281C57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（2）如何启动紧急报警系统；</w:t>
      </w:r>
    </w:p>
    <w:p w14:paraId="0D385F3E">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（3）危险物质泄漏控制措施；</w:t>
      </w:r>
    </w:p>
    <w:p w14:paraId="49924E5F">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（4）各种应急设备的使用方法等。</w:t>
      </w:r>
    </w:p>
    <w:p w14:paraId="5AFFAB42">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演练：</w:t>
      </w:r>
    </w:p>
    <w:p w14:paraId="085F6091">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应急演练实施阶段是指从宣布初始事件到演练结束的整个过程。演练过程中参演人员应尽可能按照实际环境事件发生时响应要求进行演练，由参演人员根据自己对于最佳解决方案的理解，对事件作出响应行动。其主要内容如下：</w:t>
      </w:r>
    </w:p>
    <w:p w14:paraId="1186976F">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（1）指挥及有关人员履行的职责；</w:t>
      </w:r>
    </w:p>
    <w:p w14:paraId="5E020A63">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（2）人员撤离行动及组织能力；</w:t>
      </w:r>
    </w:p>
    <w:p w14:paraId="3AFA81C2">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（3）灾害的应急处置情况；</w:t>
      </w:r>
    </w:p>
    <w:p w14:paraId="060F3B9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（4）应急救援设施的应用情况。</w:t>
      </w:r>
    </w:p>
    <w:p w14:paraId="081D102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演练的形式可以根据公司的实际情况，采取多种形式进行，可结合安全事故应急演练进行突发环境事件的应急演练。演练一般至少 1 年进行 1 次，且除定期进行全面的演练外，还要针对通讯、消防、医疗、监测，以及人员疏散等关键要素进行演练，使演练更具合理性、具体性和可操作性。</w:t>
      </w:r>
    </w:p>
    <w:p w14:paraId="68D9A115">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12.公众教育和信息</w:t>
      </w:r>
    </w:p>
    <w:p w14:paraId="635A896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风险事故，特别是火灾爆炸的事故，可能对周边地区居民的安全存在较大的威胁，应定期进行公众教育，使公众了解危险品仓储企业产中存在的危险物质的物理、化学特性等。</w:t>
      </w:r>
    </w:p>
    <w:p w14:paraId="0BE73F68">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13.环境风险应急预案备案</w:t>
      </w:r>
    </w:p>
    <w:p w14:paraId="0985C75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企业是制定环境应急预案的责任主体，根据应对突发环境事件的需要，开展环境应急预案制定工作，对环境应急预案内容的真实性和可操作性负责。企业可以自行编制环境应急预案，也可以委托相关专业技术服务机构编制环境应急预案。委托相关专业技术服务机构编制的，企业指定有关人员全程参与。企业环境应急预案应当在环境应急预案签署发布之日起 20 个工作日内，向企业所在地县级环境保护主管部门备案。县级环境保护主管部门应当在备案之日起 5 个工作日内将较大和重大环境风险企业的环境应急预案备案文件，报送市级环境保护主管部门，重大的同时报送省级环境保护主管部门。企业环境应急预案首次备案，现场办理时应当提交下列文件：</w:t>
      </w:r>
    </w:p>
    <w:p w14:paraId="6EE38C34">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（一）突发环境事件应急预案备案表；</w:t>
      </w:r>
    </w:p>
    <w:p w14:paraId="5D8AADE4">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二）环境应急预案及编制说明的纸质文件和电子文件，环境应急预案包括：环境应急预案的签署发布文件、环境应急预案文本；编制说明包括：编制过程概述、重点内容说明、征求意见及采纳情况说明、评审情况说明；</w:t>
      </w:r>
    </w:p>
    <w:p w14:paraId="3EEC8BA7">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（三）环境风险评估报告的纸质文件和电子文件；</w:t>
      </w:r>
    </w:p>
    <w:p w14:paraId="72724E78">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（四）环境应急资源调查报告的纸质文件和电子文件；</w:t>
      </w:r>
    </w:p>
    <w:p w14:paraId="1398F7CA">
      <w:pPr>
        <w:pStyle w:val="31"/>
        <w:ind w:firstLine="420"/>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（五）环境应急预案评审意见的纸质文件和电子文件。</w:t>
      </w:r>
      <w:bookmarkEnd w:id="56"/>
      <w:bookmarkEnd w:id="57"/>
      <w:bookmarkEnd w:id="58"/>
    </w:p>
    <w:p w14:paraId="174EE4BE">
      <w:pPr>
        <w:pStyle w:val="31"/>
        <w:ind w:firstLine="422"/>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九、环境风险影响分析结论</w:t>
      </w:r>
    </w:p>
    <w:p w14:paraId="090682F0">
      <w:pPr>
        <w:pStyle w:val="31"/>
        <w:ind w:firstLine="420"/>
        <w:rPr>
          <w:rFonts w:ascii="Times New Roman" w:hAnsi="Times New Roman" w:cs="Times New Roman" w:eastAsiaTheme="minorEastAsia"/>
          <w:color w:val="auto"/>
          <w:sz w:val="21"/>
          <w:szCs w:val="21"/>
        </w:rPr>
      </w:pPr>
      <w:r>
        <w:rPr>
          <w:rFonts w:hint="eastAsia" w:ascii="Times New Roman" w:hAnsi="Times New Roman" w:cs="Times New Roman" w:eastAsiaTheme="minorEastAsia"/>
          <w:color w:val="auto"/>
          <w:sz w:val="24"/>
          <w:szCs w:val="24"/>
        </w:rPr>
        <w:t>根据上述分析，项目</w:t>
      </w:r>
      <w:r>
        <w:rPr>
          <w:rFonts w:hint="eastAsia" w:ascii="Times New Roman" w:hAnsi="Times New Roman" w:cs="Times New Roman" w:eastAsiaTheme="minorEastAsia"/>
          <w:color w:val="auto"/>
          <w:sz w:val="24"/>
          <w:szCs w:val="24"/>
          <w:lang w:val="en-US" w:eastAsia="zh-CN"/>
        </w:rPr>
        <w:t>存在</w:t>
      </w:r>
      <w:r>
        <w:rPr>
          <w:rFonts w:hint="eastAsia" w:ascii="Times New Roman" w:hAnsi="Times New Roman" w:cs="Times New Roman" w:eastAsiaTheme="minorEastAsia"/>
          <w:color w:val="auto"/>
          <w:sz w:val="24"/>
          <w:szCs w:val="24"/>
        </w:rPr>
        <w:t>危险源</w:t>
      </w:r>
      <w:r>
        <w:rPr>
          <w:rFonts w:hint="eastAsia" w:ascii="Times New Roman" w:hAnsi="Times New Roman" w:cs="Times New Roman" w:eastAsiaTheme="minorEastAsia"/>
          <w:color w:val="auto"/>
          <w:sz w:val="24"/>
          <w:szCs w:val="24"/>
          <w:lang w:val="en-US" w:eastAsia="zh-CN"/>
        </w:rPr>
        <w:t>为烟花爆竹，危险单元为</w:t>
      </w:r>
      <w:r>
        <w:rPr>
          <w:rFonts w:hint="eastAsia" w:ascii="Times New Roman" w:hAnsi="Times New Roman" w:cs="Times New Roman" w:eastAsiaTheme="minorEastAsia"/>
          <w:color w:val="auto"/>
          <w:sz w:val="24"/>
          <w:szCs w:val="24"/>
        </w:rPr>
        <w:t>为仓库</w:t>
      </w:r>
      <w:r>
        <w:rPr>
          <w:rFonts w:hint="eastAsia" w:ascii="Times New Roman" w:hAnsi="Times New Roman" w:cs="Times New Roman" w:eastAsiaTheme="minorEastAsia"/>
          <w:color w:val="auto"/>
          <w:sz w:val="24"/>
          <w:szCs w:val="24"/>
          <w:lang w:val="en-US" w:eastAsia="zh-CN"/>
        </w:rPr>
        <w:t>存储</w:t>
      </w:r>
      <w:r>
        <w:rPr>
          <w:rFonts w:hint="eastAsia" w:ascii="Times New Roman" w:hAnsi="Times New Roman" w:cs="Times New Roman" w:eastAsiaTheme="minorEastAsia"/>
          <w:color w:val="auto"/>
          <w:sz w:val="24"/>
          <w:szCs w:val="24"/>
        </w:rPr>
        <w:t>、运输</w:t>
      </w:r>
      <w:r>
        <w:rPr>
          <w:rFonts w:hint="eastAsia" w:ascii="Times New Roman" w:hAnsi="Times New Roman" w:cs="Times New Roman" w:eastAsiaTheme="minorEastAsia"/>
          <w:color w:val="auto"/>
          <w:sz w:val="24"/>
          <w:szCs w:val="24"/>
          <w:lang w:val="en-US" w:eastAsia="zh-CN"/>
        </w:rPr>
        <w:t>及装卸</w:t>
      </w:r>
      <w:r>
        <w:rPr>
          <w:rFonts w:hint="eastAsia" w:ascii="Times New Roman" w:hAnsi="Times New Roman" w:cs="Times New Roman" w:eastAsiaTheme="minorEastAsia"/>
          <w:color w:val="auto"/>
          <w:sz w:val="24"/>
          <w:szCs w:val="24"/>
        </w:rPr>
        <w:t>过程的烟花爆竹所造成的火灾及</w:t>
      </w:r>
      <w:r>
        <w:rPr>
          <w:rFonts w:hint="eastAsia" w:ascii="Times New Roman" w:hAnsi="Times New Roman" w:cs="Times New Roman" w:eastAsiaTheme="minorEastAsia"/>
          <w:color w:val="auto"/>
          <w:sz w:val="24"/>
          <w:szCs w:val="24"/>
          <w:lang w:val="en-US" w:eastAsia="zh-CN"/>
        </w:rPr>
        <w:t>爆炸</w:t>
      </w:r>
      <w:r>
        <w:rPr>
          <w:rFonts w:hint="eastAsia" w:ascii="Times New Roman" w:hAnsi="Times New Roman" w:cs="Times New Roman" w:eastAsiaTheme="minorEastAsia"/>
          <w:color w:val="auto"/>
          <w:sz w:val="24"/>
          <w:szCs w:val="24"/>
        </w:rPr>
        <w:t>风险。</w:t>
      </w:r>
      <w:r>
        <w:rPr>
          <w:rFonts w:hint="eastAsia" w:ascii="Times New Roman" w:hAnsi="Times New Roman" w:cs="Times New Roman" w:eastAsiaTheme="minorEastAsia"/>
          <w:color w:val="auto"/>
          <w:sz w:val="24"/>
          <w:szCs w:val="24"/>
          <w:lang w:val="en-US" w:eastAsia="zh-CN"/>
        </w:rPr>
        <w:t>火灾爆炸时会对周围居民的人身安全、财产安全产生不同程度的危害以及产生的有毒有害气体、事故废水对环境造成污染。</w:t>
      </w:r>
      <w:r>
        <w:rPr>
          <w:rFonts w:hint="eastAsia" w:ascii="Times New Roman" w:hAnsi="Times New Roman" w:cs="Times New Roman" w:eastAsiaTheme="minorEastAsia"/>
          <w:color w:val="auto"/>
          <w:sz w:val="24"/>
          <w:szCs w:val="24"/>
        </w:rPr>
        <w:t>建设单位应高度重视运营过程中存在的风险因素</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rPr>
        <w:t>要加强风险管理，在项目建设过程中针对不同环节的事故风险，应从仓库</w:t>
      </w:r>
      <w:r>
        <w:rPr>
          <w:rFonts w:hint="eastAsia" w:ascii="Times New Roman" w:hAnsi="Times New Roman" w:cs="Times New Roman" w:eastAsiaTheme="minorEastAsia"/>
          <w:color w:val="auto"/>
          <w:sz w:val="24"/>
          <w:szCs w:val="24"/>
          <w:lang w:val="en-US" w:eastAsia="zh-CN"/>
        </w:rPr>
        <w:t>存储</w:t>
      </w:r>
      <w:r>
        <w:rPr>
          <w:rFonts w:hint="eastAsia" w:ascii="Times New Roman" w:hAnsi="Times New Roman" w:cs="Times New Roman" w:eastAsiaTheme="minorEastAsia"/>
          <w:color w:val="auto"/>
          <w:sz w:val="24"/>
          <w:szCs w:val="24"/>
        </w:rPr>
        <w:t>、运输</w:t>
      </w:r>
      <w:r>
        <w:rPr>
          <w:rFonts w:hint="eastAsia" w:ascii="Times New Roman" w:hAnsi="Times New Roman" w:cs="Times New Roman" w:eastAsiaTheme="minorEastAsia"/>
          <w:color w:val="auto"/>
          <w:sz w:val="24"/>
          <w:szCs w:val="24"/>
          <w:lang w:val="en-US" w:eastAsia="zh-CN"/>
        </w:rPr>
        <w:t>及装卸</w:t>
      </w:r>
      <w:r>
        <w:rPr>
          <w:rFonts w:hint="eastAsia" w:ascii="Times New Roman" w:hAnsi="Times New Roman" w:cs="Times New Roman" w:eastAsiaTheme="minorEastAsia"/>
          <w:color w:val="auto"/>
          <w:sz w:val="24"/>
          <w:szCs w:val="24"/>
        </w:rPr>
        <w:t>进行全面的风险管理和防范</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rPr>
        <w:t>要备足、备全应急救援物资和设备</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rPr>
        <w:t>通过相应的技术手段降低风险发生概率</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rPr>
        <w:t>并在风险事故发生后，及时采取风险防范措施及应急预案，可以使风险事故对环境的危害得到有效控制，将事故风险控制在可以接受的范围内</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rPr>
        <w:t>。采取上述措施之后，本项目的环境风险是可接受的。</w:t>
      </w:r>
      <w:r>
        <w:rPr>
          <w:rFonts w:hint="eastAsia" w:ascii="Times New Roman" w:hAnsi="Times New Roman" w:cs="Times New Roman" w:eastAsiaTheme="minorEastAsia"/>
          <w:color w:val="auto"/>
          <w:sz w:val="21"/>
          <w:szCs w:val="21"/>
        </w:rPr>
        <w:br w:type="page"/>
      </w:r>
    </w:p>
    <w:p w14:paraId="609EAF6E">
      <w:pPr>
        <w:pStyle w:val="31"/>
        <w:ind w:left="0" w:leftChars="0" w:firstLine="0" w:firstLineChars="0"/>
        <w:jc w:val="center"/>
        <w:rPr>
          <w:rFonts w:ascii="Times New Roman" w:hAnsi="Times New Roman" w:cs="Times New Roman" w:eastAsiaTheme="minorEastAsia"/>
          <w:b/>
          <w:bCs/>
          <w:color w:val="auto"/>
          <w:sz w:val="21"/>
          <w:szCs w:val="21"/>
        </w:rPr>
      </w:pPr>
      <w:r>
        <w:rPr>
          <w:rFonts w:hint="eastAsia" w:ascii="Times New Roman" w:hAnsi="Times New Roman" w:cs="Times New Roman" w:eastAsiaTheme="minorEastAsia"/>
          <w:b/>
          <w:bCs/>
          <w:color w:val="auto"/>
          <w:sz w:val="21"/>
          <w:szCs w:val="21"/>
          <w:lang w:val="en-US" w:eastAsia="zh-CN"/>
        </w:rPr>
        <w:t xml:space="preserve">表21  </w:t>
      </w:r>
      <w:r>
        <w:rPr>
          <w:rFonts w:hint="eastAsia" w:ascii="Times New Roman" w:hAnsi="Times New Roman" w:cs="Times New Roman" w:eastAsiaTheme="minorEastAsia"/>
          <w:b/>
          <w:bCs/>
          <w:color w:val="auto"/>
          <w:sz w:val="21"/>
          <w:szCs w:val="21"/>
        </w:rPr>
        <w:t>环境风险评价自查表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490"/>
        <w:gridCol w:w="900"/>
        <w:gridCol w:w="645"/>
        <w:gridCol w:w="236"/>
        <w:gridCol w:w="1084"/>
        <w:gridCol w:w="172"/>
        <w:gridCol w:w="3"/>
        <w:gridCol w:w="799"/>
        <w:gridCol w:w="459"/>
        <w:gridCol w:w="252"/>
        <w:gridCol w:w="373"/>
        <w:gridCol w:w="477"/>
        <w:gridCol w:w="1416"/>
      </w:tblGrid>
      <w:tr w14:paraId="269E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gridSpan w:val="3"/>
            <w:vAlign w:val="center"/>
          </w:tcPr>
          <w:p w14:paraId="5839D17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b/>
                <w:bCs/>
                <w:color w:val="auto"/>
                <w:sz w:val="21"/>
                <w:szCs w:val="21"/>
                <w:vertAlign w:val="baseline"/>
              </w:rPr>
            </w:pPr>
            <w:r>
              <w:rPr>
                <w:rFonts w:hint="eastAsia" w:ascii="Times New Roman" w:hAnsi="Times New Roman" w:cs="Times New Roman" w:eastAsiaTheme="minorEastAsia"/>
                <w:b/>
                <w:bCs/>
                <w:color w:val="auto"/>
                <w:sz w:val="21"/>
                <w:szCs w:val="21"/>
                <w:vertAlign w:val="baseline"/>
              </w:rPr>
              <w:t>工作内容</w:t>
            </w:r>
          </w:p>
        </w:tc>
        <w:tc>
          <w:tcPr>
            <w:tcW w:w="5916" w:type="dxa"/>
            <w:gridSpan w:val="11"/>
            <w:vAlign w:val="center"/>
          </w:tcPr>
          <w:p w14:paraId="7205007C">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color w:val="auto"/>
                <w:sz w:val="21"/>
                <w:szCs w:val="21"/>
                <w:vertAlign w:val="baseline"/>
                <w:lang w:val="en-US" w:eastAsia="zh-CN"/>
              </w:rPr>
            </w:pPr>
            <w:r>
              <w:rPr>
                <w:rFonts w:hint="eastAsia" w:ascii="Times New Roman" w:hAnsi="Times New Roman" w:cs="Times New Roman" w:eastAsiaTheme="minorEastAsia"/>
                <w:b/>
                <w:bCs/>
                <w:color w:val="auto"/>
                <w:sz w:val="21"/>
                <w:szCs w:val="21"/>
                <w:vertAlign w:val="baseline"/>
                <w:lang w:val="en-US" w:eastAsia="zh-CN"/>
              </w:rPr>
              <w:t>完成情况</w:t>
            </w:r>
          </w:p>
        </w:tc>
      </w:tr>
      <w:tr w14:paraId="5DAB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14:paraId="4013E09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风险调查</w:t>
            </w:r>
          </w:p>
        </w:tc>
        <w:tc>
          <w:tcPr>
            <w:tcW w:w="1490" w:type="dxa"/>
            <w:vMerge w:val="restart"/>
            <w:vAlign w:val="center"/>
          </w:tcPr>
          <w:p w14:paraId="572C822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危险物质</w:t>
            </w:r>
          </w:p>
        </w:tc>
        <w:tc>
          <w:tcPr>
            <w:tcW w:w="900" w:type="dxa"/>
            <w:vAlign w:val="center"/>
          </w:tcPr>
          <w:p w14:paraId="5297851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名称</w:t>
            </w:r>
          </w:p>
        </w:tc>
        <w:tc>
          <w:tcPr>
            <w:tcW w:w="5916" w:type="dxa"/>
            <w:gridSpan w:val="11"/>
            <w:vAlign w:val="center"/>
          </w:tcPr>
          <w:p w14:paraId="396409E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烟花爆竹</w:t>
            </w:r>
          </w:p>
        </w:tc>
      </w:tr>
      <w:tr w14:paraId="7AC5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05B079C">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7FAB956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Align w:val="center"/>
          </w:tcPr>
          <w:p w14:paraId="5C94229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存在总量/t</w:t>
            </w:r>
          </w:p>
        </w:tc>
        <w:tc>
          <w:tcPr>
            <w:tcW w:w="5916" w:type="dxa"/>
            <w:gridSpan w:val="11"/>
            <w:vAlign w:val="center"/>
          </w:tcPr>
          <w:p w14:paraId="66B3317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lang w:val="en-US" w:eastAsia="zh-CN"/>
              </w:rPr>
              <w:t>110</w:t>
            </w:r>
          </w:p>
        </w:tc>
      </w:tr>
      <w:tr w14:paraId="7718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09BFBA9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restart"/>
            <w:vAlign w:val="center"/>
          </w:tcPr>
          <w:p w14:paraId="0B5C42E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环境敏感性</w:t>
            </w:r>
          </w:p>
        </w:tc>
        <w:tc>
          <w:tcPr>
            <w:tcW w:w="900" w:type="dxa"/>
            <w:vMerge w:val="restart"/>
            <w:vAlign w:val="center"/>
          </w:tcPr>
          <w:p w14:paraId="1155D04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大气</w:t>
            </w:r>
          </w:p>
        </w:tc>
        <w:tc>
          <w:tcPr>
            <w:tcW w:w="2939" w:type="dxa"/>
            <w:gridSpan w:val="6"/>
            <w:vAlign w:val="center"/>
          </w:tcPr>
          <w:p w14:paraId="03A04B0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500m范围内人口数</w:t>
            </w:r>
            <w:r>
              <w:rPr>
                <w:rFonts w:hint="eastAsia" w:ascii="Times New Roman" w:hAnsi="Times New Roman" w:cs="Times New Roman" w:eastAsiaTheme="minorEastAsia"/>
                <w:color w:val="auto"/>
                <w:sz w:val="21"/>
                <w:szCs w:val="21"/>
                <w:vertAlign w:val="baseline"/>
                <w:lang w:val="en-US" w:eastAsia="zh-CN"/>
              </w:rPr>
              <w:t>200</w:t>
            </w:r>
            <w:r>
              <w:rPr>
                <w:rFonts w:hint="eastAsia" w:ascii="Times New Roman" w:hAnsi="Times New Roman" w:cs="Times New Roman" w:eastAsiaTheme="minorEastAsia"/>
                <w:color w:val="auto"/>
                <w:sz w:val="21"/>
                <w:szCs w:val="21"/>
                <w:vertAlign w:val="baseline"/>
              </w:rPr>
              <w:t>人</w:t>
            </w:r>
          </w:p>
        </w:tc>
        <w:tc>
          <w:tcPr>
            <w:tcW w:w="2977" w:type="dxa"/>
            <w:gridSpan w:val="5"/>
            <w:vAlign w:val="center"/>
          </w:tcPr>
          <w:p w14:paraId="53A4C42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5km 范围内人口数</w:t>
            </w:r>
            <w:r>
              <w:rPr>
                <w:rFonts w:ascii="Times New Roman" w:hAnsi="Times New Roman" w:cs="Times New Roman" w:eastAsiaTheme="minorEastAsia"/>
                <w:color w:val="auto"/>
                <w:sz w:val="21"/>
                <w:szCs w:val="21"/>
              </w:rPr>
              <w:t>18680</w:t>
            </w:r>
            <w:r>
              <w:rPr>
                <w:rFonts w:hint="eastAsia" w:ascii="Times New Roman" w:hAnsi="Times New Roman" w:cs="Times New Roman" w:eastAsiaTheme="minorEastAsia"/>
                <w:color w:val="auto"/>
                <w:sz w:val="21"/>
                <w:szCs w:val="21"/>
                <w:vertAlign w:val="baseline"/>
              </w:rPr>
              <w:t>人</w:t>
            </w:r>
          </w:p>
        </w:tc>
      </w:tr>
      <w:tr w14:paraId="607C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4E21D6CC">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7884480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Merge w:val="continue"/>
            <w:vAlign w:val="center"/>
          </w:tcPr>
          <w:p w14:paraId="061BC91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4500" w:type="dxa"/>
            <w:gridSpan w:val="10"/>
            <w:vAlign w:val="center"/>
          </w:tcPr>
          <w:p w14:paraId="1878791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每公里管段周边 200m 范围内人口数（最大）</w:t>
            </w:r>
          </w:p>
        </w:tc>
        <w:tc>
          <w:tcPr>
            <w:tcW w:w="1416" w:type="dxa"/>
            <w:vAlign w:val="center"/>
          </w:tcPr>
          <w:p w14:paraId="49F097E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人</w:t>
            </w:r>
          </w:p>
        </w:tc>
      </w:tr>
      <w:tr w14:paraId="3068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CF80C6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7A61A9E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Merge w:val="restart"/>
            <w:vAlign w:val="center"/>
          </w:tcPr>
          <w:p w14:paraId="1E528EB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地表水</w:t>
            </w:r>
          </w:p>
        </w:tc>
        <w:tc>
          <w:tcPr>
            <w:tcW w:w="1965" w:type="dxa"/>
            <w:gridSpan w:val="3"/>
            <w:vAlign w:val="center"/>
          </w:tcPr>
          <w:p w14:paraId="216A47C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地表水功能敏感性</w:t>
            </w:r>
          </w:p>
        </w:tc>
        <w:tc>
          <w:tcPr>
            <w:tcW w:w="974" w:type="dxa"/>
            <w:gridSpan w:val="3"/>
            <w:vAlign w:val="center"/>
          </w:tcPr>
          <w:p w14:paraId="00FD7AF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 xml:space="preserve">F1 </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08DF3EC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F</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t xml:space="preserve"> </w:t>
            </w:r>
            <w:r>
              <w:rPr>
                <w:rFonts w:hint="eastAsia" w:ascii="Times New Roman" w:hAnsi="Times New Roman" w:cs="Times New Roman" w:eastAsiaTheme="minorEastAsia"/>
                <w:color w:val="auto"/>
                <w:sz w:val="21"/>
                <w:szCs w:val="21"/>
                <w:vertAlign w:val="baseline"/>
              </w:rPr>
              <w:sym w:font="Wingdings 2" w:char="0052"/>
            </w:r>
          </w:p>
        </w:tc>
        <w:tc>
          <w:tcPr>
            <w:tcW w:w="1416" w:type="dxa"/>
            <w:vAlign w:val="center"/>
          </w:tcPr>
          <w:p w14:paraId="12F7323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F</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A3"/>
            </w:r>
            <w:r>
              <w:rPr>
                <w:rFonts w:hint="eastAsia" w:ascii="Times New Roman" w:hAnsi="Times New Roman" w:cs="Times New Roman" w:eastAsiaTheme="minorEastAsia"/>
                <w:color w:val="auto"/>
                <w:sz w:val="21"/>
                <w:szCs w:val="21"/>
                <w:vertAlign w:val="baseline"/>
              </w:rPr>
              <w:t xml:space="preserve"> </w:t>
            </w:r>
          </w:p>
        </w:tc>
      </w:tr>
      <w:tr w14:paraId="3239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dxa"/>
            <w:vMerge w:val="continue"/>
            <w:vAlign w:val="center"/>
          </w:tcPr>
          <w:p w14:paraId="1B0101F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45FF9B2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Merge w:val="continue"/>
            <w:vAlign w:val="center"/>
          </w:tcPr>
          <w:p w14:paraId="7FBE4E7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965" w:type="dxa"/>
            <w:gridSpan w:val="3"/>
            <w:vAlign w:val="center"/>
          </w:tcPr>
          <w:p w14:paraId="2757D3D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环境敏感目标分级</w:t>
            </w:r>
          </w:p>
        </w:tc>
        <w:tc>
          <w:tcPr>
            <w:tcW w:w="974" w:type="dxa"/>
            <w:gridSpan w:val="3"/>
            <w:vAlign w:val="center"/>
          </w:tcPr>
          <w:p w14:paraId="1F4FD02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S1</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416D5B3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S</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sym w:font="Wingdings 2" w:char="0052"/>
            </w:r>
          </w:p>
        </w:tc>
        <w:tc>
          <w:tcPr>
            <w:tcW w:w="1416" w:type="dxa"/>
            <w:vAlign w:val="center"/>
          </w:tcPr>
          <w:p w14:paraId="7C0C841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S</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A3"/>
            </w:r>
          </w:p>
        </w:tc>
      </w:tr>
      <w:tr w14:paraId="6205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29FC00C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26D828B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Merge w:val="restart"/>
            <w:vAlign w:val="center"/>
          </w:tcPr>
          <w:p w14:paraId="5295EF0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地下水</w:t>
            </w:r>
          </w:p>
        </w:tc>
        <w:tc>
          <w:tcPr>
            <w:tcW w:w="1965" w:type="dxa"/>
            <w:gridSpan w:val="3"/>
            <w:vAlign w:val="center"/>
          </w:tcPr>
          <w:p w14:paraId="1669067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地下水功能敏感性</w:t>
            </w:r>
          </w:p>
        </w:tc>
        <w:tc>
          <w:tcPr>
            <w:tcW w:w="974" w:type="dxa"/>
            <w:gridSpan w:val="3"/>
            <w:vAlign w:val="center"/>
          </w:tcPr>
          <w:p w14:paraId="0369126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G1</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424294E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G</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sym w:font="Wingdings 2" w:char="00A3"/>
            </w:r>
          </w:p>
        </w:tc>
        <w:tc>
          <w:tcPr>
            <w:tcW w:w="1416" w:type="dxa"/>
            <w:vAlign w:val="center"/>
          </w:tcPr>
          <w:p w14:paraId="77B8719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G</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52"/>
            </w:r>
          </w:p>
        </w:tc>
      </w:tr>
      <w:tr w14:paraId="11DC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77DA0B4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1A6429D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Merge w:val="continue"/>
            <w:vAlign w:val="center"/>
          </w:tcPr>
          <w:p w14:paraId="576EE4E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965" w:type="dxa"/>
            <w:gridSpan w:val="3"/>
            <w:vAlign w:val="center"/>
          </w:tcPr>
          <w:p w14:paraId="09ADA03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包气带防污性能</w:t>
            </w:r>
          </w:p>
        </w:tc>
        <w:tc>
          <w:tcPr>
            <w:tcW w:w="974" w:type="dxa"/>
            <w:gridSpan w:val="3"/>
            <w:vAlign w:val="center"/>
          </w:tcPr>
          <w:p w14:paraId="171B193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rPr>
              <w:t>D1</w:t>
            </w:r>
            <w:r>
              <w:rPr>
                <w:rFonts w:hint="eastAsia" w:ascii="Times New Roman" w:hAnsi="Times New Roman" w:cs="Times New Roman" w:eastAsiaTheme="minorEastAsia"/>
                <w:color w:val="auto"/>
                <w:sz w:val="21"/>
                <w:szCs w:val="21"/>
                <w:vertAlign w:val="baseline"/>
              </w:rPr>
              <w:sym w:font="Wingdings 2" w:char="0052"/>
            </w:r>
          </w:p>
        </w:tc>
        <w:tc>
          <w:tcPr>
            <w:tcW w:w="1561" w:type="dxa"/>
            <w:gridSpan w:val="4"/>
            <w:vAlign w:val="center"/>
          </w:tcPr>
          <w:p w14:paraId="12E6870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D</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sym w:font="Wingdings 2" w:char="00A3"/>
            </w:r>
          </w:p>
        </w:tc>
        <w:tc>
          <w:tcPr>
            <w:tcW w:w="1416" w:type="dxa"/>
            <w:vAlign w:val="center"/>
          </w:tcPr>
          <w:p w14:paraId="0BFE245C">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D</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A3"/>
            </w:r>
          </w:p>
        </w:tc>
      </w:tr>
      <w:tr w14:paraId="5D57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restart"/>
            <w:vAlign w:val="center"/>
          </w:tcPr>
          <w:p w14:paraId="7CDCCEB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物质及工艺系统危险性</w:t>
            </w:r>
          </w:p>
        </w:tc>
        <w:tc>
          <w:tcPr>
            <w:tcW w:w="900" w:type="dxa"/>
            <w:vAlign w:val="center"/>
          </w:tcPr>
          <w:p w14:paraId="049D7F6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Q 值</w:t>
            </w:r>
          </w:p>
        </w:tc>
        <w:tc>
          <w:tcPr>
            <w:tcW w:w="1965" w:type="dxa"/>
            <w:gridSpan w:val="3"/>
            <w:vAlign w:val="center"/>
          </w:tcPr>
          <w:p w14:paraId="40F3991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Q&lt;1</w:t>
            </w:r>
            <w:r>
              <w:rPr>
                <w:rFonts w:hint="eastAsia" w:ascii="Times New Roman" w:hAnsi="Times New Roman" w:cs="Times New Roman" w:eastAsiaTheme="minorEastAsia"/>
                <w:color w:val="auto"/>
                <w:sz w:val="21"/>
                <w:szCs w:val="21"/>
                <w:vertAlign w:val="baseline"/>
              </w:rPr>
              <w:sym w:font="Wingdings 2" w:char="00A3"/>
            </w:r>
          </w:p>
        </w:tc>
        <w:tc>
          <w:tcPr>
            <w:tcW w:w="974" w:type="dxa"/>
            <w:gridSpan w:val="3"/>
            <w:vAlign w:val="center"/>
          </w:tcPr>
          <w:p w14:paraId="56CE96A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1≤Q&lt;10</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7A22768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10≤Q&lt;100</w:t>
            </w:r>
            <w:r>
              <w:rPr>
                <w:rFonts w:hint="eastAsia" w:ascii="Times New Roman" w:hAnsi="Times New Roman" w:cs="Times New Roman" w:eastAsiaTheme="minorEastAsia"/>
                <w:color w:val="auto"/>
                <w:sz w:val="21"/>
                <w:szCs w:val="21"/>
                <w:vertAlign w:val="baseline"/>
              </w:rPr>
              <w:sym w:font="Wingdings 2" w:char="0052"/>
            </w:r>
          </w:p>
        </w:tc>
        <w:tc>
          <w:tcPr>
            <w:tcW w:w="1416" w:type="dxa"/>
            <w:vAlign w:val="center"/>
          </w:tcPr>
          <w:p w14:paraId="6B5BB28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Q&gt;100</w:t>
            </w:r>
            <w:r>
              <w:rPr>
                <w:rFonts w:hint="eastAsia" w:ascii="Times New Roman" w:hAnsi="Times New Roman" w:cs="Times New Roman" w:eastAsiaTheme="minorEastAsia"/>
                <w:color w:val="auto"/>
                <w:sz w:val="21"/>
                <w:szCs w:val="21"/>
                <w:vertAlign w:val="baseline"/>
              </w:rPr>
              <w:sym w:font="Wingdings 2" w:char="00A3"/>
            </w:r>
          </w:p>
        </w:tc>
      </w:tr>
      <w:tr w14:paraId="5099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continue"/>
            <w:vAlign w:val="center"/>
          </w:tcPr>
          <w:p w14:paraId="79577B6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Align w:val="center"/>
          </w:tcPr>
          <w:p w14:paraId="53A37C8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M 值</w:t>
            </w:r>
          </w:p>
        </w:tc>
        <w:tc>
          <w:tcPr>
            <w:tcW w:w="1965" w:type="dxa"/>
            <w:gridSpan w:val="3"/>
            <w:vAlign w:val="center"/>
          </w:tcPr>
          <w:p w14:paraId="5F7CC3B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M1</w:t>
            </w:r>
            <w:r>
              <w:rPr>
                <w:rFonts w:hint="eastAsia" w:ascii="Times New Roman" w:hAnsi="Times New Roman" w:cs="Times New Roman" w:eastAsiaTheme="minorEastAsia"/>
                <w:color w:val="auto"/>
                <w:sz w:val="21"/>
                <w:szCs w:val="21"/>
                <w:vertAlign w:val="baseline"/>
              </w:rPr>
              <w:sym w:font="Wingdings 2" w:char="00A3"/>
            </w:r>
          </w:p>
        </w:tc>
        <w:tc>
          <w:tcPr>
            <w:tcW w:w="974" w:type="dxa"/>
            <w:gridSpan w:val="3"/>
            <w:vAlign w:val="center"/>
          </w:tcPr>
          <w:p w14:paraId="286F0BE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M</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7F44715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M</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A3"/>
            </w:r>
          </w:p>
        </w:tc>
        <w:tc>
          <w:tcPr>
            <w:tcW w:w="1416" w:type="dxa"/>
            <w:vAlign w:val="center"/>
          </w:tcPr>
          <w:p w14:paraId="00C606C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M</w:t>
            </w:r>
            <w:r>
              <w:rPr>
                <w:rFonts w:hint="eastAsia" w:ascii="Times New Roman" w:hAnsi="Times New Roman" w:cs="Times New Roman" w:eastAsiaTheme="minorEastAsia"/>
                <w:color w:val="auto"/>
                <w:sz w:val="21"/>
                <w:szCs w:val="21"/>
                <w:vertAlign w:val="baseline"/>
                <w:lang w:val="en-US" w:eastAsia="zh-CN"/>
              </w:rPr>
              <w:t>4</w:t>
            </w:r>
            <w:r>
              <w:rPr>
                <w:rFonts w:hint="eastAsia" w:ascii="Times New Roman" w:hAnsi="Times New Roman" w:cs="Times New Roman" w:eastAsiaTheme="minorEastAsia"/>
                <w:color w:val="auto"/>
                <w:sz w:val="21"/>
                <w:szCs w:val="21"/>
                <w:vertAlign w:val="baseline"/>
              </w:rPr>
              <w:sym w:font="Wingdings 2" w:char="0052"/>
            </w:r>
          </w:p>
        </w:tc>
      </w:tr>
      <w:tr w14:paraId="29F1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continue"/>
            <w:vAlign w:val="center"/>
          </w:tcPr>
          <w:p w14:paraId="0EDA588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Align w:val="center"/>
          </w:tcPr>
          <w:p w14:paraId="12BE27C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P 值</w:t>
            </w:r>
          </w:p>
        </w:tc>
        <w:tc>
          <w:tcPr>
            <w:tcW w:w="1965" w:type="dxa"/>
            <w:gridSpan w:val="3"/>
            <w:vAlign w:val="center"/>
          </w:tcPr>
          <w:p w14:paraId="42FD6FD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P1</w:t>
            </w:r>
            <w:r>
              <w:rPr>
                <w:rFonts w:hint="eastAsia" w:ascii="Times New Roman" w:hAnsi="Times New Roman" w:cs="Times New Roman" w:eastAsiaTheme="minorEastAsia"/>
                <w:color w:val="auto"/>
                <w:sz w:val="21"/>
                <w:szCs w:val="21"/>
                <w:vertAlign w:val="baseline"/>
              </w:rPr>
              <w:sym w:font="Wingdings 2" w:char="00A3"/>
            </w:r>
          </w:p>
        </w:tc>
        <w:tc>
          <w:tcPr>
            <w:tcW w:w="974" w:type="dxa"/>
            <w:gridSpan w:val="3"/>
            <w:vAlign w:val="center"/>
          </w:tcPr>
          <w:p w14:paraId="46483D2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P</w:t>
            </w:r>
            <w:r>
              <w:rPr>
                <w:rFonts w:hint="eastAsia" w:ascii="Times New Roman" w:hAnsi="Times New Roman" w:cs="Times New Roman" w:eastAsiaTheme="minorEastAsia"/>
                <w:color w:val="auto"/>
                <w:sz w:val="21"/>
                <w:szCs w:val="21"/>
                <w:vertAlign w:val="baseline"/>
                <w:lang w:val="en-US" w:eastAsia="zh-CN"/>
              </w:rPr>
              <w:t>2</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333ADD7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P</w:t>
            </w:r>
            <w:r>
              <w:rPr>
                <w:rFonts w:hint="eastAsia" w:ascii="Times New Roman" w:hAnsi="Times New Roman" w:cs="Times New Roman" w:eastAsiaTheme="minorEastAsia"/>
                <w:color w:val="auto"/>
                <w:sz w:val="21"/>
                <w:szCs w:val="21"/>
                <w:vertAlign w:val="baseline"/>
                <w:lang w:val="en-US" w:eastAsia="zh-CN"/>
              </w:rPr>
              <w:t>3</w:t>
            </w:r>
            <w:r>
              <w:rPr>
                <w:rFonts w:hint="eastAsia" w:ascii="Times New Roman" w:hAnsi="Times New Roman" w:cs="Times New Roman" w:eastAsiaTheme="minorEastAsia"/>
                <w:color w:val="auto"/>
                <w:sz w:val="21"/>
                <w:szCs w:val="21"/>
                <w:vertAlign w:val="baseline"/>
              </w:rPr>
              <w:sym w:font="Wingdings 2" w:char="00A3"/>
            </w:r>
          </w:p>
        </w:tc>
        <w:tc>
          <w:tcPr>
            <w:tcW w:w="1416" w:type="dxa"/>
            <w:vAlign w:val="center"/>
          </w:tcPr>
          <w:p w14:paraId="32C9F8C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eastAsia="zh-CN"/>
              </w:rPr>
            </w:pPr>
            <w:r>
              <w:rPr>
                <w:rFonts w:hint="eastAsia" w:ascii="Times New Roman" w:hAnsi="Times New Roman" w:cs="Times New Roman" w:eastAsiaTheme="minorEastAsia"/>
                <w:color w:val="auto"/>
                <w:sz w:val="21"/>
                <w:szCs w:val="21"/>
                <w:vertAlign w:val="baseline"/>
              </w:rPr>
              <w:t>P</w:t>
            </w:r>
            <w:r>
              <w:rPr>
                <w:rFonts w:hint="eastAsia" w:ascii="Times New Roman" w:hAnsi="Times New Roman" w:cs="Times New Roman" w:eastAsiaTheme="minorEastAsia"/>
                <w:color w:val="auto"/>
                <w:sz w:val="21"/>
                <w:szCs w:val="21"/>
                <w:vertAlign w:val="baseline"/>
                <w:lang w:val="en-US" w:eastAsia="zh-CN"/>
              </w:rPr>
              <w:t>4</w:t>
            </w:r>
            <w:r>
              <w:rPr>
                <w:rFonts w:hint="eastAsia" w:ascii="Times New Roman" w:hAnsi="Times New Roman" w:cs="Times New Roman" w:eastAsiaTheme="minorEastAsia"/>
                <w:color w:val="auto"/>
                <w:sz w:val="21"/>
                <w:szCs w:val="21"/>
                <w:vertAlign w:val="baseline"/>
              </w:rPr>
              <w:sym w:font="Wingdings 2" w:char="0052"/>
            </w:r>
          </w:p>
        </w:tc>
      </w:tr>
      <w:tr w14:paraId="3ADE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restart"/>
            <w:vAlign w:val="center"/>
          </w:tcPr>
          <w:p w14:paraId="1037D1E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环境敏感程度</w:t>
            </w:r>
          </w:p>
        </w:tc>
        <w:tc>
          <w:tcPr>
            <w:tcW w:w="900" w:type="dxa"/>
            <w:vAlign w:val="center"/>
          </w:tcPr>
          <w:p w14:paraId="683A299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大气</w:t>
            </w:r>
          </w:p>
        </w:tc>
        <w:tc>
          <w:tcPr>
            <w:tcW w:w="1965" w:type="dxa"/>
            <w:gridSpan w:val="3"/>
            <w:vAlign w:val="center"/>
          </w:tcPr>
          <w:p w14:paraId="6F76B5A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E1</w:t>
            </w:r>
            <w:r>
              <w:rPr>
                <w:rFonts w:hint="eastAsia" w:ascii="Times New Roman" w:hAnsi="Times New Roman" w:cs="Times New Roman" w:eastAsiaTheme="minorEastAsia"/>
                <w:color w:val="auto"/>
                <w:sz w:val="21"/>
                <w:szCs w:val="21"/>
                <w:vertAlign w:val="baseline"/>
              </w:rPr>
              <w:sym w:font="Wingdings 2" w:char="00A3"/>
            </w:r>
          </w:p>
        </w:tc>
        <w:tc>
          <w:tcPr>
            <w:tcW w:w="1685" w:type="dxa"/>
            <w:gridSpan w:val="5"/>
            <w:vAlign w:val="center"/>
          </w:tcPr>
          <w:p w14:paraId="3E4EE0F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E2</w:t>
            </w:r>
            <w:r>
              <w:rPr>
                <w:rFonts w:hint="eastAsia" w:ascii="Times New Roman" w:hAnsi="Times New Roman" w:cs="Times New Roman" w:eastAsiaTheme="minorEastAsia"/>
                <w:color w:val="auto"/>
                <w:sz w:val="21"/>
                <w:szCs w:val="21"/>
                <w:vertAlign w:val="baseline"/>
              </w:rPr>
              <w:sym w:font="Wingdings 2" w:char="0052"/>
            </w:r>
          </w:p>
        </w:tc>
        <w:tc>
          <w:tcPr>
            <w:tcW w:w="2266" w:type="dxa"/>
            <w:gridSpan w:val="3"/>
            <w:vAlign w:val="center"/>
          </w:tcPr>
          <w:p w14:paraId="7A610D0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E3</w:t>
            </w:r>
            <w:r>
              <w:rPr>
                <w:rFonts w:hint="eastAsia" w:ascii="Times New Roman" w:hAnsi="Times New Roman" w:cs="Times New Roman" w:eastAsiaTheme="minorEastAsia"/>
                <w:color w:val="auto"/>
                <w:sz w:val="21"/>
                <w:szCs w:val="21"/>
                <w:vertAlign w:val="baseline"/>
              </w:rPr>
              <w:sym w:font="Wingdings 2" w:char="00A3"/>
            </w:r>
          </w:p>
        </w:tc>
      </w:tr>
      <w:tr w14:paraId="789D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continue"/>
            <w:vAlign w:val="center"/>
          </w:tcPr>
          <w:p w14:paraId="6A49D54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Align w:val="center"/>
          </w:tcPr>
          <w:p w14:paraId="5DADFAB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地表水</w:t>
            </w:r>
          </w:p>
        </w:tc>
        <w:tc>
          <w:tcPr>
            <w:tcW w:w="1965" w:type="dxa"/>
            <w:gridSpan w:val="3"/>
            <w:vAlign w:val="center"/>
          </w:tcPr>
          <w:p w14:paraId="19DA486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E1</w:t>
            </w:r>
            <w:r>
              <w:rPr>
                <w:rFonts w:hint="eastAsia" w:ascii="Times New Roman" w:hAnsi="Times New Roman" w:cs="Times New Roman" w:eastAsiaTheme="minorEastAsia"/>
                <w:color w:val="auto"/>
                <w:sz w:val="21"/>
                <w:szCs w:val="21"/>
                <w:vertAlign w:val="baseline"/>
              </w:rPr>
              <w:sym w:font="Wingdings 2" w:char="00A3"/>
            </w:r>
          </w:p>
        </w:tc>
        <w:tc>
          <w:tcPr>
            <w:tcW w:w="1685" w:type="dxa"/>
            <w:gridSpan w:val="5"/>
            <w:vAlign w:val="center"/>
          </w:tcPr>
          <w:p w14:paraId="654C8B6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E2</w:t>
            </w:r>
            <w:r>
              <w:rPr>
                <w:rFonts w:hint="eastAsia" w:ascii="Times New Roman" w:hAnsi="Times New Roman" w:cs="Times New Roman" w:eastAsiaTheme="minorEastAsia"/>
                <w:color w:val="auto"/>
                <w:sz w:val="21"/>
                <w:szCs w:val="21"/>
                <w:vertAlign w:val="baseline"/>
              </w:rPr>
              <w:sym w:font="Wingdings 2" w:char="0052"/>
            </w:r>
          </w:p>
        </w:tc>
        <w:tc>
          <w:tcPr>
            <w:tcW w:w="2266" w:type="dxa"/>
            <w:gridSpan w:val="3"/>
            <w:vAlign w:val="center"/>
          </w:tcPr>
          <w:p w14:paraId="4EEC37D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E3</w:t>
            </w:r>
            <w:r>
              <w:rPr>
                <w:rFonts w:hint="eastAsia" w:ascii="Times New Roman" w:hAnsi="Times New Roman" w:cs="Times New Roman" w:eastAsiaTheme="minorEastAsia"/>
                <w:color w:val="auto"/>
                <w:sz w:val="21"/>
                <w:szCs w:val="21"/>
                <w:vertAlign w:val="baseline"/>
              </w:rPr>
              <w:sym w:font="Wingdings 2" w:char="00A3"/>
            </w:r>
          </w:p>
        </w:tc>
      </w:tr>
      <w:tr w14:paraId="40B4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Merge w:val="continue"/>
            <w:vAlign w:val="center"/>
          </w:tcPr>
          <w:p w14:paraId="551249D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900" w:type="dxa"/>
            <w:vAlign w:val="center"/>
          </w:tcPr>
          <w:p w14:paraId="50FA5D5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地下水</w:t>
            </w:r>
          </w:p>
        </w:tc>
        <w:tc>
          <w:tcPr>
            <w:tcW w:w="1965" w:type="dxa"/>
            <w:gridSpan w:val="3"/>
            <w:vAlign w:val="center"/>
          </w:tcPr>
          <w:p w14:paraId="1C51064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E1</w:t>
            </w:r>
            <w:r>
              <w:rPr>
                <w:rFonts w:hint="eastAsia" w:ascii="Times New Roman" w:hAnsi="Times New Roman" w:cs="Times New Roman" w:eastAsiaTheme="minorEastAsia"/>
                <w:color w:val="auto"/>
                <w:sz w:val="21"/>
                <w:szCs w:val="21"/>
                <w:vertAlign w:val="baseline"/>
              </w:rPr>
              <w:sym w:font="Wingdings 2" w:char="00A3"/>
            </w:r>
          </w:p>
        </w:tc>
        <w:tc>
          <w:tcPr>
            <w:tcW w:w="1685" w:type="dxa"/>
            <w:gridSpan w:val="5"/>
            <w:vAlign w:val="center"/>
          </w:tcPr>
          <w:p w14:paraId="14C640A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E2</w:t>
            </w:r>
            <w:r>
              <w:rPr>
                <w:rFonts w:hint="eastAsia" w:ascii="Times New Roman" w:hAnsi="Times New Roman" w:cs="Times New Roman" w:eastAsiaTheme="minorEastAsia"/>
                <w:color w:val="auto"/>
                <w:sz w:val="21"/>
                <w:szCs w:val="21"/>
                <w:vertAlign w:val="baseline"/>
              </w:rPr>
              <w:sym w:font="Wingdings 2" w:char="0052"/>
            </w:r>
          </w:p>
        </w:tc>
        <w:tc>
          <w:tcPr>
            <w:tcW w:w="2266" w:type="dxa"/>
            <w:gridSpan w:val="3"/>
            <w:vAlign w:val="center"/>
          </w:tcPr>
          <w:p w14:paraId="2BE204F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E3</w:t>
            </w:r>
            <w:r>
              <w:rPr>
                <w:rFonts w:hint="eastAsia" w:ascii="Times New Roman" w:hAnsi="Times New Roman" w:cs="Times New Roman" w:eastAsiaTheme="minorEastAsia"/>
                <w:color w:val="auto"/>
                <w:sz w:val="21"/>
                <w:szCs w:val="21"/>
                <w:vertAlign w:val="baseline"/>
              </w:rPr>
              <w:sym w:font="Wingdings 2" w:char="00A3"/>
            </w:r>
          </w:p>
        </w:tc>
      </w:tr>
      <w:tr w14:paraId="4A42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Align w:val="center"/>
          </w:tcPr>
          <w:p w14:paraId="17CE9E2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环境风险潜势</w:t>
            </w:r>
          </w:p>
        </w:tc>
        <w:tc>
          <w:tcPr>
            <w:tcW w:w="900" w:type="dxa"/>
            <w:vAlign w:val="center"/>
          </w:tcPr>
          <w:p w14:paraId="383C316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Ⅳ+</w:t>
            </w:r>
            <w:r>
              <w:rPr>
                <w:rFonts w:hint="eastAsia" w:ascii="Times New Roman" w:hAnsi="Times New Roman" w:cs="Times New Roman" w:eastAsiaTheme="minorEastAsia"/>
                <w:color w:val="auto"/>
                <w:sz w:val="21"/>
                <w:szCs w:val="21"/>
                <w:vertAlign w:val="baseline"/>
              </w:rPr>
              <w:sym w:font="Wingdings 2" w:char="00A3"/>
            </w:r>
          </w:p>
        </w:tc>
        <w:tc>
          <w:tcPr>
            <w:tcW w:w="1965" w:type="dxa"/>
            <w:gridSpan w:val="3"/>
            <w:vAlign w:val="center"/>
          </w:tcPr>
          <w:p w14:paraId="5CE41C6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Ⅳ</w:t>
            </w:r>
            <w:r>
              <w:rPr>
                <w:rFonts w:hint="eastAsia" w:ascii="Times New Roman" w:hAnsi="Times New Roman" w:cs="Times New Roman" w:eastAsiaTheme="minorEastAsia"/>
                <w:color w:val="auto"/>
                <w:sz w:val="21"/>
                <w:szCs w:val="21"/>
                <w:vertAlign w:val="baseline"/>
              </w:rPr>
              <w:sym w:font="Wingdings 2" w:char="00A3"/>
            </w:r>
          </w:p>
        </w:tc>
        <w:tc>
          <w:tcPr>
            <w:tcW w:w="974" w:type="dxa"/>
            <w:gridSpan w:val="3"/>
            <w:vAlign w:val="center"/>
          </w:tcPr>
          <w:p w14:paraId="3FC4BCC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Ⅲ</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3B7031D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Ⅱ</w:t>
            </w:r>
            <w:r>
              <w:rPr>
                <w:rFonts w:hint="eastAsia" w:ascii="Times New Roman" w:hAnsi="Times New Roman" w:cs="Times New Roman" w:eastAsiaTheme="minorEastAsia"/>
                <w:color w:val="auto"/>
                <w:sz w:val="21"/>
                <w:szCs w:val="21"/>
                <w:vertAlign w:val="baseline"/>
              </w:rPr>
              <w:sym w:font="Wingdings 2" w:char="0052"/>
            </w:r>
          </w:p>
        </w:tc>
        <w:tc>
          <w:tcPr>
            <w:tcW w:w="1416" w:type="dxa"/>
            <w:vAlign w:val="center"/>
          </w:tcPr>
          <w:p w14:paraId="5D3A39D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Ⅰ</w:t>
            </w:r>
            <w:r>
              <w:rPr>
                <w:rFonts w:hint="eastAsia" w:ascii="Times New Roman" w:hAnsi="Times New Roman" w:cs="Times New Roman" w:eastAsiaTheme="minorEastAsia"/>
                <w:color w:val="auto"/>
                <w:sz w:val="21"/>
                <w:szCs w:val="21"/>
                <w:vertAlign w:val="baseline"/>
              </w:rPr>
              <w:sym w:font="Wingdings 2" w:char="00A3"/>
            </w:r>
          </w:p>
        </w:tc>
      </w:tr>
      <w:tr w14:paraId="0F6E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244" w:type="dxa"/>
            <w:gridSpan w:val="2"/>
            <w:vAlign w:val="center"/>
          </w:tcPr>
          <w:p w14:paraId="420031E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评价等级</w:t>
            </w:r>
          </w:p>
        </w:tc>
        <w:tc>
          <w:tcPr>
            <w:tcW w:w="2865" w:type="dxa"/>
            <w:gridSpan w:val="4"/>
            <w:vAlign w:val="center"/>
          </w:tcPr>
          <w:p w14:paraId="12ED473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一级</w:t>
            </w:r>
            <w:r>
              <w:rPr>
                <w:rFonts w:hint="eastAsia" w:ascii="Times New Roman" w:hAnsi="Times New Roman" w:cs="Times New Roman" w:eastAsiaTheme="minorEastAsia"/>
                <w:color w:val="auto"/>
                <w:sz w:val="21"/>
                <w:szCs w:val="21"/>
                <w:vertAlign w:val="baseline"/>
              </w:rPr>
              <w:sym w:font="Wingdings 2" w:char="00A3"/>
            </w:r>
          </w:p>
        </w:tc>
        <w:tc>
          <w:tcPr>
            <w:tcW w:w="974" w:type="dxa"/>
            <w:gridSpan w:val="3"/>
            <w:vAlign w:val="center"/>
          </w:tcPr>
          <w:p w14:paraId="26E829C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lang w:val="en-US" w:eastAsia="zh-CN"/>
              </w:rPr>
              <w:t>二</w:t>
            </w:r>
            <w:r>
              <w:rPr>
                <w:rFonts w:hint="eastAsia" w:ascii="Times New Roman" w:hAnsi="Times New Roman" w:cs="Times New Roman" w:eastAsiaTheme="minorEastAsia"/>
                <w:color w:val="auto"/>
                <w:sz w:val="21"/>
                <w:szCs w:val="21"/>
                <w:vertAlign w:val="baseline"/>
              </w:rPr>
              <w:t>级</w:t>
            </w:r>
            <w:r>
              <w:rPr>
                <w:rFonts w:hint="eastAsia" w:ascii="Times New Roman" w:hAnsi="Times New Roman" w:cs="Times New Roman" w:eastAsiaTheme="minorEastAsia"/>
                <w:color w:val="auto"/>
                <w:sz w:val="21"/>
                <w:szCs w:val="21"/>
                <w:vertAlign w:val="baseline"/>
              </w:rPr>
              <w:sym w:font="Wingdings 2" w:char="00A3"/>
            </w:r>
          </w:p>
        </w:tc>
        <w:tc>
          <w:tcPr>
            <w:tcW w:w="1561" w:type="dxa"/>
            <w:gridSpan w:val="4"/>
            <w:vAlign w:val="center"/>
          </w:tcPr>
          <w:p w14:paraId="544692B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lang w:val="en-US" w:eastAsia="zh-CN"/>
              </w:rPr>
              <w:t>三</w:t>
            </w:r>
            <w:r>
              <w:rPr>
                <w:rFonts w:hint="eastAsia" w:ascii="Times New Roman" w:hAnsi="Times New Roman" w:cs="Times New Roman" w:eastAsiaTheme="minorEastAsia"/>
                <w:color w:val="auto"/>
                <w:sz w:val="21"/>
                <w:szCs w:val="21"/>
                <w:vertAlign w:val="baseline"/>
              </w:rPr>
              <w:t>级</w:t>
            </w:r>
            <w:r>
              <w:rPr>
                <w:rFonts w:hint="eastAsia" w:ascii="Times New Roman" w:hAnsi="Times New Roman" w:cs="Times New Roman" w:eastAsiaTheme="minorEastAsia"/>
                <w:color w:val="auto"/>
                <w:sz w:val="21"/>
                <w:szCs w:val="21"/>
                <w:vertAlign w:val="baseline"/>
              </w:rPr>
              <w:sym w:font="Wingdings 2" w:char="0052"/>
            </w:r>
          </w:p>
        </w:tc>
        <w:tc>
          <w:tcPr>
            <w:tcW w:w="1416" w:type="dxa"/>
            <w:vAlign w:val="center"/>
          </w:tcPr>
          <w:p w14:paraId="61D5839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简单分析</w:t>
            </w:r>
            <w:r>
              <w:rPr>
                <w:rFonts w:hint="eastAsia" w:ascii="Times New Roman" w:hAnsi="Times New Roman" w:cs="Times New Roman" w:eastAsiaTheme="minorEastAsia"/>
                <w:color w:val="auto"/>
                <w:sz w:val="21"/>
                <w:szCs w:val="21"/>
                <w:vertAlign w:val="baseline"/>
              </w:rPr>
              <w:sym w:font="Wingdings 2" w:char="00A3"/>
            </w:r>
          </w:p>
        </w:tc>
      </w:tr>
      <w:tr w14:paraId="0C69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14:paraId="2F374A9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风险识别</w:t>
            </w:r>
          </w:p>
        </w:tc>
        <w:tc>
          <w:tcPr>
            <w:tcW w:w="1490" w:type="dxa"/>
            <w:vAlign w:val="center"/>
          </w:tcPr>
          <w:p w14:paraId="3DDC6E1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物质危险性</w:t>
            </w:r>
          </w:p>
        </w:tc>
        <w:tc>
          <w:tcPr>
            <w:tcW w:w="3040" w:type="dxa"/>
            <w:gridSpan w:val="6"/>
            <w:vAlign w:val="center"/>
          </w:tcPr>
          <w:p w14:paraId="50CEE8AC">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有毒有害</w:t>
            </w:r>
            <w:r>
              <w:rPr>
                <w:rFonts w:hint="eastAsia" w:ascii="Times New Roman" w:hAnsi="Times New Roman" w:cs="Times New Roman" w:eastAsiaTheme="minorEastAsia"/>
                <w:color w:val="auto"/>
                <w:sz w:val="21"/>
                <w:szCs w:val="21"/>
                <w:vertAlign w:val="baseline"/>
              </w:rPr>
              <w:sym w:font="Wingdings 2" w:char="00A3"/>
            </w:r>
          </w:p>
        </w:tc>
        <w:tc>
          <w:tcPr>
            <w:tcW w:w="3776" w:type="dxa"/>
            <w:gridSpan w:val="6"/>
            <w:vAlign w:val="center"/>
          </w:tcPr>
          <w:p w14:paraId="6D0EDC6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易燃易爆</w:t>
            </w:r>
            <w:r>
              <w:rPr>
                <w:rFonts w:hint="eastAsia" w:ascii="Times New Roman" w:hAnsi="Times New Roman" w:cs="Times New Roman" w:eastAsiaTheme="minorEastAsia"/>
                <w:color w:val="auto"/>
                <w:sz w:val="21"/>
                <w:szCs w:val="21"/>
                <w:vertAlign w:val="baseline"/>
              </w:rPr>
              <w:sym w:font="Wingdings 2" w:char="0052"/>
            </w:r>
          </w:p>
        </w:tc>
      </w:tr>
      <w:tr w14:paraId="374F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66D699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Align w:val="center"/>
          </w:tcPr>
          <w:p w14:paraId="0E7B3D15">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环境风险类型</w:t>
            </w:r>
          </w:p>
        </w:tc>
        <w:tc>
          <w:tcPr>
            <w:tcW w:w="3040" w:type="dxa"/>
            <w:gridSpan w:val="6"/>
            <w:vAlign w:val="center"/>
          </w:tcPr>
          <w:p w14:paraId="0F1BFEB8">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泄露</w:t>
            </w:r>
            <w:r>
              <w:rPr>
                <w:rFonts w:hint="eastAsia" w:ascii="Times New Roman" w:hAnsi="Times New Roman" w:cs="Times New Roman" w:eastAsiaTheme="minorEastAsia"/>
                <w:color w:val="auto"/>
                <w:sz w:val="21"/>
                <w:szCs w:val="21"/>
                <w:vertAlign w:val="baseline"/>
              </w:rPr>
              <w:sym w:font="Wingdings 2" w:char="00A3"/>
            </w:r>
          </w:p>
        </w:tc>
        <w:tc>
          <w:tcPr>
            <w:tcW w:w="3776" w:type="dxa"/>
            <w:gridSpan w:val="6"/>
            <w:vAlign w:val="center"/>
          </w:tcPr>
          <w:p w14:paraId="72E534B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火灾、爆炸引发伴生/次生污染物排放</w:t>
            </w:r>
            <w:r>
              <w:rPr>
                <w:rFonts w:hint="eastAsia" w:ascii="Times New Roman" w:hAnsi="Times New Roman" w:cs="Times New Roman" w:eastAsiaTheme="minorEastAsia"/>
                <w:color w:val="auto"/>
                <w:sz w:val="21"/>
                <w:szCs w:val="21"/>
                <w:vertAlign w:val="baseline"/>
              </w:rPr>
              <w:sym w:font="Wingdings 2" w:char="0052"/>
            </w:r>
          </w:p>
        </w:tc>
      </w:tr>
      <w:tr w14:paraId="48A3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B86518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Align w:val="center"/>
          </w:tcPr>
          <w:p w14:paraId="054C16F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影响途径</w:t>
            </w:r>
          </w:p>
        </w:tc>
        <w:tc>
          <w:tcPr>
            <w:tcW w:w="1781" w:type="dxa"/>
            <w:gridSpan w:val="3"/>
            <w:vAlign w:val="center"/>
          </w:tcPr>
          <w:p w14:paraId="1F4896A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大气</w:t>
            </w:r>
            <w:r>
              <w:rPr>
                <w:rFonts w:hint="eastAsia" w:ascii="Times New Roman" w:hAnsi="Times New Roman" w:cs="Times New Roman" w:eastAsiaTheme="minorEastAsia"/>
                <w:color w:val="auto"/>
                <w:sz w:val="21"/>
                <w:szCs w:val="21"/>
                <w:vertAlign w:val="baseline"/>
              </w:rPr>
              <w:sym w:font="Wingdings 2" w:char="0052"/>
            </w:r>
          </w:p>
        </w:tc>
        <w:tc>
          <w:tcPr>
            <w:tcW w:w="2517" w:type="dxa"/>
            <w:gridSpan w:val="5"/>
            <w:vAlign w:val="center"/>
          </w:tcPr>
          <w:p w14:paraId="4F359E9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地表水</w:t>
            </w:r>
            <w:r>
              <w:rPr>
                <w:rFonts w:hint="eastAsia" w:ascii="Times New Roman" w:hAnsi="Times New Roman" w:cs="Times New Roman" w:eastAsiaTheme="minorEastAsia"/>
                <w:color w:val="auto"/>
                <w:sz w:val="21"/>
                <w:szCs w:val="21"/>
                <w:vertAlign w:val="baseline"/>
              </w:rPr>
              <w:sym w:font="Wingdings 2" w:char="0052"/>
            </w:r>
          </w:p>
        </w:tc>
        <w:tc>
          <w:tcPr>
            <w:tcW w:w="2518" w:type="dxa"/>
            <w:gridSpan w:val="4"/>
            <w:vAlign w:val="center"/>
          </w:tcPr>
          <w:p w14:paraId="33809941">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rPr>
              <w:t>地</w:t>
            </w:r>
            <w:r>
              <w:rPr>
                <w:rFonts w:hint="eastAsia" w:ascii="Times New Roman" w:hAnsi="Times New Roman" w:cs="Times New Roman" w:eastAsiaTheme="minorEastAsia"/>
                <w:color w:val="auto"/>
                <w:sz w:val="21"/>
                <w:szCs w:val="21"/>
                <w:vertAlign w:val="baseline"/>
                <w:lang w:val="en-US" w:eastAsia="zh-CN"/>
              </w:rPr>
              <w:t>下</w:t>
            </w:r>
            <w:r>
              <w:rPr>
                <w:rFonts w:hint="eastAsia" w:ascii="Times New Roman" w:hAnsi="Times New Roman" w:cs="Times New Roman" w:eastAsiaTheme="minorEastAsia"/>
                <w:color w:val="auto"/>
                <w:sz w:val="21"/>
                <w:szCs w:val="21"/>
                <w:vertAlign w:val="baseline"/>
              </w:rPr>
              <w:t>水</w:t>
            </w:r>
            <w:r>
              <w:rPr>
                <w:rFonts w:hint="eastAsia" w:ascii="Times New Roman" w:hAnsi="Times New Roman" w:cs="Times New Roman" w:eastAsiaTheme="minorEastAsia"/>
                <w:color w:val="auto"/>
                <w:sz w:val="21"/>
                <w:szCs w:val="21"/>
                <w:vertAlign w:val="baseline"/>
              </w:rPr>
              <w:sym w:font="Wingdings 2" w:char="0052"/>
            </w:r>
          </w:p>
        </w:tc>
      </w:tr>
      <w:tr w14:paraId="28E0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Align w:val="center"/>
          </w:tcPr>
          <w:p w14:paraId="0902D4C0">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事故情形分析</w:t>
            </w:r>
          </w:p>
        </w:tc>
        <w:tc>
          <w:tcPr>
            <w:tcW w:w="1545" w:type="dxa"/>
            <w:gridSpan w:val="2"/>
            <w:vAlign w:val="center"/>
          </w:tcPr>
          <w:p w14:paraId="067CB699">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源强设定方法</w:t>
            </w:r>
          </w:p>
        </w:tc>
        <w:tc>
          <w:tcPr>
            <w:tcW w:w="1492" w:type="dxa"/>
            <w:gridSpan w:val="3"/>
            <w:vAlign w:val="center"/>
          </w:tcPr>
          <w:p w14:paraId="2413B27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计算法</w:t>
            </w:r>
            <w:r>
              <w:rPr>
                <w:rFonts w:hint="eastAsia" w:ascii="Times New Roman" w:hAnsi="Times New Roman" w:cs="Times New Roman" w:eastAsiaTheme="minorEastAsia"/>
                <w:color w:val="auto"/>
                <w:sz w:val="21"/>
                <w:szCs w:val="21"/>
                <w:vertAlign w:val="baseline"/>
              </w:rPr>
              <w:sym w:font="Wingdings 2" w:char="00A3"/>
            </w:r>
          </w:p>
        </w:tc>
        <w:tc>
          <w:tcPr>
            <w:tcW w:w="1886" w:type="dxa"/>
            <w:gridSpan w:val="5"/>
            <w:vAlign w:val="center"/>
          </w:tcPr>
          <w:p w14:paraId="47C48EE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经验估算法</w:t>
            </w:r>
            <w:r>
              <w:rPr>
                <w:rFonts w:hint="eastAsia" w:ascii="Times New Roman" w:hAnsi="Times New Roman" w:cs="Times New Roman" w:eastAsiaTheme="minorEastAsia"/>
                <w:color w:val="auto"/>
                <w:sz w:val="21"/>
                <w:szCs w:val="21"/>
                <w:vertAlign w:val="baseline"/>
              </w:rPr>
              <w:sym w:font="Wingdings 2" w:char="00A3"/>
            </w:r>
          </w:p>
        </w:tc>
        <w:tc>
          <w:tcPr>
            <w:tcW w:w="1893" w:type="dxa"/>
            <w:gridSpan w:val="2"/>
            <w:vAlign w:val="center"/>
          </w:tcPr>
          <w:p w14:paraId="067F291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其他估算法</w:t>
            </w:r>
            <w:r>
              <w:rPr>
                <w:rFonts w:hint="eastAsia" w:ascii="Times New Roman" w:hAnsi="Times New Roman" w:cs="Times New Roman" w:eastAsiaTheme="minorEastAsia"/>
                <w:color w:val="auto"/>
                <w:sz w:val="21"/>
                <w:szCs w:val="21"/>
                <w:vertAlign w:val="baseline"/>
              </w:rPr>
              <w:sym w:font="Wingdings 2" w:char="00A3"/>
            </w:r>
          </w:p>
        </w:tc>
      </w:tr>
      <w:tr w14:paraId="7E54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14:paraId="54705D8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风险预测与评价</w:t>
            </w:r>
          </w:p>
        </w:tc>
        <w:tc>
          <w:tcPr>
            <w:tcW w:w="1490" w:type="dxa"/>
            <w:vMerge w:val="restart"/>
            <w:vAlign w:val="center"/>
          </w:tcPr>
          <w:p w14:paraId="70C05BC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大气</w:t>
            </w:r>
          </w:p>
        </w:tc>
        <w:tc>
          <w:tcPr>
            <w:tcW w:w="1545" w:type="dxa"/>
            <w:gridSpan w:val="2"/>
            <w:vAlign w:val="center"/>
          </w:tcPr>
          <w:p w14:paraId="467C6C1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预测模型</w:t>
            </w:r>
          </w:p>
        </w:tc>
        <w:tc>
          <w:tcPr>
            <w:tcW w:w="1492" w:type="dxa"/>
            <w:gridSpan w:val="3"/>
            <w:vAlign w:val="center"/>
          </w:tcPr>
          <w:p w14:paraId="353B19C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SLAB</w:t>
            </w:r>
            <w:r>
              <w:rPr>
                <w:rFonts w:hint="eastAsia" w:ascii="Times New Roman" w:hAnsi="Times New Roman" w:cs="Times New Roman" w:eastAsiaTheme="minorEastAsia"/>
                <w:color w:val="auto"/>
                <w:sz w:val="21"/>
                <w:szCs w:val="21"/>
                <w:vertAlign w:val="baseline"/>
              </w:rPr>
              <w:sym w:font="Wingdings 2" w:char="00A3"/>
            </w:r>
          </w:p>
        </w:tc>
        <w:tc>
          <w:tcPr>
            <w:tcW w:w="1886" w:type="dxa"/>
            <w:gridSpan w:val="5"/>
            <w:vAlign w:val="center"/>
          </w:tcPr>
          <w:p w14:paraId="4E2C79F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AFTOX</w:t>
            </w:r>
            <w:r>
              <w:rPr>
                <w:rFonts w:hint="eastAsia" w:ascii="Times New Roman" w:hAnsi="Times New Roman" w:cs="Times New Roman" w:eastAsiaTheme="minorEastAsia"/>
                <w:color w:val="auto"/>
                <w:sz w:val="21"/>
                <w:szCs w:val="21"/>
                <w:vertAlign w:val="baseline"/>
              </w:rPr>
              <w:sym w:font="Wingdings 2" w:char="00A3"/>
            </w:r>
          </w:p>
        </w:tc>
        <w:tc>
          <w:tcPr>
            <w:tcW w:w="1893" w:type="dxa"/>
            <w:gridSpan w:val="2"/>
            <w:vAlign w:val="center"/>
          </w:tcPr>
          <w:p w14:paraId="5E32D9D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其他</w:t>
            </w:r>
            <w:r>
              <w:rPr>
                <w:rFonts w:hint="eastAsia" w:ascii="Times New Roman" w:hAnsi="Times New Roman" w:cs="Times New Roman" w:eastAsiaTheme="minorEastAsia"/>
                <w:color w:val="auto"/>
                <w:sz w:val="21"/>
                <w:szCs w:val="21"/>
                <w:vertAlign w:val="baseline"/>
              </w:rPr>
              <w:sym w:font="Wingdings 2" w:char="00A3"/>
            </w:r>
          </w:p>
        </w:tc>
      </w:tr>
      <w:tr w14:paraId="6010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32F0454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32D71E3A">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545" w:type="dxa"/>
            <w:gridSpan w:val="2"/>
            <w:vMerge w:val="restart"/>
            <w:vAlign w:val="center"/>
          </w:tcPr>
          <w:p w14:paraId="2C936EA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预测结果</w:t>
            </w:r>
          </w:p>
        </w:tc>
        <w:tc>
          <w:tcPr>
            <w:tcW w:w="5271" w:type="dxa"/>
            <w:gridSpan w:val="10"/>
            <w:vAlign w:val="center"/>
          </w:tcPr>
          <w:p w14:paraId="15E5C67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大气毒性终点浓度-1 最大影响范围</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m</w:t>
            </w:r>
          </w:p>
        </w:tc>
      </w:tr>
      <w:tr w14:paraId="441F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2EED7B9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4486D81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545" w:type="dxa"/>
            <w:gridSpan w:val="2"/>
            <w:vMerge w:val="continue"/>
            <w:vAlign w:val="center"/>
          </w:tcPr>
          <w:p w14:paraId="393F48B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5271" w:type="dxa"/>
            <w:gridSpan w:val="10"/>
            <w:vAlign w:val="center"/>
          </w:tcPr>
          <w:p w14:paraId="058212ED">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大气毒性终点浓度-2 最大影响范围</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m</w:t>
            </w:r>
          </w:p>
        </w:tc>
      </w:tr>
      <w:tr w14:paraId="57E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249C20F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Align w:val="center"/>
          </w:tcPr>
          <w:p w14:paraId="4C812CD7">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地表水</w:t>
            </w:r>
          </w:p>
        </w:tc>
        <w:tc>
          <w:tcPr>
            <w:tcW w:w="6816" w:type="dxa"/>
            <w:gridSpan w:val="12"/>
            <w:vAlign w:val="center"/>
          </w:tcPr>
          <w:p w14:paraId="4B0F61B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最近环境敏感目标</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 xml:space="preserve">，到达时间 </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h</w:t>
            </w:r>
          </w:p>
        </w:tc>
      </w:tr>
      <w:tr w14:paraId="038A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20DEB41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restart"/>
            <w:vAlign w:val="center"/>
          </w:tcPr>
          <w:p w14:paraId="0B6E5F5B">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地下水</w:t>
            </w:r>
          </w:p>
        </w:tc>
        <w:tc>
          <w:tcPr>
            <w:tcW w:w="6816" w:type="dxa"/>
            <w:gridSpan w:val="12"/>
            <w:vAlign w:val="center"/>
          </w:tcPr>
          <w:p w14:paraId="55472824">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下游厂区边界到达时间</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 xml:space="preserve"> d</w:t>
            </w:r>
          </w:p>
        </w:tc>
      </w:tr>
      <w:tr w14:paraId="5FBF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4204184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1490" w:type="dxa"/>
            <w:vMerge w:val="continue"/>
            <w:vAlign w:val="center"/>
          </w:tcPr>
          <w:p w14:paraId="3C0A3F86">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p>
        </w:tc>
        <w:tc>
          <w:tcPr>
            <w:tcW w:w="6816" w:type="dxa"/>
            <w:gridSpan w:val="12"/>
            <w:vAlign w:val="center"/>
          </w:tcPr>
          <w:p w14:paraId="0C29326F">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最近环境敏感目标</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 xml:space="preserve"> ，到达时间</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 xml:space="preserve"> d</w:t>
            </w:r>
          </w:p>
        </w:tc>
      </w:tr>
      <w:tr w14:paraId="3C57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Align w:val="center"/>
          </w:tcPr>
          <w:p w14:paraId="530E0FD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重点风险防范措施</w:t>
            </w:r>
          </w:p>
        </w:tc>
        <w:tc>
          <w:tcPr>
            <w:tcW w:w="6816" w:type="dxa"/>
            <w:gridSpan w:val="12"/>
            <w:vAlign w:val="center"/>
          </w:tcPr>
          <w:p w14:paraId="0C0DF219">
            <w:pPr>
              <w:jc w:val="center"/>
              <w:rPr>
                <w:rFonts w:hint="default" w:ascii="Times New Roman" w:hAnsi="Times New Roman" w:cs="Times New Roman" w:eastAsiaTheme="minorEastAsia"/>
                <w:color w:val="auto"/>
                <w:sz w:val="21"/>
                <w:szCs w:val="21"/>
                <w:vertAlign w:val="baseline"/>
                <w:lang w:val="en-US"/>
              </w:rPr>
            </w:pPr>
            <w:r>
              <w:rPr>
                <w:rFonts w:hint="eastAsia" w:ascii="Times New Roman" w:hAnsi="Times New Roman" w:eastAsia="宋体" w:cs="Times New Roman"/>
                <w:color w:val="auto"/>
                <w:spacing w:val="4"/>
                <w:kern w:val="24"/>
                <w:sz w:val="21"/>
                <w:szCs w:val="24"/>
                <w:lang w:val="zh-CN" w:eastAsia="zh-CN" w:bidi="ar-SA"/>
              </w:rPr>
              <w:t>严格执行火种管理规定，严禁携带火种进入仓库区，禁止在仓库区吸烟</w:t>
            </w:r>
            <w:r>
              <w:rPr>
                <w:rFonts w:hint="eastAsia" w:cs="Times New Roman"/>
                <w:color w:val="auto"/>
                <w:spacing w:val="4"/>
                <w:kern w:val="24"/>
                <w:sz w:val="21"/>
                <w:szCs w:val="24"/>
                <w:lang w:val="zh-CN" w:eastAsia="zh-CN" w:bidi="ar-SA"/>
              </w:rPr>
              <w:t>，</w:t>
            </w:r>
            <w:r>
              <w:rPr>
                <w:rFonts w:hint="eastAsia" w:ascii="Times New Roman" w:hAnsi="Times New Roman" w:eastAsia="宋体" w:cs="Times New Roman"/>
                <w:color w:val="auto"/>
                <w:spacing w:val="4"/>
                <w:kern w:val="24"/>
                <w:sz w:val="21"/>
                <w:szCs w:val="24"/>
                <w:lang w:val="zh-CN" w:eastAsia="zh-CN" w:bidi="ar-SA"/>
              </w:rPr>
              <w:t>进入仓库区的车辆应熄火，进入仓库区人员禁止使用手机，不应穿带有铁钉的工作鞋和易产生静电的工作服</w:t>
            </w:r>
            <w:r>
              <w:rPr>
                <w:rFonts w:hint="eastAsia" w:cs="Times New Roman"/>
                <w:color w:val="auto"/>
                <w:spacing w:val="4"/>
                <w:kern w:val="24"/>
                <w:sz w:val="21"/>
                <w:szCs w:val="24"/>
                <w:lang w:val="en-US" w:eastAsia="zh-CN" w:bidi="ar-SA"/>
              </w:rPr>
              <w:t>等</w:t>
            </w:r>
          </w:p>
        </w:tc>
      </w:tr>
      <w:tr w14:paraId="1232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gridSpan w:val="2"/>
            <w:vAlign w:val="center"/>
          </w:tcPr>
          <w:p w14:paraId="6A696033">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评价结论与建议</w:t>
            </w:r>
          </w:p>
        </w:tc>
        <w:tc>
          <w:tcPr>
            <w:tcW w:w="6816" w:type="dxa"/>
            <w:gridSpan w:val="12"/>
            <w:vAlign w:val="center"/>
          </w:tcPr>
          <w:p w14:paraId="63D76152">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项目环境风险可防控，总体环境风险小。</w:t>
            </w:r>
          </w:p>
        </w:tc>
      </w:tr>
      <w:tr w14:paraId="0F05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4"/>
            <w:vAlign w:val="center"/>
          </w:tcPr>
          <w:p w14:paraId="39A38B4E">
            <w:pPr>
              <w:pStyle w:val="31"/>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auto"/>
              <w:rPr>
                <w:rFonts w:hint="eastAsia" w:ascii="Times New Roman" w:hAnsi="Times New Roman" w:cs="Times New Roman" w:eastAsiaTheme="minorEastAsia"/>
                <w:color w:val="auto"/>
                <w:sz w:val="21"/>
                <w:szCs w:val="21"/>
                <w:vertAlign w:val="baseline"/>
              </w:rPr>
            </w:pPr>
            <w:r>
              <w:rPr>
                <w:rFonts w:hint="eastAsia" w:ascii="Times New Roman" w:hAnsi="Times New Roman" w:cs="Times New Roman" w:eastAsiaTheme="minorEastAsia"/>
                <w:color w:val="auto"/>
                <w:sz w:val="21"/>
                <w:szCs w:val="21"/>
                <w:vertAlign w:val="baseline"/>
              </w:rPr>
              <w:t>注：</w:t>
            </w:r>
            <w:r>
              <w:rPr>
                <w:rFonts w:hint="eastAsia" w:ascii="Times New Roman" w:hAnsi="Times New Roman" w:cs="Times New Roman" w:eastAsiaTheme="minorEastAsia"/>
                <w:color w:val="auto"/>
                <w:sz w:val="21"/>
                <w:szCs w:val="21"/>
                <w:vertAlign w:val="baseline"/>
              </w:rPr>
              <w:sym w:font="Wingdings 2" w:char="00A3"/>
            </w:r>
            <w:r>
              <w:rPr>
                <w:rFonts w:hint="eastAsia" w:ascii="Times New Roman" w:hAnsi="Times New Roman" w:cs="Times New Roman" w:eastAsiaTheme="minorEastAsia"/>
                <w:color w:val="auto"/>
                <w:sz w:val="21"/>
                <w:szCs w:val="21"/>
                <w:vertAlign w:val="baseline"/>
              </w:rPr>
              <w:t>为勾选项，“</w:t>
            </w:r>
            <w:r>
              <w:rPr>
                <w:rFonts w:hint="eastAsia" w:ascii="Times New Roman" w:hAnsi="Times New Roman" w:cs="Times New Roman" w:eastAsiaTheme="minorEastAsia"/>
                <w:color w:val="auto"/>
                <w:sz w:val="21"/>
                <w:szCs w:val="21"/>
                <w:vertAlign w:val="baseline"/>
                <w:lang w:val="en-US" w:eastAsia="zh-CN"/>
              </w:rPr>
              <w:t xml:space="preserve">    </w:t>
            </w:r>
            <w:r>
              <w:rPr>
                <w:rFonts w:hint="eastAsia" w:ascii="Times New Roman" w:hAnsi="Times New Roman" w:cs="Times New Roman" w:eastAsiaTheme="minorEastAsia"/>
                <w:color w:val="auto"/>
                <w:sz w:val="21"/>
                <w:szCs w:val="21"/>
                <w:vertAlign w:val="baseline"/>
              </w:rPr>
              <w:t xml:space="preserve"> ”为填写项。</w:t>
            </w:r>
          </w:p>
        </w:tc>
      </w:tr>
    </w:tbl>
    <w:p w14:paraId="53C1AA1E">
      <w:pPr>
        <w:pStyle w:val="31"/>
        <w:ind w:firstLine="420"/>
        <w:rPr>
          <w:rFonts w:ascii="Times New Roman" w:hAnsi="Times New Roman" w:cs="Times New Roman" w:eastAsiaTheme="minorEastAsia"/>
          <w:color w:val="auto"/>
          <w:sz w:val="21"/>
          <w:szCs w:val="21"/>
        </w:rPr>
      </w:pPr>
    </w:p>
    <w:p w14:paraId="57582DE0">
      <w:pPr>
        <w:rPr>
          <w:rFonts w:ascii="Times New Roman" w:hAnsi="Times New Roman" w:cs="Times New Roman" w:eastAsiaTheme="minorEastAsia"/>
          <w:color w:val="auto"/>
          <w:sz w:val="21"/>
          <w:szCs w:val="21"/>
        </w:rPr>
      </w:pPr>
    </w:p>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ms Rmn">
    <w:altName w:val="Times New Roman"/>
    <w:panose1 w:val="02020603040505020304"/>
    <w:charset w:val="00"/>
    <w:family w:val="roman"/>
    <w:pitch w:val="default"/>
    <w:sig w:usb0="00000000" w:usb1="00000000" w:usb2="00000000" w:usb3="00000000" w:csb0="00000001" w:csb1="00000000"/>
  </w:font>
  <w:font w:name="華康中楷體">
    <w:altName w:val="Microsoft JhengHei"/>
    <w:panose1 w:val="00000000000000000000"/>
    <w:charset w:val="88"/>
    <w:family w:val="roman"/>
    <w:pitch w:val="default"/>
    <w:sig w:usb0="00000000" w:usb1="00000000" w:usb2="00000010" w:usb3="00000000" w:csb0="00100000" w:csb1="00000000"/>
  </w:font>
  <w:font w:name="Microsoft JhengHei">
    <w:panose1 w:val="020B0604030504040204"/>
    <w:charset w:val="88"/>
    <w:family w:val="auto"/>
    <w:pitch w:val="default"/>
    <w:sig w:usb0="00000087" w:usb1="28AF4000" w:usb2="00000016" w:usb3="00000000" w:csb0="00100009"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Times New Roman PS MT">
    <w:altName w:val="Times New Roman"/>
    <w:panose1 w:val="00000000000000000000"/>
    <w:charset w:val="00"/>
    <w:family w:val="auto"/>
    <w:pitch w:val="default"/>
    <w:sig w:usb0="00000000" w:usb1="00000000" w:usb2="00000000" w:usb3="00000000" w:csb0="00000000" w:csb1="00000000"/>
  </w:font>
  <w:font w:name="*KSZOCQSRLL0_20_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UAQIKJNT0_24_0">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5D4E4">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A8F86">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35138">
    <w:pPr>
      <w:pStyle w:val="15"/>
      <w:ind w:right="360" w:firstLine="360"/>
    </w:pPr>
    <w:r>
      <w:rPr>
        <w:sz w:val="18"/>
      </w:rP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1160D81">
                <w:pPr>
                  <w:pStyle w:val="15"/>
                </w:pPr>
                <w:r>
                  <w:fldChar w:fldCharType="begin"/>
                </w:r>
                <w:r>
                  <w:instrText xml:space="preserve"> PAGE  \* MERGEFORMAT </w:instrText>
                </w:r>
                <w:r>
                  <w:fldChar w:fldCharType="separate"/>
                </w:r>
                <w:r>
                  <w:t>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77B16">
    <w:pPr>
      <w:pStyle w:val="15"/>
      <w:ind w:right="360" w:firstLine="360"/>
    </w:pPr>
    <w:r>
      <w:rPr>
        <w:sz w:val="18"/>
      </w:rPr>
      <w:pict>
        <v:shape id="_x0000_s3074" o:spid="_x0000_s3074"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BD2F862">
                <w:pPr>
                  <w:pStyle w:val="1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27FD0"/>
    <w:multiLevelType w:val="singleLevel"/>
    <w:tmpl w:val="8CA27FD0"/>
    <w:lvl w:ilvl="0" w:tentative="0">
      <w:start w:val="7"/>
      <w:numFmt w:val="chineseCounting"/>
      <w:suff w:val="nothing"/>
      <w:lvlText w:val="%1、"/>
      <w:lvlJc w:val="left"/>
      <w:rPr>
        <w:rFonts w:hint="eastAsia"/>
      </w:rPr>
    </w:lvl>
  </w:abstractNum>
  <w:abstractNum w:abstractNumId="1">
    <w:nsid w:val="AFF6CE6D"/>
    <w:multiLevelType w:val="singleLevel"/>
    <w:tmpl w:val="AFF6CE6D"/>
    <w:lvl w:ilvl="0" w:tentative="0">
      <w:start w:val="4"/>
      <w:numFmt w:val="decimal"/>
      <w:suff w:val="nothing"/>
      <w:lvlText w:val="%1、"/>
      <w:lvlJc w:val="left"/>
    </w:lvl>
  </w:abstractNum>
  <w:abstractNum w:abstractNumId="2">
    <w:nsid w:val="B8B7FDCA"/>
    <w:multiLevelType w:val="multilevel"/>
    <w:tmpl w:val="B8B7FDCA"/>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abstractNum w:abstractNumId="3">
    <w:nsid w:val="D032C92B"/>
    <w:multiLevelType w:val="singleLevel"/>
    <w:tmpl w:val="D032C92B"/>
    <w:lvl w:ilvl="0" w:tentative="0">
      <w:start w:val="8"/>
      <w:numFmt w:val="decimal"/>
      <w:suff w:val="nothing"/>
      <w:lvlText w:val="%1、"/>
      <w:lvlJc w:val="left"/>
    </w:lvl>
  </w:abstractNum>
  <w:abstractNum w:abstractNumId="4">
    <w:nsid w:val="13EF92C9"/>
    <w:multiLevelType w:val="singleLevel"/>
    <w:tmpl w:val="13EF92C9"/>
    <w:lvl w:ilvl="0" w:tentative="0">
      <w:start w:val="1"/>
      <w:numFmt w:val="decimal"/>
      <w:suff w:val="nothing"/>
      <w:lvlText w:val="（%1）"/>
      <w:lvlJc w:val="left"/>
    </w:lvl>
  </w:abstractNum>
  <w:abstractNum w:abstractNumId="5">
    <w:nsid w:val="5FB1634F"/>
    <w:multiLevelType w:val="multilevel"/>
    <w:tmpl w:val="5FB1634F"/>
    <w:lvl w:ilvl="0" w:tentative="0">
      <w:start w:val="1"/>
      <w:numFmt w:val="japaneseCounting"/>
      <w:lvlText w:val="%1、"/>
      <w:lvlJc w:val="left"/>
      <w:pPr>
        <w:ind w:left="852" w:hanging="432"/>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2965E5B"/>
    <w:multiLevelType w:val="multilevel"/>
    <w:tmpl w:val="62965E5B"/>
    <w:lvl w:ilvl="0" w:tentative="0">
      <w:start w:val="1"/>
      <w:numFmt w:val="decimalEnclosedCircle"/>
      <w:lvlText w:val="%1"/>
      <w:lvlJc w:val="left"/>
      <w:pPr>
        <w:ind w:left="360" w:hanging="360"/>
      </w:pPr>
      <w:rPr>
        <w:rFonts w:hint="default" w:ascii="宋体" w:hAnsi="宋体" w:cs="宋体"/>
        <w:b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E58E8E6"/>
    <w:multiLevelType w:val="multilevel"/>
    <w:tmpl w:val="6E58E8E6"/>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num w:numId="1">
    <w:abstractNumId w:val="1"/>
  </w:num>
  <w:num w:numId="2">
    <w:abstractNumId w:val="7"/>
  </w:num>
  <w:num w:numId="3">
    <w:abstractNumId w:val="2"/>
  </w:num>
  <w:num w:numId="4">
    <w:abstractNumId w:val="3"/>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revisionView w:markup="0"/>
  <w:documentProtection w:edit="trackedChanges" w:enforcement="0"/>
  <w:defaultTabStop w:val="421"/>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60B3"/>
    <w:rsid w:val="00007833"/>
    <w:rsid w:val="00014409"/>
    <w:rsid w:val="00017B2B"/>
    <w:rsid w:val="0002201D"/>
    <w:rsid w:val="00026D90"/>
    <w:rsid w:val="00030EE1"/>
    <w:rsid w:val="00041D56"/>
    <w:rsid w:val="00042992"/>
    <w:rsid w:val="0004364B"/>
    <w:rsid w:val="000474EB"/>
    <w:rsid w:val="00050B11"/>
    <w:rsid w:val="00051D6E"/>
    <w:rsid w:val="00052B14"/>
    <w:rsid w:val="00061A58"/>
    <w:rsid w:val="00061B1F"/>
    <w:rsid w:val="000733C4"/>
    <w:rsid w:val="000735B4"/>
    <w:rsid w:val="00074783"/>
    <w:rsid w:val="0008070B"/>
    <w:rsid w:val="000810AC"/>
    <w:rsid w:val="00081A02"/>
    <w:rsid w:val="00082231"/>
    <w:rsid w:val="000841B2"/>
    <w:rsid w:val="00092D38"/>
    <w:rsid w:val="0009377B"/>
    <w:rsid w:val="000A20C9"/>
    <w:rsid w:val="000A25EE"/>
    <w:rsid w:val="000B058F"/>
    <w:rsid w:val="000B4467"/>
    <w:rsid w:val="000B4DB9"/>
    <w:rsid w:val="000B772D"/>
    <w:rsid w:val="000C02A5"/>
    <w:rsid w:val="000C09AC"/>
    <w:rsid w:val="000C5D8F"/>
    <w:rsid w:val="000C767F"/>
    <w:rsid w:val="000D10CA"/>
    <w:rsid w:val="000D5A44"/>
    <w:rsid w:val="000E3ED2"/>
    <w:rsid w:val="000E584E"/>
    <w:rsid w:val="001040BF"/>
    <w:rsid w:val="001066BB"/>
    <w:rsid w:val="00127B96"/>
    <w:rsid w:val="00131F42"/>
    <w:rsid w:val="0013510E"/>
    <w:rsid w:val="001357F1"/>
    <w:rsid w:val="00140FA8"/>
    <w:rsid w:val="00142FEB"/>
    <w:rsid w:val="00143A2D"/>
    <w:rsid w:val="00145A41"/>
    <w:rsid w:val="00151675"/>
    <w:rsid w:val="00154A91"/>
    <w:rsid w:val="00154F78"/>
    <w:rsid w:val="00155A99"/>
    <w:rsid w:val="00157435"/>
    <w:rsid w:val="00160A47"/>
    <w:rsid w:val="00160DB3"/>
    <w:rsid w:val="00164B56"/>
    <w:rsid w:val="00171A2D"/>
    <w:rsid w:val="00172A27"/>
    <w:rsid w:val="00173F72"/>
    <w:rsid w:val="0017504D"/>
    <w:rsid w:val="0017671A"/>
    <w:rsid w:val="00176EC0"/>
    <w:rsid w:val="00177422"/>
    <w:rsid w:val="00180131"/>
    <w:rsid w:val="0018252D"/>
    <w:rsid w:val="00184590"/>
    <w:rsid w:val="001870D1"/>
    <w:rsid w:val="0018781E"/>
    <w:rsid w:val="0019262D"/>
    <w:rsid w:val="001951B1"/>
    <w:rsid w:val="001A1B35"/>
    <w:rsid w:val="001A48A2"/>
    <w:rsid w:val="001A62C0"/>
    <w:rsid w:val="001A6F61"/>
    <w:rsid w:val="001B72B8"/>
    <w:rsid w:val="001C69B3"/>
    <w:rsid w:val="001C72AF"/>
    <w:rsid w:val="001D50E5"/>
    <w:rsid w:val="001D5595"/>
    <w:rsid w:val="001D7874"/>
    <w:rsid w:val="001D7F22"/>
    <w:rsid w:val="001E2E10"/>
    <w:rsid w:val="001E4568"/>
    <w:rsid w:val="001F0F17"/>
    <w:rsid w:val="001F27CB"/>
    <w:rsid w:val="001F3347"/>
    <w:rsid w:val="001F67C3"/>
    <w:rsid w:val="001F69E4"/>
    <w:rsid w:val="002007CE"/>
    <w:rsid w:val="002019D1"/>
    <w:rsid w:val="00210B46"/>
    <w:rsid w:val="002125B4"/>
    <w:rsid w:val="00213AC0"/>
    <w:rsid w:val="002140C5"/>
    <w:rsid w:val="002145D9"/>
    <w:rsid w:val="002155B8"/>
    <w:rsid w:val="00216E9D"/>
    <w:rsid w:val="00221379"/>
    <w:rsid w:val="002231CD"/>
    <w:rsid w:val="00224839"/>
    <w:rsid w:val="002249B2"/>
    <w:rsid w:val="0022521E"/>
    <w:rsid w:val="00225347"/>
    <w:rsid w:val="00226574"/>
    <w:rsid w:val="002278EC"/>
    <w:rsid w:val="0023280E"/>
    <w:rsid w:val="0023543B"/>
    <w:rsid w:val="002377D1"/>
    <w:rsid w:val="002414E1"/>
    <w:rsid w:val="00244531"/>
    <w:rsid w:val="002466DB"/>
    <w:rsid w:val="002506BC"/>
    <w:rsid w:val="00254345"/>
    <w:rsid w:val="00254D83"/>
    <w:rsid w:val="00264557"/>
    <w:rsid w:val="0027675F"/>
    <w:rsid w:val="002805AB"/>
    <w:rsid w:val="002811F9"/>
    <w:rsid w:val="00284204"/>
    <w:rsid w:val="00291773"/>
    <w:rsid w:val="002917A8"/>
    <w:rsid w:val="002A168C"/>
    <w:rsid w:val="002A2723"/>
    <w:rsid w:val="002A3DC7"/>
    <w:rsid w:val="002B3E2C"/>
    <w:rsid w:val="002B49E2"/>
    <w:rsid w:val="002B7B00"/>
    <w:rsid w:val="002B7C44"/>
    <w:rsid w:val="002C13B2"/>
    <w:rsid w:val="002C1D63"/>
    <w:rsid w:val="002C2B17"/>
    <w:rsid w:val="002D12D4"/>
    <w:rsid w:val="002D3DD0"/>
    <w:rsid w:val="002D3E9D"/>
    <w:rsid w:val="002D4E29"/>
    <w:rsid w:val="002E184D"/>
    <w:rsid w:val="002E1F3A"/>
    <w:rsid w:val="002E298A"/>
    <w:rsid w:val="002F6CB9"/>
    <w:rsid w:val="00301978"/>
    <w:rsid w:val="00302C95"/>
    <w:rsid w:val="0030332C"/>
    <w:rsid w:val="003051C2"/>
    <w:rsid w:val="00312296"/>
    <w:rsid w:val="00314F0E"/>
    <w:rsid w:val="00321D8E"/>
    <w:rsid w:val="0032568A"/>
    <w:rsid w:val="00325928"/>
    <w:rsid w:val="00331688"/>
    <w:rsid w:val="00332863"/>
    <w:rsid w:val="0033684D"/>
    <w:rsid w:val="00337904"/>
    <w:rsid w:val="00337B42"/>
    <w:rsid w:val="00341B42"/>
    <w:rsid w:val="00342E6E"/>
    <w:rsid w:val="00343095"/>
    <w:rsid w:val="0034348F"/>
    <w:rsid w:val="003500D5"/>
    <w:rsid w:val="00350B03"/>
    <w:rsid w:val="003529A7"/>
    <w:rsid w:val="00352BD9"/>
    <w:rsid w:val="00356653"/>
    <w:rsid w:val="0035743F"/>
    <w:rsid w:val="00357BE2"/>
    <w:rsid w:val="0036170C"/>
    <w:rsid w:val="00362AF4"/>
    <w:rsid w:val="00363FC5"/>
    <w:rsid w:val="00365928"/>
    <w:rsid w:val="00366952"/>
    <w:rsid w:val="00366E0F"/>
    <w:rsid w:val="00372B61"/>
    <w:rsid w:val="00372D0A"/>
    <w:rsid w:val="00375247"/>
    <w:rsid w:val="00381A72"/>
    <w:rsid w:val="00384676"/>
    <w:rsid w:val="00390857"/>
    <w:rsid w:val="00395D2D"/>
    <w:rsid w:val="003974E9"/>
    <w:rsid w:val="00397665"/>
    <w:rsid w:val="003A4BF3"/>
    <w:rsid w:val="003B420D"/>
    <w:rsid w:val="003C4D98"/>
    <w:rsid w:val="003C6C16"/>
    <w:rsid w:val="003D5DC5"/>
    <w:rsid w:val="003D794D"/>
    <w:rsid w:val="003E1A81"/>
    <w:rsid w:val="003E3058"/>
    <w:rsid w:val="003E76A9"/>
    <w:rsid w:val="003F05A2"/>
    <w:rsid w:val="003F0809"/>
    <w:rsid w:val="003F0AE3"/>
    <w:rsid w:val="003F0BA7"/>
    <w:rsid w:val="003F2187"/>
    <w:rsid w:val="003F4317"/>
    <w:rsid w:val="003F472D"/>
    <w:rsid w:val="003F6A8C"/>
    <w:rsid w:val="003F755C"/>
    <w:rsid w:val="00403807"/>
    <w:rsid w:val="00406F01"/>
    <w:rsid w:val="00416794"/>
    <w:rsid w:val="00416D50"/>
    <w:rsid w:val="00416FD5"/>
    <w:rsid w:val="00417772"/>
    <w:rsid w:val="0042093D"/>
    <w:rsid w:val="00420E6A"/>
    <w:rsid w:val="00421DB2"/>
    <w:rsid w:val="00422B64"/>
    <w:rsid w:val="00425A9E"/>
    <w:rsid w:val="00426D6B"/>
    <w:rsid w:val="004302D4"/>
    <w:rsid w:val="00431E6C"/>
    <w:rsid w:val="00433CE7"/>
    <w:rsid w:val="004351A6"/>
    <w:rsid w:val="00435322"/>
    <w:rsid w:val="00436165"/>
    <w:rsid w:val="0043732A"/>
    <w:rsid w:val="00437CA8"/>
    <w:rsid w:val="0044701D"/>
    <w:rsid w:val="00452738"/>
    <w:rsid w:val="00453B65"/>
    <w:rsid w:val="00456091"/>
    <w:rsid w:val="00466321"/>
    <w:rsid w:val="0047277E"/>
    <w:rsid w:val="004747B7"/>
    <w:rsid w:val="00477204"/>
    <w:rsid w:val="00484293"/>
    <w:rsid w:val="00484B9B"/>
    <w:rsid w:val="004855F6"/>
    <w:rsid w:val="0048661E"/>
    <w:rsid w:val="00486E7A"/>
    <w:rsid w:val="00490497"/>
    <w:rsid w:val="0049351E"/>
    <w:rsid w:val="00494670"/>
    <w:rsid w:val="004A22DB"/>
    <w:rsid w:val="004A3823"/>
    <w:rsid w:val="004B2A97"/>
    <w:rsid w:val="004B50C6"/>
    <w:rsid w:val="004D60AF"/>
    <w:rsid w:val="004E6946"/>
    <w:rsid w:val="004F1AD8"/>
    <w:rsid w:val="00501529"/>
    <w:rsid w:val="005039CB"/>
    <w:rsid w:val="0050558F"/>
    <w:rsid w:val="00506286"/>
    <w:rsid w:val="00510813"/>
    <w:rsid w:val="00511990"/>
    <w:rsid w:val="00511DE0"/>
    <w:rsid w:val="00514870"/>
    <w:rsid w:val="00514B9B"/>
    <w:rsid w:val="00516289"/>
    <w:rsid w:val="00517F02"/>
    <w:rsid w:val="005239AF"/>
    <w:rsid w:val="00523D73"/>
    <w:rsid w:val="00524303"/>
    <w:rsid w:val="005258A2"/>
    <w:rsid w:val="00526ADB"/>
    <w:rsid w:val="00531B18"/>
    <w:rsid w:val="00532FC9"/>
    <w:rsid w:val="00534EC0"/>
    <w:rsid w:val="00540092"/>
    <w:rsid w:val="005401AE"/>
    <w:rsid w:val="00542E07"/>
    <w:rsid w:val="00545424"/>
    <w:rsid w:val="00552877"/>
    <w:rsid w:val="00554A7B"/>
    <w:rsid w:val="0055572C"/>
    <w:rsid w:val="0056106A"/>
    <w:rsid w:val="00561FBA"/>
    <w:rsid w:val="00564416"/>
    <w:rsid w:val="005720AE"/>
    <w:rsid w:val="005727B4"/>
    <w:rsid w:val="005771A9"/>
    <w:rsid w:val="005929CA"/>
    <w:rsid w:val="00594D77"/>
    <w:rsid w:val="00596805"/>
    <w:rsid w:val="005969E4"/>
    <w:rsid w:val="005A06B7"/>
    <w:rsid w:val="005A1759"/>
    <w:rsid w:val="005A28F5"/>
    <w:rsid w:val="005A3786"/>
    <w:rsid w:val="005A68A7"/>
    <w:rsid w:val="005B44A8"/>
    <w:rsid w:val="005C5B78"/>
    <w:rsid w:val="005D31D0"/>
    <w:rsid w:val="005D36AB"/>
    <w:rsid w:val="005D4411"/>
    <w:rsid w:val="005D7C89"/>
    <w:rsid w:val="005E1C07"/>
    <w:rsid w:val="005E2CDB"/>
    <w:rsid w:val="005E4DA6"/>
    <w:rsid w:val="005E520B"/>
    <w:rsid w:val="005E5413"/>
    <w:rsid w:val="005F08DE"/>
    <w:rsid w:val="00600A5C"/>
    <w:rsid w:val="00600C6D"/>
    <w:rsid w:val="00601EB6"/>
    <w:rsid w:val="00617CC3"/>
    <w:rsid w:val="00617EEB"/>
    <w:rsid w:val="006230C0"/>
    <w:rsid w:val="006377A6"/>
    <w:rsid w:val="00637A3D"/>
    <w:rsid w:val="006411EF"/>
    <w:rsid w:val="00643B51"/>
    <w:rsid w:val="00644935"/>
    <w:rsid w:val="0064614B"/>
    <w:rsid w:val="0065051E"/>
    <w:rsid w:val="006518CB"/>
    <w:rsid w:val="006604FB"/>
    <w:rsid w:val="00660A19"/>
    <w:rsid w:val="006748B8"/>
    <w:rsid w:val="006775C3"/>
    <w:rsid w:val="00685588"/>
    <w:rsid w:val="00691F71"/>
    <w:rsid w:val="0069290A"/>
    <w:rsid w:val="0069775A"/>
    <w:rsid w:val="00697813"/>
    <w:rsid w:val="0069792B"/>
    <w:rsid w:val="006A3EE8"/>
    <w:rsid w:val="006A58D5"/>
    <w:rsid w:val="006A72BF"/>
    <w:rsid w:val="006A7DAA"/>
    <w:rsid w:val="006B03F2"/>
    <w:rsid w:val="006B1E07"/>
    <w:rsid w:val="006B20CD"/>
    <w:rsid w:val="006B37DC"/>
    <w:rsid w:val="006B4F68"/>
    <w:rsid w:val="006C0592"/>
    <w:rsid w:val="006C1189"/>
    <w:rsid w:val="006C126C"/>
    <w:rsid w:val="006C272E"/>
    <w:rsid w:val="006C5479"/>
    <w:rsid w:val="006D13B5"/>
    <w:rsid w:val="006D5594"/>
    <w:rsid w:val="006E12FF"/>
    <w:rsid w:val="006E607E"/>
    <w:rsid w:val="006F3B40"/>
    <w:rsid w:val="007033D6"/>
    <w:rsid w:val="00706C5D"/>
    <w:rsid w:val="007175FE"/>
    <w:rsid w:val="00721581"/>
    <w:rsid w:val="00721F42"/>
    <w:rsid w:val="00732922"/>
    <w:rsid w:val="00732F1A"/>
    <w:rsid w:val="0075162E"/>
    <w:rsid w:val="00754034"/>
    <w:rsid w:val="00756556"/>
    <w:rsid w:val="007618C4"/>
    <w:rsid w:val="007645A6"/>
    <w:rsid w:val="00767980"/>
    <w:rsid w:val="00770B19"/>
    <w:rsid w:val="00771F7B"/>
    <w:rsid w:val="0077463F"/>
    <w:rsid w:val="007748F4"/>
    <w:rsid w:val="007836EA"/>
    <w:rsid w:val="00784CDA"/>
    <w:rsid w:val="007906C4"/>
    <w:rsid w:val="007940EA"/>
    <w:rsid w:val="0079420D"/>
    <w:rsid w:val="007967E8"/>
    <w:rsid w:val="007A2170"/>
    <w:rsid w:val="007A22BF"/>
    <w:rsid w:val="007A3323"/>
    <w:rsid w:val="007B72B8"/>
    <w:rsid w:val="007B740E"/>
    <w:rsid w:val="007B7A58"/>
    <w:rsid w:val="007C0BF3"/>
    <w:rsid w:val="007C21B5"/>
    <w:rsid w:val="007D09CA"/>
    <w:rsid w:val="007D1B79"/>
    <w:rsid w:val="007D29CD"/>
    <w:rsid w:val="007E1450"/>
    <w:rsid w:val="007E4BD2"/>
    <w:rsid w:val="007E63EB"/>
    <w:rsid w:val="007E6F08"/>
    <w:rsid w:val="007F4DA7"/>
    <w:rsid w:val="007F5EF9"/>
    <w:rsid w:val="008006D3"/>
    <w:rsid w:val="00801393"/>
    <w:rsid w:val="00802F88"/>
    <w:rsid w:val="0080348D"/>
    <w:rsid w:val="00806D49"/>
    <w:rsid w:val="0081293E"/>
    <w:rsid w:val="00815465"/>
    <w:rsid w:val="00815980"/>
    <w:rsid w:val="00817E9A"/>
    <w:rsid w:val="00817F93"/>
    <w:rsid w:val="00822A2F"/>
    <w:rsid w:val="008306BD"/>
    <w:rsid w:val="00831A80"/>
    <w:rsid w:val="00833743"/>
    <w:rsid w:val="008340A4"/>
    <w:rsid w:val="00850227"/>
    <w:rsid w:val="008516FE"/>
    <w:rsid w:val="00852999"/>
    <w:rsid w:val="0086106E"/>
    <w:rsid w:val="00865C7F"/>
    <w:rsid w:val="00867F3A"/>
    <w:rsid w:val="00870547"/>
    <w:rsid w:val="0087135F"/>
    <w:rsid w:val="00872D94"/>
    <w:rsid w:val="008742EA"/>
    <w:rsid w:val="00875A79"/>
    <w:rsid w:val="00880364"/>
    <w:rsid w:val="008868F9"/>
    <w:rsid w:val="00891592"/>
    <w:rsid w:val="00891E9E"/>
    <w:rsid w:val="008A2F68"/>
    <w:rsid w:val="008B4FA6"/>
    <w:rsid w:val="008B5282"/>
    <w:rsid w:val="008B5C73"/>
    <w:rsid w:val="008B6E15"/>
    <w:rsid w:val="008B700D"/>
    <w:rsid w:val="008B7C17"/>
    <w:rsid w:val="008C2D01"/>
    <w:rsid w:val="008C40E6"/>
    <w:rsid w:val="008C7770"/>
    <w:rsid w:val="008D0F7A"/>
    <w:rsid w:val="008D68E4"/>
    <w:rsid w:val="008E0506"/>
    <w:rsid w:val="008E0CFF"/>
    <w:rsid w:val="008E39A3"/>
    <w:rsid w:val="008E5D6B"/>
    <w:rsid w:val="008E76F0"/>
    <w:rsid w:val="008F15FE"/>
    <w:rsid w:val="008F2D29"/>
    <w:rsid w:val="008F5187"/>
    <w:rsid w:val="008F60D8"/>
    <w:rsid w:val="00902727"/>
    <w:rsid w:val="0090312B"/>
    <w:rsid w:val="0090385F"/>
    <w:rsid w:val="00904D8E"/>
    <w:rsid w:val="0091736D"/>
    <w:rsid w:val="0092326D"/>
    <w:rsid w:val="00923467"/>
    <w:rsid w:val="00924639"/>
    <w:rsid w:val="009255B5"/>
    <w:rsid w:val="0093007E"/>
    <w:rsid w:val="0093037A"/>
    <w:rsid w:val="0094154D"/>
    <w:rsid w:val="009417AF"/>
    <w:rsid w:val="0094469C"/>
    <w:rsid w:val="0095155F"/>
    <w:rsid w:val="00952D42"/>
    <w:rsid w:val="00953D28"/>
    <w:rsid w:val="00954429"/>
    <w:rsid w:val="009563CE"/>
    <w:rsid w:val="009623E8"/>
    <w:rsid w:val="0096697E"/>
    <w:rsid w:val="009672C3"/>
    <w:rsid w:val="00976328"/>
    <w:rsid w:val="0097680D"/>
    <w:rsid w:val="00980A80"/>
    <w:rsid w:val="00982438"/>
    <w:rsid w:val="00983E83"/>
    <w:rsid w:val="0098404C"/>
    <w:rsid w:val="00985283"/>
    <w:rsid w:val="009919F6"/>
    <w:rsid w:val="009947C6"/>
    <w:rsid w:val="00995992"/>
    <w:rsid w:val="009A03E5"/>
    <w:rsid w:val="009A0F3B"/>
    <w:rsid w:val="009A1BB4"/>
    <w:rsid w:val="009A2628"/>
    <w:rsid w:val="009A3200"/>
    <w:rsid w:val="009A784F"/>
    <w:rsid w:val="009B0897"/>
    <w:rsid w:val="009B5127"/>
    <w:rsid w:val="009B6D85"/>
    <w:rsid w:val="009B7BD9"/>
    <w:rsid w:val="009C1BB2"/>
    <w:rsid w:val="009C2DDC"/>
    <w:rsid w:val="009C7DD5"/>
    <w:rsid w:val="009E227D"/>
    <w:rsid w:val="009E2EB5"/>
    <w:rsid w:val="009E5019"/>
    <w:rsid w:val="009F0A8E"/>
    <w:rsid w:val="00A03943"/>
    <w:rsid w:val="00A04F1B"/>
    <w:rsid w:val="00A0501B"/>
    <w:rsid w:val="00A142A2"/>
    <w:rsid w:val="00A14947"/>
    <w:rsid w:val="00A16EA4"/>
    <w:rsid w:val="00A171DE"/>
    <w:rsid w:val="00A3212F"/>
    <w:rsid w:val="00A32A83"/>
    <w:rsid w:val="00A368DB"/>
    <w:rsid w:val="00A423AA"/>
    <w:rsid w:val="00A44158"/>
    <w:rsid w:val="00A45BB2"/>
    <w:rsid w:val="00A517E5"/>
    <w:rsid w:val="00A53EC6"/>
    <w:rsid w:val="00A55C0F"/>
    <w:rsid w:val="00A578AE"/>
    <w:rsid w:val="00A6311C"/>
    <w:rsid w:val="00A66124"/>
    <w:rsid w:val="00A71FAD"/>
    <w:rsid w:val="00A81C41"/>
    <w:rsid w:val="00A858F5"/>
    <w:rsid w:val="00A8713F"/>
    <w:rsid w:val="00A90BA1"/>
    <w:rsid w:val="00A9584D"/>
    <w:rsid w:val="00A97A9A"/>
    <w:rsid w:val="00AA0671"/>
    <w:rsid w:val="00AA2531"/>
    <w:rsid w:val="00AA61FD"/>
    <w:rsid w:val="00AB1934"/>
    <w:rsid w:val="00AB1E09"/>
    <w:rsid w:val="00AB5330"/>
    <w:rsid w:val="00AB6FC1"/>
    <w:rsid w:val="00AB7747"/>
    <w:rsid w:val="00AB7759"/>
    <w:rsid w:val="00AC14CE"/>
    <w:rsid w:val="00AC2A56"/>
    <w:rsid w:val="00AC5B08"/>
    <w:rsid w:val="00AD055E"/>
    <w:rsid w:val="00AD47A7"/>
    <w:rsid w:val="00AD4999"/>
    <w:rsid w:val="00AD5A2D"/>
    <w:rsid w:val="00AD60A7"/>
    <w:rsid w:val="00AE0180"/>
    <w:rsid w:val="00AE0E95"/>
    <w:rsid w:val="00AE0F27"/>
    <w:rsid w:val="00AE19C8"/>
    <w:rsid w:val="00AE7163"/>
    <w:rsid w:val="00AF0CBF"/>
    <w:rsid w:val="00AF257F"/>
    <w:rsid w:val="00AF33CF"/>
    <w:rsid w:val="00AF4D50"/>
    <w:rsid w:val="00AF6179"/>
    <w:rsid w:val="00B0357B"/>
    <w:rsid w:val="00B07EB3"/>
    <w:rsid w:val="00B1295A"/>
    <w:rsid w:val="00B13E4F"/>
    <w:rsid w:val="00B20A45"/>
    <w:rsid w:val="00B221A2"/>
    <w:rsid w:val="00B22C5C"/>
    <w:rsid w:val="00B23C07"/>
    <w:rsid w:val="00B24F30"/>
    <w:rsid w:val="00B2738D"/>
    <w:rsid w:val="00B31ABF"/>
    <w:rsid w:val="00B33BE3"/>
    <w:rsid w:val="00B3627D"/>
    <w:rsid w:val="00B47603"/>
    <w:rsid w:val="00B523C6"/>
    <w:rsid w:val="00B53B5D"/>
    <w:rsid w:val="00B5608E"/>
    <w:rsid w:val="00B6055E"/>
    <w:rsid w:val="00B615EF"/>
    <w:rsid w:val="00B6317D"/>
    <w:rsid w:val="00B66166"/>
    <w:rsid w:val="00B67EB5"/>
    <w:rsid w:val="00B75C21"/>
    <w:rsid w:val="00B7723F"/>
    <w:rsid w:val="00B80534"/>
    <w:rsid w:val="00B8433C"/>
    <w:rsid w:val="00B87491"/>
    <w:rsid w:val="00BA29E9"/>
    <w:rsid w:val="00BA3644"/>
    <w:rsid w:val="00BA7142"/>
    <w:rsid w:val="00BB18E1"/>
    <w:rsid w:val="00BB237C"/>
    <w:rsid w:val="00BB41A3"/>
    <w:rsid w:val="00BB6AC3"/>
    <w:rsid w:val="00BC32DC"/>
    <w:rsid w:val="00BC35B6"/>
    <w:rsid w:val="00BC3628"/>
    <w:rsid w:val="00BC3EAE"/>
    <w:rsid w:val="00BC5C6E"/>
    <w:rsid w:val="00BD15BE"/>
    <w:rsid w:val="00BD1B51"/>
    <w:rsid w:val="00BD4596"/>
    <w:rsid w:val="00BE1405"/>
    <w:rsid w:val="00BE312D"/>
    <w:rsid w:val="00BE3991"/>
    <w:rsid w:val="00BF18ED"/>
    <w:rsid w:val="00BF1C20"/>
    <w:rsid w:val="00C0279D"/>
    <w:rsid w:val="00C10578"/>
    <w:rsid w:val="00C135BC"/>
    <w:rsid w:val="00C15C95"/>
    <w:rsid w:val="00C226CE"/>
    <w:rsid w:val="00C23B4A"/>
    <w:rsid w:val="00C2596A"/>
    <w:rsid w:val="00C27537"/>
    <w:rsid w:val="00C30B84"/>
    <w:rsid w:val="00C32082"/>
    <w:rsid w:val="00C328FE"/>
    <w:rsid w:val="00C33507"/>
    <w:rsid w:val="00C33554"/>
    <w:rsid w:val="00C4409D"/>
    <w:rsid w:val="00C44E72"/>
    <w:rsid w:val="00C450D2"/>
    <w:rsid w:val="00C45A06"/>
    <w:rsid w:val="00C47E5B"/>
    <w:rsid w:val="00C516B2"/>
    <w:rsid w:val="00C53E5B"/>
    <w:rsid w:val="00C61E4B"/>
    <w:rsid w:val="00C61F24"/>
    <w:rsid w:val="00C64BFF"/>
    <w:rsid w:val="00C704E9"/>
    <w:rsid w:val="00C763C9"/>
    <w:rsid w:val="00C80057"/>
    <w:rsid w:val="00C82232"/>
    <w:rsid w:val="00C82913"/>
    <w:rsid w:val="00C948C9"/>
    <w:rsid w:val="00C972B1"/>
    <w:rsid w:val="00CA0D5F"/>
    <w:rsid w:val="00CA2CCE"/>
    <w:rsid w:val="00CA43FD"/>
    <w:rsid w:val="00CA7EF8"/>
    <w:rsid w:val="00CC489B"/>
    <w:rsid w:val="00CD18CE"/>
    <w:rsid w:val="00CD1BA4"/>
    <w:rsid w:val="00CD2BCD"/>
    <w:rsid w:val="00CD32FF"/>
    <w:rsid w:val="00CD3A4C"/>
    <w:rsid w:val="00CE10E9"/>
    <w:rsid w:val="00CE2910"/>
    <w:rsid w:val="00CE49B0"/>
    <w:rsid w:val="00CE5393"/>
    <w:rsid w:val="00CF36BE"/>
    <w:rsid w:val="00CF6000"/>
    <w:rsid w:val="00CF78ED"/>
    <w:rsid w:val="00D00252"/>
    <w:rsid w:val="00D003F3"/>
    <w:rsid w:val="00D0364F"/>
    <w:rsid w:val="00D036EC"/>
    <w:rsid w:val="00D0663E"/>
    <w:rsid w:val="00D06834"/>
    <w:rsid w:val="00D308ED"/>
    <w:rsid w:val="00D30C02"/>
    <w:rsid w:val="00D36D86"/>
    <w:rsid w:val="00D428AA"/>
    <w:rsid w:val="00D4598C"/>
    <w:rsid w:val="00D476B1"/>
    <w:rsid w:val="00D50A34"/>
    <w:rsid w:val="00D53EFA"/>
    <w:rsid w:val="00D56521"/>
    <w:rsid w:val="00D848B6"/>
    <w:rsid w:val="00D93896"/>
    <w:rsid w:val="00D94A7C"/>
    <w:rsid w:val="00D95896"/>
    <w:rsid w:val="00D96F30"/>
    <w:rsid w:val="00DA61E3"/>
    <w:rsid w:val="00DA66FC"/>
    <w:rsid w:val="00DB2983"/>
    <w:rsid w:val="00DB7B92"/>
    <w:rsid w:val="00DC1257"/>
    <w:rsid w:val="00DC3DC0"/>
    <w:rsid w:val="00DC5B2B"/>
    <w:rsid w:val="00DD05DF"/>
    <w:rsid w:val="00DD318D"/>
    <w:rsid w:val="00DD3BE0"/>
    <w:rsid w:val="00DE136F"/>
    <w:rsid w:val="00DE5EE8"/>
    <w:rsid w:val="00DE7AFE"/>
    <w:rsid w:val="00DF0387"/>
    <w:rsid w:val="00DF2E12"/>
    <w:rsid w:val="00DF35B1"/>
    <w:rsid w:val="00DF514A"/>
    <w:rsid w:val="00DF5402"/>
    <w:rsid w:val="00DF6690"/>
    <w:rsid w:val="00DF66DF"/>
    <w:rsid w:val="00DF6804"/>
    <w:rsid w:val="00E0358D"/>
    <w:rsid w:val="00E0423B"/>
    <w:rsid w:val="00E04323"/>
    <w:rsid w:val="00E070A2"/>
    <w:rsid w:val="00E2194F"/>
    <w:rsid w:val="00E236BA"/>
    <w:rsid w:val="00E23B18"/>
    <w:rsid w:val="00E2575E"/>
    <w:rsid w:val="00E2656A"/>
    <w:rsid w:val="00E273DD"/>
    <w:rsid w:val="00E412D0"/>
    <w:rsid w:val="00E420F8"/>
    <w:rsid w:val="00E469D7"/>
    <w:rsid w:val="00E5120C"/>
    <w:rsid w:val="00E54A67"/>
    <w:rsid w:val="00E554FE"/>
    <w:rsid w:val="00E55D06"/>
    <w:rsid w:val="00E56322"/>
    <w:rsid w:val="00E56417"/>
    <w:rsid w:val="00E60982"/>
    <w:rsid w:val="00E60A14"/>
    <w:rsid w:val="00E62C62"/>
    <w:rsid w:val="00E654C1"/>
    <w:rsid w:val="00E65D97"/>
    <w:rsid w:val="00E72A5A"/>
    <w:rsid w:val="00E73354"/>
    <w:rsid w:val="00E74A23"/>
    <w:rsid w:val="00E9242D"/>
    <w:rsid w:val="00E9303C"/>
    <w:rsid w:val="00E96A63"/>
    <w:rsid w:val="00EA4217"/>
    <w:rsid w:val="00EB5255"/>
    <w:rsid w:val="00EB5C47"/>
    <w:rsid w:val="00EC017D"/>
    <w:rsid w:val="00EC0965"/>
    <w:rsid w:val="00ED0639"/>
    <w:rsid w:val="00ED2CEE"/>
    <w:rsid w:val="00EE154D"/>
    <w:rsid w:val="00EE27E4"/>
    <w:rsid w:val="00EE4274"/>
    <w:rsid w:val="00EF4755"/>
    <w:rsid w:val="00EF7135"/>
    <w:rsid w:val="00F027DB"/>
    <w:rsid w:val="00F05AE8"/>
    <w:rsid w:val="00F14A7A"/>
    <w:rsid w:val="00F22985"/>
    <w:rsid w:val="00F2375C"/>
    <w:rsid w:val="00F26ADA"/>
    <w:rsid w:val="00F302A1"/>
    <w:rsid w:val="00F3383E"/>
    <w:rsid w:val="00F416FE"/>
    <w:rsid w:val="00F42916"/>
    <w:rsid w:val="00F465A7"/>
    <w:rsid w:val="00F50B7C"/>
    <w:rsid w:val="00F522E7"/>
    <w:rsid w:val="00F550E6"/>
    <w:rsid w:val="00F67A79"/>
    <w:rsid w:val="00F74345"/>
    <w:rsid w:val="00F80A0A"/>
    <w:rsid w:val="00F82B19"/>
    <w:rsid w:val="00F9212D"/>
    <w:rsid w:val="00F965DA"/>
    <w:rsid w:val="00F9759D"/>
    <w:rsid w:val="00FA2B31"/>
    <w:rsid w:val="00FA406A"/>
    <w:rsid w:val="00FB092B"/>
    <w:rsid w:val="00FB41FF"/>
    <w:rsid w:val="00FB503A"/>
    <w:rsid w:val="00FB516C"/>
    <w:rsid w:val="00FB75DA"/>
    <w:rsid w:val="00FC10D4"/>
    <w:rsid w:val="00FD0236"/>
    <w:rsid w:val="00FD18F4"/>
    <w:rsid w:val="00FD37AC"/>
    <w:rsid w:val="00FD54DB"/>
    <w:rsid w:val="00FD619F"/>
    <w:rsid w:val="00FD7992"/>
    <w:rsid w:val="00FE291C"/>
    <w:rsid w:val="00FF2DCD"/>
    <w:rsid w:val="00FF376F"/>
    <w:rsid w:val="00FF4818"/>
    <w:rsid w:val="010461CC"/>
    <w:rsid w:val="010E37C0"/>
    <w:rsid w:val="01175C01"/>
    <w:rsid w:val="0126750B"/>
    <w:rsid w:val="01286746"/>
    <w:rsid w:val="01290F7E"/>
    <w:rsid w:val="012E63F5"/>
    <w:rsid w:val="01386247"/>
    <w:rsid w:val="013F1BC6"/>
    <w:rsid w:val="015D1E09"/>
    <w:rsid w:val="016C0721"/>
    <w:rsid w:val="01B17500"/>
    <w:rsid w:val="01D8749C"/>
    <w:rsid w:val="0217611A"/>
    <w:rsid w:val="023B7FFA"/>
    <w:rsid w:val="02697903"/>
    <w:rsid w:val="029B6855"/>
    <w:rsid w:val="02CA4838"/>
    <w:rsid w:val="02D24B6E"/>
    <w:rsid w:val="02D81328"/>
    <w:rsid w:val="02F96569"/>
    <w:rsid w:val="030228ED"/>
    <w:rsid w:val="03186F70"/>
    <w:rsid w:val="032025C1"/>
    <w:rsid w:val="039D1E5C"/>
    <w:rsid w:val="03AB4ED1"/>
    <w:rsid w:val="03C13EFC"/>
    <w:rsid w:val="03CE5242"/>
    <w:rsid w:val="03D516D3"/>
    <w:rsid w:val="03E52A94"/>
    <w:rsid w:val="03EA7B21"/>
    <w:rsid w:val="04516BCF"/>
    <w:rsid w:val="04CC7569"/>
    <w:rsid w:val="04DF36B7"/>
    <w:rsid w:val="04E03F8B"/>
    <w:rsid w:val="052D245D"/>
    <w:rsid w:val="053073F4"/>
    <w:rsid w:val="05512C54"/>
    <w:rsid w:val="0580541C"/>
    <w:rsid w:val="05F83EAE"/>
    <w:rsid w:val="05FC3179"/>
    <w:rsid w:val="06110530"/>
    <w:rsid w:val="06242E2C"/>
    <w:rsid w:val="06276041"/>
    <w:rsid w:val="063E7D85"/>
    <w:rsid w:val="065917E1"/>
    <w:rsid w:val="065C7D63"/>
    <w:rsid w:val="06610C3D"/>
    <w:rsid w:val="067D1146"/>
    <w:rsid w:val="06914196"/>
    <w:rsid w:val="06B64EA5"/>
    <w:rsid w:val="06E72FAE"/>
    <w:rsid w:val="06EC1D78"/>
    <w:rsid w:val="070635C6"/>
    <w:rsid w:val="07111339"/>
    <w:rsid w:val="071A2239"/>
    <w:rsid w:val="07284833"/>
    <w:rsid w:val="07293586"/>
    <w:rsid w:val="07295285"/>
    <w:rsid w:val="07316B3F"/>
    <w:rsid w:val="07350292"/>
    <w:rsid w:val="073603A5"/>
    <w:rsid w:val="07384FBD"/>
    <w:rsid w:val="074377C1"/>
    <w:rsid w:val="07582940"/>
    <w:rsid w:val="07636392"/>
    <w:rsid w:val="07770C56"/>
    <w:rsid w:val="079E5B11"/>
    <w:rsid w:val="07B12CF4"/>
    <w:rsid w:val="07D5298B"/>
    <w:rsid w:val="081E7B1F"/>
    <w:rsid w:val="0828774B"/>
    <w:rsid w:val="087D5ACC"/>
    <w:rsid w:val="089C23DF"/>
    <w:rsid w:val="089E4DD8"/>
    <w:rsid w:val="08EC29E0"/>
    <w:rsid w:val="092217DD"/>
    <w:rsid w:val="093930E9"/>
    <w:rsid w:val="093A7294"/>
    <w:rsid w:val="09625D93"/>
    <w:rsid w:val="09626B2D"/>
    <w:rsid w:val="09B838DC"/>
    <w:rsid w:val="09DD7881"/>
    <w:rsid w:val="09E61D67"/>
    <w:rsid w:val="09E67587"/>
    <w:rsid w:val="09EC69D2"/>
    <w:rsid w:val="0A263993"/>
    <w:rsid w:val="0A2D3AC2"/>
    <w:rsid w:val="0A386CC6"/>
    <w:rsid w:val="0A615CF2"/>
    <w:rsid w:val="0AA755DF"/>
    <w:rsid w:val="0AD432FF"/>
    <w:rsid w:val="0AEC47A4"/>
    <w:rsid w:val="0AEF4767"/>
    <w:rsid w:val="0AF302AB"/>
    <w:rsid w:val="0B0D266A"/>
    <w:rsid w:val="0B120D44"/>
    <w:rsid w:val="0B221306"/>
    <w:rsid w:val="0B2A1EAF"/>
    <w:rsid w:val="0B473E42"/>
    <w:rsid w:val="0B6A0884"/>
    <w:rsid w:val="0BC11C62"/>
    <w:rsid w:val="0BC94090"/>
    <w:rsid w:val="0BD2367E"/>
    <w:rsid w:val="0BD27BF6"/>
    <w:rsid w:val="0BF3503F"/>
    <w:rsid w:val="0C0B5817"/>
    <w:rsid w:val="0C114E3E"/>
    <w:rsid w:val="0C1E6AA0"/>
    <w:rsid w:val="0C3B3C7D"/>
    <w:rsid w:val="0C4E3288"/>
    <w:rsid w:val="0C5410C7"/>
    <w:rsid w:val="0C64797D"/>
    <w:rsid w:val="0C9B04A5"/>
    <w:rsid w:val="0CA30F4A"/>
    <w:rsid w:val="0CAB2EAE"/>
    <w:rsid w:val="0CB7441B"/>
    <w:rsid w:val="0CE1686F"/>
    <w:rsid w:val="0CEA7371"/>
    <w:rsid w:val="0D320F30"/>
    <w:rsid w:val="0D32656D"/>
    <w:rsid w:val="0D621C7D"/>
    <w:rsid w:val="0D7A1F31"/>
    <w:rsid w:val="0D8A6736"/>
    <w:rsid w:val="0DC85D8C"/>
    <w:rsid w:val="0E043417"/>
    <w:rsid w:val="0E0B2C18"/>
    <w:rsid w:val="0E73034D"/>
    <w:rsid w:val="0ED16A78"/>
    <w:rsid w:val="0EE440EE"/>
    <w:rsid w:val="0F0A38B0"/>
    <w:rsid w:val="0F13775A"/>
    <w:rsid w:val="0F5D5FD5"/>
    <w:rsid w:val="0F5F45FE"/>
    <w:rsid w:val="0F9A112B"/>
    <w:rsid w:val="0FE6489F"/>
    <w:rsid w:val="10016D06"/>
    <w:rsid w:val="106D2F64"/>
    <w:rsid w:val="10817408"/>
    <w:rsid w:val="109006A5"/>
    <w:rsid w:val="10B63710"/>
    <w:rsid w:val="10D01968"/>
    <w:rsid w:val="10E97796"/>
    <w:rsid w:val="10F10820"/>
    <w:rsid w:val="11112F2D"/>
    <w:rsid w:val="111C2F7A"/>
    <w:rsid w:val="111E26C0"/>
    <w:rsid w:val="113105FD"/>
    <w:rsid w:val="11665CA1"/>
    <w:rsid w:val="11A238E8"/>
    <w:rsid w:val="11C12502"/>
    <w:rsid w:val="11E01CD0"/>
    <w:rsid w:val="11FE3064"/>
    <w:rsid w:val="121F4793"/>
    <w:rsid w:val="12415994"/>
    <w:rsid w:val="124B16ED"/>
    <w:rsid w:val="126B7EF4"/>
    <w:rsid w:val="129B0579"/>
    <w:rsid w:val="12C363DB"/>
    <w:rsid w:val="12D6499E"/>
    <w:rsid w:val="1303230C"/>
    <w:rsid w:val="1329345E"/>
    <w:rsid w:val="133026F7"/>
    <w:rsid w:val="135A7F6E"/>
    <w:rsid w:val="135F50A7"/>
    <w:rsid w:val="13642D20"/>
    <w:rsid w:val="13925426"/>
    <w:rsid w:val="13951726"/>
    <w:rsid w:val="13A02620"/>
    <w:rsid w:val="13A77073"/>
    <w:rsid w:val="13C22BAE"/>
    <w:rsid w:val="13D453CE"/>
    <w:rsid w:val="13DF0A05"/>
    <w:rsid w:val="13E04BB7"/>
    <w:rsid w:val="13E96D17"/>
    <w:rsid w:val="13EF767A"/>
    <w:rsid w:val="13F35BD2"/>
    <w:rsid w:val="142438BA"/>
    <w:rsid w:val="14396509"/>
    <w:rsid w:val="14662F5F"/>
    <w:rsid w:val="14AD582E"/>
    <w:rsid w:val="14DD2C3C"/>
    <w:rsid w:val="1537607E"/>
    <w:rsid w:val="1542664D"/>
    <w:rsid w:val="155F3DDF"/>
    <w:rsid w:val="15614BB5"/>
    <w:rsid w:val="15657721"/>
    <w:rsid w:val="156B0F89"/>
    <w:rsid w:val="15800D67"/>
    <w:rsid w:val="15802560"/>
    <w:rsid w:val="1587135C"/>
    <w:rsid w:val="158F2592"/>
    <w:rsid w:val="15A56496"/>
    <w:rsid w:val="15A96484"/>
    <w:rsid w:val="15AE6EF2"/>
    <w:rsid w:val="15C1359B"/>
    <w:rsid w:val="15D05A12"/>
    <w:rsid w:val="15E801C8"/>
    <w:rsid w:val="16087E1D"/>
    <w:rsid w:val="161D1505"/>
    <w:rsid w:val="16253A3C"/>
    <w:rsid w:val="16300C06"/>
    <w:rsid w:val="16777B16"/>
    <w:rsid w:val="16897F0F"/>
    <w:rsid w:val="168B247C"/>
    <w:rsid w:val="16DF7D5D"/>
    <w:rsid w:val="16F36813"/>
    <w:rsid w:val="170969D9"/>
    <w:rsid w:val="17701D14"/>
    <w:rsid w:val="17735226"/>
    <w:rsid w:val="17B95473"/>
    <w:rsid w:val="17D60381"/>
    <w:rsid w:val="18034D3B"/>
    <w:rsid w:val="18985285"/>
    <w:rsid w:val="189F624C"/>
    <w:rsid w:val="18F80092"/>
    <w:rsid w:val="191C198E"/>
    <w:rsid w:val="19362985"/>
    <w:rsid w:val="198718CB"/>
    <w:rsid w:val="19AB4B47"/>
    <w:rsid w:val="19DC06F8"/>
    <w:rsid w:val="19E1440B"/>
    <w:rsid w:val="19E163F4"/>
    <w:rsid w:val="1A1C66C0"/>
    <w:rsid w:val="1A42393B"/>
    <w:rsid w:val="1A534C36"/>
    <w:rsid w:val="1A6206AC"/>
    <w:rsid w:val="1A911B37"/>
    <w:rsid w:val="1AA147BF"/>
    <w:rsid w:val="1AAD45DE"/>
    <w:rsid w:val="1AC06E48"/>
    <w:rsid w:val="1AC46DEB"/>
    <w:rsid w:val="1AEE1659"/>
    <w:rsid w:val="1AF9075D"/>
    <w:rsid w:val="1B046F80"/>
    <w:rsid w:val="1B3267B5"/>
    <w:rsid w:val="1B40161D"/>
    <w:rsid w:val="1B441859"/>
    <w:rsid w:val="1B540B7F"/>
    <w:rsid w:val="1B6606B1"/>
    <w:rsid w:val="1B7B7450"/>
    <w:rsid w:val="1C3D16C2"/>
    <w:rsid w:val="1C444C69"/>
    <w:rsid w:val="1C5E7925"/>
    <w:rsid w:val="1C6E194B"/>
    <w:rsid w:val="1CBC17A7"/>
    <w:rsid w:val="1CBE111D"/>
    <w:rsid w:val="1CD6686C"/>
    <w:rsid w:val="1CFD070F"/>
    <w:rsid w:val="1D165AE5"/>
    <w:rsid w:val="1D4F2021"/>
    <w:rsid w:val="1D5B0379"/>
    <w:rsid w:val="1D5E1838"/>
    <w:rsid w:val="1D5F6196"/>
    <w:rsid w:val="1D6132A5"/>
    <w:rsid w:val="1D885539"/>
    <w:rsid w:val="1D8E01F6"/>
    <w:rsid w:val="1D8E56D5"/>
    <w:rsid w:val="1DD83E18"/>
    <w:rsid w:val="1E0C12ED"/>
    <w:rsid w:val="1E0D2074"/>
    <w:rsid w:val="1E5F0890"/>
    <w:rsid w:val="1E7A43DA"/>
    <w:rsid w:val="1EA615E2"/>
    <w:rsid w:val="1EC80224"/>
    <w:rsid w:val="1F14569C"/>
    <w:rsid w:val="1F424975"/>
    <w:rsid w:val="1F4D2791"/>
    <w:rsid w:val="1F746719"/>
    <w:rsid w:val="1F8602C7"/>
    <w:rsid w:val="1FC33ED6"/>
    <w:rsid w:val="1FE7539E"/>
    <w:rsid w:val="20103D26"/>
    <w:rsid w:val="2034621A"/>
    <w:rsid w:val="20671BE0"/>
    <w:rsid w:val="208C0120"/>
    <w:rsid w:val="208F6EAC"/>
    <w:rsid w:val="20963CB8"/>
    <w:rsid w:val="20A81A1B"/>
    <w:rsid w:val="20B07FB6"/>
    <w:rsid w:val="20B646FB"/>
    <w:rsid w:val="20FD341D"/>
    <w:rsid w:val="20FF3A1E"/>
    <w:rsid w:val="210A7A37"/>
    <w:rsid w:val="213B74B1"/>
    <w:rsid w:val="214479B4"/>
    <w:rsid w:val="21477578"/>
    <w:rsid w:val="21580AD3"/>
    <w:rsid w:val="215A2310"/>
    <w:rsid w:val="217F347B"/>
    <w:rsid w:val="219937BD"/>
    <w:rsid w:val="21B81BD5"/>
    <w:rsid w:val="21DE318A"/>
    <w:rsid w:val="21EF5B80"/>
    <w:rsid w:val="223F34EA"/>
    <w:rsid w:val="22431ECC"/>
    <w:rsid w:val="224F3C21"/>
    <w:rsid w:val="22576990"/>
    <w:rsid w:val="225F22D7"/>
    <w:rsid w:val="226A56DE"/>
    <w:rsid w:val="22724B95"/>
    <w:rsid w:val="228501EE"/>
    <w:rsid w:val="22CB3526"/>
    <w:rsid w:val="22CD6A7D"/>
    <w:rsid w:val="22F47480"/>
    <w:rsid w:val="23005B89"/>
    <w:rsid w:val="231E5163"/>
    <w:rsid w:val="23C72A7E"/>
    <w:rsid w:val="23DE1C48"/>
    <w:rsid w:val="23EB2553"/>
    <w:rsid w:val="240210CD"/>
    <w:rsid w:val="241822B3"/>
    <w:rsid w:val="243203E8"/>
    <w:rsid w:val="24BF09F7"/>
    <w:rsid w:val="24CA5C26"/>
    <w:rsid w:val="24F4660E"/>
    <w:rsid w:val="24FA337E"/>
    <w:rsid w:val="250863D8"/>
    <w:rsid w:val="250A4EC3"/>
    <w:rsid w:val="25122636"/>
    <w:rsid w:val="25231D65"/>
    <w:rsid w:val="252D53FE"/>
    <w:rsid w:val="25340B15"/>
    <w:rsid w:val="253A2D53"/>
    <w:rsid w:val="258E66E8"/>
    <w:rsid w:val="25BC1FA0"/>
    <w:rsid w:val="25CF00F3"/>
    <w:rsid w:val="25D37410"/>
    <w:rsid w:val="25EC2D81"/>
    <w:rsid w:val="25FA3E36"/>
    <w:rsid w:val="262B1569"/>
    <w:rsid w:val="26312584"/>
    <w:rsid w:val="26953BDC"/>
    <w:rsid w:val="26E40DC9"/>
    <w:rsid w:val="27260AF5"/>
    <w:rsid w:val="273150A1"/>
    <w:rsid w:val="27404834"/>
    <w:rsid w:val="274F0CBF"/>
    <w:rsid w:val="275D014E"/>
    <w:rsid w:val="277057A2"/>
    <w:rsid w:val="2797447D"/>
    <w:rsid w:val="27BF78FB"/>
    <w:rsid w:val="27C563F5"/>
    <w:rsid w:val="27C878D5"/>
    <w:rsid w:val="27DE274C"/>
    <w:rsid w:val="284765F1"/>
    <w:rsid w:val="28511D8E"/>
    <w:rsid w:val="285D6412"/>
    <w:rsid w:val="28643D7B"/>
    <w:rsid w:val="288337F7"/>
    <w:rsid w:val="28C71CF1"/>
    <w:rsid w:val="28FC1B01"/>
    <w:rsid w:val="29206EB8"/>
    <w:rsid w:val="29595666"/>
    <w:rsid w:val="29874881"/>
    <w:rsid w:val="299535A5"/>
    <w:rsid w:val="29AB118F"/>
    <w:rsid w:val="29C8373C"/>
    <w:rsid w:val="29E325E0"/>
    <w:rsid w:val="2A452503"/>
    <w:rsid w:val="2AD2388A"/>
    <w:rsid w:val="2AD47F32"/>
    <w:rsid w:val="2ADA3B3E"/>
    <w:rsid w:val="2ADC466D"/>
    <w:rsid w:val="2AED3F19"/>
    <w:rsid w:val="2AF6164F"/>
    <w:rsid w:val="2B0A6335"/>
    <w:rsid w:val="2B1074B9"/>
    <w:rsid w:val="2B1A4942"/>
    <w:rsid w:val="2B1C49C1"/>
    <w:rsid w:val="2B2B3E13"/>
    <w:rsid w:val="2BA45CAE"/>
    <w:rsid w:val="2BA936A8"/>
    <w:rsid w:val="2C0C34E6"/>
    <w:rsid w:val="2C315A5A"/>
    <w:rsid w:val="2C48343A"/>
    <w:rsid w:val="2C4B1C25"/>
    <w:rsid w:val="2C6C7029"/>
    <w:rsid w:val="2C9F38C0"/>
    <w:rsid w:val="2CB45FA8"/>
    <w:rsid w:val="2CD42487"/>
    <w:rsid w:val="2CDC0395"/>
    <w:rsid w:val="2CFA1140"/>
    <w:rsid w:val="2D0C5D7C"/>
    <w:rsid w:val="2D1F3228"/>
    <w:rsid w:val="2D387F28"/>
    <w:rsid w:val="2D626245"/>
    <w:rsid w:val="2D9E56F5"/>
    <w:rsid w:val="2DD57BBD"/>
    <w:rsid w:val="2E5B5962"/>
    <w:rsid w:val="2E6511C5"/>
    <w:rsid w:val="2E667F96"/>
    <w:rsid w:val="2E8226AB"/>
    <w:rsid w:val="2EDD6FE7"/>
    <w:rsid w:val="2EDE6B47"/>
    <w:rsid w:val="2EFE67A3"/>
    <w:rsid w:val="2F4E7BE6"/>
    <w:rsid w:val="2FA51DC0"/>
    <w:rsid w:val="2FD065E6"/>
    <w:rsid w:val="2FD96870"/>
    <w:rsid w:val="302A0F0E"/>
    <w:rsid w:val="302E56A5"/>
    <w:rsid w:val="3030517E"/>
    <w:rsid w:val="30524DA7"/>
    <w:rsid w:val="30580BC9"/>
    <w:rsid w:val="308030EF"/>
    <w:rsid w:val="30B73321"/>
    <w:rsid w:val="30F529C8"/>
    <w:rsid w:val="31034372"/>
    <w:rsid w:val="310D1869"/>
    <w:rsid w:val="311E2ED7"/>
    <w:rsid w:val="313B4D1A"/>
    <w:rsid w:val="315555EB"/>
    <w:rsid w:val="315619EE"/>
    <w:rsid w:val="315C449C"/>
    <w:rsid w:val="31B82709"/>
    <w:rsid w:val="31D05482"/>
    <w:rsid w:val="32012958"/>
    <w:rsid w:val="320353CC"/>
    <w:rsid w:val="322F1F41"/>
    <w:rsid w:val="323F779F"/>
    <w:rsid w:val="32400B34"/>
    <w:rsid w:val="327311F6"/>
    <w:rsid w:val="32843B59"/>
    <w:rsid w:val="329E6876"/>
    <w:rsid w:val="32D64EE4"/>
    <w:rsid w:val="331B0050"/>
    <w:rsid w:val="332D0712"/>
    <w:rsid w:val="333015F2"/>
    <w:rsid w:val="334754C0"/>
    <w:rsid w:val="334B6320"/>
    <w:rsid w:val="336D7C97"/>
    <w:rsid w:val="338051DC"/>
    <w:rsid w:val="33D479DF"/>
    <w:rsid w:val="33D934D4"/>
    <w:rsid w:val="33F05850"/>
    <w:rsid w:val="33FE2F6A"/>
    <w:rsid w:val="340E07E5"/>
    <w:rsid w:val="34227252"/>
    <w:rsid w:val="34235BF7"/>
    <w:rsid w:val="342518C9"/>
    <w:rsid w:val="3440531F"/>
    <w:rsid w:val="3478546D"/>
    <w:rsid w:val="34F376BD"/>
    <w:rsid w:val="35013DA1"/>
    <w:rsid w:val="35195BCB"/>
    <w:rsid w:val="353E39B8"/>
    <w:rsid w:val="354B44C7"/>
    <w:rsid w:val="35677F91"/>
    <w:rsid w:val="35715018"/>
    <w:rsid w:val="3589608A"/>
    <w:rsid w:val="358B4993"/>
    <w:rsid w:val="358C5FA8"/>
    <w:rsid w:val="35957D9B"/>
    <w:rsid w:val="35A1261F"/>
    <w:rsid w:val="35B422BF"/>
    <w:rsid w:val="35C15DF1"/>
    <w:rsid w:val="36074A7F"/>
    <w:rsid w:val="362B7CFE"/>
    <w:rsid w:val="36923549"/>
    <w:rsid w:val="36AE404E"/>
    <w:rsid w:val="36B75FBF"/>
    <w:rsid w:val="36BD0C45"/>
    <w:rsid w:val="37286A8B"/>
    <w:rsid w:val="373027E8"/>
    <w:rsid w:val="37440DB2"/>
    <w:rsid w:val="37444FE3"/>
    <w:rsid w:val="37474BF1"/>
    <w:rsid w:val="374A7D9F"/>
    <w:rsid w:val="37A8744D"/>
    <w:rsid w:val="37C031B9"/>
    <w:rsid w:val="37DB2616"/>
    <w:rsid w:val="37E00298"/>
    <w:rsid w:val="37EB10DB"/>
    <w:rsid w:val="37FE2BE7"/>
    <w:rsid w:val="386C5522"/>
    <w:rsid w:val="387E7AAD"/>
    <w:rsid w:val="3883103D"/>
    <w:rsid w:val="38B302F9"/>
    <w:rsid w:val="38B61DED"/>
    <w:rsid w:val="38CE760C"/>
    <w:rsid w:val="38CF6578"/>
    <w:rsid w:val="38EE77E3"/>
    <w:rsid w:val="38F12CD3"/>
    <w:rsid w:val="38F94775"/>
    <w:rsid w:val="392971ED"/>
    <w:rsid w:val="39325651"/>
    <w:rsid w:val="39685B46"/>
    <w:rsid w:val="39831B73"/>
    <w:rsid w:val="398823A4"/>
    <w:rsid w:val="398C3E12"/>
    <w:rsid w:val="398C79AA"/>
    <w:rsid w:val="399F2CB6"/>
    <w:rsid w:val="39B2666A"/>
    <w:rsid w:val="39C87C2A"/>
    <w:rsid w:val="3A2E1B98"/>
    <w:rsid w:val="3A872856"/>
    <w:rsid w:val="3A99571E"/>
    <w:rsid w:val="3ACB3554"/>
    <w:rsid w:val="3AE57050"/>
    <w:rsid w:val="3B141CE9"/>
    <w:rsid w:val="3B3763D1"/>
    <w:rsid w:val="3B847A0A"/>
    <w:rsid w:val="3B8C0BCE"/>
    <w:rsid w:val="3BC31F4F"/>
    <w:rsid w:val="3BF1401A"/>
    <w:rsid w:val="3BFB148E"/>
    <w:rsid w:val="3C1F5AFF"/>
    <w:rsid w:val="3C2F6E1E"/>
    <w:rsid w:val="3C391C00"/>
    <w:rsid w:val="3C4F64BA"/>
    <w:rsid w:val="3C5D7769"/>
    <w:rsid w:val="3C8C7F1E"/>
    <w:rsid w:val="3C941C0F"/>
    <w:rsid w:val="3CB95595"/>
    <w:rsid w:val="3CD13124"/>
    <w:rsid w:val="3CDA245A"/>
    <w:rsid w:val="3CE31BBE"/>
    <w:rsid w:val="3D1E06B7"/>
    <w:rsid w:val="3D223B47"/>
    <w:rsid w:val="3D2E20F7"/>
    <w:rsid w:val="3D577142"/>
    <w:rsid w:val="3D777C5C"/>
    <w:rsid w:val="3D8F21F7"/>
    <w:rsid w:val="3DE2060A"/>
    <w:rsid w:val="3DE338DD"/>
    <w:rsid w:val="3E1377BE"/>
    <w:rsid w:val="3E2A5394"/>
    <w:rsid w:val="3E3C6AFA"/>
    <w:rsid w:val="3E41292E"/>
    <w:rsid w:val="3E7C4ADC"/>
    <w:rsid w:val="3E9474B3"/>
    <w:rsid w:val="3EA71D1C"/>
    <w:rsid w:val="3EBC13C3"/>
    <w:rsid w:val="3EBD4C6C"/>
    <w:rsid w:val="3EDA0523"/>
    <w:rsid w:val="3EE46FAC"/>
    <w:rsid w:val="3EE74EF9"/>
    <w:rsid w:val="3EFC1D73"/>
    <w:rsid w:val="3F5B0753"/>
    <w:rsid w:val="3F830565"/>
    <w:rsid w:val="3F953F97"/>
    <w:rsid w:val="3F9672AA"/>
    <w:rsid w:val="3FC8475B"/>
    <w:rsid w:val="3FC95973"/>
    <w:rsid w:val="401547DC"/>
    <w:rsid w:val="40506588"/>
    <w:rsid w:val="406A67DE"/>
    <w:rsid w:val="407A6407"/>
    <w:rsid w:val="407C702F"/>
    <w:rsid w:val="40A623EE"/>
    <w:rsid w:val="40B454D3"/>
    <w:rsid w:val="40BF2271"/>
    <w:rsid w:val="40F23DD0"/>
    <w:rsid w:val="411D29EA"/>
    <w:rsid w:val="413612B7"/>
    <w:rsid w:val="41577BD8"/>
    <w:rsid w:val="416460A6"/>
    <w:rsid w:val="416B7EFF"/>
    <w:rsid w:val="419B5C79"/>
    <w:rsid w:val="41AF3F12"/>
    <w:rsid w:val="41E57239"/>
    <w:rsid w:val="4200449D"/>
    <w:rsid w:val="423A3BCC"/>
    <w:rsid w:val="424E57D2"/>
    <w:rsid w:val="42760384"/>
    <w:rsid w:val="427E54BB"/>
    <w:rsid w:val="42851B4D"/>
    <w:rsid w:val="42B26C49"/>
    <w:rsid w:val="430E41BE"/>
    <w:rsid w:val="433A6FE6"/>
    <w:rsid w:val="43480868"/>
    <w:rsid w:val="4350713C"/>
    <w:rsid w:val="436653E0"/>
    <w:rsid w:val="43800A31"/>
    <w:rsid w:val="43C4431A"/>
    <w:rsid w:val="43FB2A0C"/>
    <w:rsid w:val="44024B29"/>
    <w:rsid w:val="44025D26"/>
    <w:rsid w:val="440460FF"/>
    <w:rsid w:val="443D4F29"/>
    <w:rsid w:val="44433D2F"/>
    <w:rsid w:val="44812952"/>
    <w:rsid w:val="4493629B"/>
    <w:rsid w:val="449C0D6F"/>
    <w:rsid w:val="44B951CC"/>
    <w:rsid w:val="44CD14E0"/>
    <w:rsid w:val="44DD3B79"/>
    <w:rsid w:val="44F20B0B"/>
    <w:rsid w:val="45113CC3"/>
    <w:rsid w:val="452E5F4C"/>
    <w:rsid w:val="45440D15"/>
    <w:rsid w:val="454958FB"/>
    <w:rsid w:val="45612018"/>
    <w:rsid w:val="457D118B"/>
    <w:rsid w:val="45826571"/>
    <w:rsid w:val="458946E9"/>
    <w:rsid w:val="45910975"/>
    <w:rsid w:val="45A47C0E"/>
    <w:rsid w:val="45C06082"/>
    <w:rsid w:val="45E65B98"/>
    <w:rsid w:val="45EA1080"/>
    <w:rsid w:val="45FA5566"/>
    <w:rsid w:val="46013DC3"/>
    <w:rsid w:val="46087279"/>
    <w:rsid w:val="461B0C26"/>
    <w:rsid w:val="46577FD6"/>
    <w:rsid w:val="46B96645"/>
    <w:rsid w:val="46CF2466"/>
    <w:rsid w:val="46D955A7"/>
    <w:rsid w:val="46E7573C"/>
    <w:rsid w:val="46F22126"/>
    <w:rsid w:val="47012C9D"/>
    <w:rsid w:val="47061428"/>
    <w:rsid w:val="47133957"/>
    <w:rsid w:val="47171FDF"/>
    <w:rsid w:val="47454A1F"/>
    <w:rsid w:val="475B280A"/>
    <w:rsid w:val="47802A7D"/>
    <w:rsid w:val="47906FAA"/>
    <w:rsid w:val="47A07E0C"/>
    <w:rsid w:val="47BE78C5"/>
    <w:rsid w:val="486A15A9"/>
    <w:rsid w:val="4870272E"/>
    <w:rsid w:val="48BA567C"/>
    <w:rsid w:val="48C04345"/>
    <w:rsid w:val="48D530C9"/>
    <w:rsid w:val="48D7258D"/>
    <w:rsid w:val="490931B6"/>
    <w:rsid w:val="49646445"/>
    <w:rsid w:val="49DC7715"/>
    <w:rsid w:val="49F4782C"/>
    <w:rsid w:val="4A023139"/>
    <w:rsid w:val="4A3E3EDF"/>
    <w:rsid w:val="4A7B576F"/>
    <w:rsid w:val="4A836C59"/>
    <w:rsid w:val="4AC2698A"/>
    <w:rsid w:val="4AD95E53"/>
    <w:rsid w:val="4AF561A9"/>
    <w:rsid w:val="4AF763FA"/>
    <w:rsid w:val="4B134CA7"/>
    <w:rsid w:val="4B153D12"/>
    <w:rsid w:val="4B2E5CF0"/>
    <w:rsid w:val="4B631BBC"/>
    <w:rsid w:val="4B7B5AA0"/>
    <w:rsid w:val="4B911186"/>
    <w:rsid w:val="4BB40117"/>
    <w:rsid w:val="4BBD3AA5"/>
    <w:rsid w:val="4BCB35C4"/>
    <w:rsid w:val="4BEA64F0"/>
    <w:rsid w:val="4BFA0054"/>
    <w:rsid w:val="4BFE0B90"/>
    <w:rsid w:val="4C103C34"/>
    <w:rsid w:val="4C17113A"/>
    <w:rsid w:val="4C4A0649"/>
    <w:rsid w:val="4C61353D"/>
    <w:rsid w:val="4C7E5ECA"/>
    <w:rsid w:val="4C876AA5"/>
    <w:rsid w:val="4C9742CD"/>
    <w:rsid w:val="4CA315ED"/>
    <w:rsid w:val="4CF06CE3"/>
    <w:rsid w:val="4CF73B5D"/>
    <w:rsid w:val="4CF85FDF"/>
    <w:rsid w:val="4CFD1913"/>
    <w:rsid w:val="4D0D23DB"/>
    <w:rsid w:val="4D0E00FB"/>
    <w:rsid w:val="4D176606"/>
    <w:rsid w:val="4D544BC9"/>
    <w:rsid w:val="4D636E8D"/>
    <w:rsid w:val="4D775C55"/>
    <w:rsid w:val="4D972AC3"/>
    <w:rsid w:val="4DA478C6"/>
    <w:rsid w:val="4DA738BD"/>
    <w:rsid w:val="4DEC4FB0"/>
    <w:rsid w:val="4E0657C5"/>
    <w:rsid w:val="4E075D8A"/>
    <w:rsid w:val="4E8443BD"/>
    <w:rsid w:val="4EC00FAD"/>
    <w:rsid w:val="4EF12AE7"/>
    <w:rsid w:val="4EFA74D9"/>
    <w:rsid w:val="4F002AB7"/>
    <w:rsid w:val="4F174D40"/>
    <w:rsid w:val="4F232643"/>
    <w:rsid w:val="4F275A41"/>
    <w:rsid w:val="4F3423BF"/>
    <w:rsid w:val="4F9843DC"/>
    <w:rsid w:val="4FC62A8C"/>
    <w:rsid w:val="4FD76AB3"/>
    <w:rsid w:val="4FE20F0D"/>
    <w:rsid w:val="4FE51552"/>
    <w:rsid w:val="50065AC0"/>
    <w:rsid w:val="50194285"/>
    <w:rsid w:val="50311A49"/>
    <w:rsid w:val="50504C4B"/>
    <w:rsid w:val="50726AE6"/>
    <w:rsid w:val="50733A62"/>
    <w:rsid w:val="50896261"/>
    <w:rsid w:val="509C6E7C"/>
    <w:rsid w:val="50AD009D"/>
    <w:rsid w:val="50E1311B"/>
    <w:rsid w:val="50E56531"/>
    <w:rsid w:val="50F26161"/>
    <w:rsid w:val="50FD47CD"/>
    <w:rsid w:val="510724B6"/>
    <w:rsid w:val="51084706"/>
    <w:rsid w:val="51212683"/>
    <w:rsid w:val="51357238"/>
    <w:rsid w:val="516025A9"/>
    <w:rsid w:val="5162104E"/>
    <w:rsid w:val="51626316"/>
    <w:rsid w:val="516F041E"/>
    <w:rsid w:val="517A3E08"/>
    <w:rsid w:val="518343E6"/>
    <w:rsid w:val="51960851"/>
    <w:rsid w:val="51A61C2D"/>
    <w:rsid w:val="51AA116B"/>
    <w:rsid w:val="51CB4AC4"/>
    <w:rsid w:val="51CF52F3"/>
    <w:rsid w:val="51E0632D"/>
    <w:rsid w:val="51EE1396"/>
    <w:rsid w:val="51F1650F"/>
    <w:rsid w:val="52352798"/>
    <w:rsid w:val="52427C38"/>
    <w:rsid w:val="52451D5B"/>
    <w:rsid w:val="52825A30"/>
    <w:rsid w:val="52943662"/>
    <w:rsid w:val="52954F00"/>
    <w:rsid w:val="52A40934"/>
    <w:rsid w:val="530C129C"/>
    <w:rsid w:val="53261383"/>
    <w:rsid w:val="53A039CC"/>
    <w:rsid w:val="53A1505A"/>
    <w:rsid w:val="54063E08"/>
    <w:rsid w:val="540835FD"/>
    <w:rsid w:val="541533F2"/>
    <w:rsid w:val="542A4554"/>
    <w:rsid w:val="543437E8"/>
    <w:rsid w:val="544F3B03"/>
    <w:rsid w:val="54596070"/>
    <w:rsid w:val="548825A7"/>
    <w:rsid w:val="54BD159C"/>
    <w:rsid w:val="54CC4AB5"/>
    <w:rsid w:val="54D6016D"/>
    <w:rsid w:val="54E20D8E"/>
    <w:rsid w:val="54F73313"/>
    <w:rsid w:val="54F80955"/>
    <w:rsid w:val="54FA4369"/>
    <w:rsid w:val="5541677B"/>
    <w:rsid w:val="554351CF"/>
    <w:rsid w:val="554B5E12"/>
    <w:rsid w:val="555170A7"/>
    <w:rsid w:val="558265F6"/>
    <w:rsid w:val="5587536D"/>
    <w:rsid w:val="559B174B"/>
    <w:rsid w:val="55CE0CF4"/>
    <w:rsid w:val="55EF757B"/>
    <w:rsid w:val="55F079A9"/>
    <w:rsid w:val="55FF2442"/>
    <w:rsid w:val="563F0DB4"/>
    <w:rsid w:val="56801E2D"/>
    <w:rsid w:val="56AC781B"/>
    <w:rsid w:val="56B22A9C"/>
    <w:rsid w:val="56C51366"/>
    <w:rsid w:val="56D20E1E"/>
    <w:rsid w:val="570E6513"/>
    <w:rsid w:val="5718346A"/>
    <w:rsid w:val="57342D6F"/>
    <w:rsid w:val="5737532A"/>
    <w:rsid w:val="575B631B"/>
    <w:rsid w:val="576844AB"/>
    <w:rsid w:val="578008A0"/>
    <w:rsid w:val="579D202F"/>
    <w:rsid w:val="57A447E1"/>
    <w:rsid w:val="57B50623"/>
    <w:rsid w:val="57B72A76"/>
    <w:rsid w:val="57C3426C"/>
    <w:rsid w:val="57CE1F93"/>
    <w:rsid w:val="57D16E60"/>
    <w:rsid w:val="57E73F1A"/>
    <w:rsid w:val="57F237C5"/>
    <w:rsid w:val="57F90AAE"/>
    <w:rsid w:val="58116187"/>
    <w:rsid w:val="58275D0F"/>
    <w:rsid w:val="58497672"/>
    <w:rsid w:val="585332A8"/>
    <w:rsid w:val="58772978"/>
    <w:rsid w:val="588743D1"/>
    <w:rsid w:val="5887701A"/>
    <w:rsid w:val="588A20A2"/>
    <w:rsid w:val="590D7AFF"/>
    <w:rsid w:val="59273E83"/>
    <w:rsid w:val="59422ECB"/>
    <w:rsid w:val="598B0F21"/>
    <w:rsid w:val="59C0439F"/>
    <w:rsid w:val="59EA6528"/>
    <w:rsid w:val="59F926A6"/>
    <w:rsid w:val="5A6237D2"/>
    <w:rsid w:val="5A794702"/>
    <w:rsid w:val="5A7D37AD"/>
    <w:rsid w:val="5A84003A"/>
    <w:rsid w:val="5AB16C1F"/>
    <w:rsid w:val="5ABE2233"/>
    <w:rsid w:val="5AC476E9"/>
    <w:rsid w:val="5ACE72A7"/>
    <w:rsid w:val="5B113E40"/>
    <w:rsid w:val="5B3C467D"/>
    <w:rsid w:val="5B4C1003"/>
    <w:rsid w:val="5B6767BE"/>
    <w:rsid w:val="5BB8177A"/>
    <w:rsid w:val="5BD709D1"/>
    <w:rsid w:val="5BDF5D95"/>
    <w:rsid w:val="5BFE7528"/>
    <w:rsid w:val="5C0E4BA9"/>
    <w:rsid w:val="5C582748"/>
    <w:rsid w:val="5C8775EE"/>
    <w:rsid w:val="5CDB37B4"/>
    <w:rsid w:val="5CF84AEC"/>
    <w:rsid w:val="5D264D68"/>
    <w:rsid w:val="5D4E6550"/>
    <w:rsid w:val="5D5E0E32"/>
    <w:rsid w:val="5D6F20DF"/>
    <w:rsid w:val="5D7060BA"/>
    <w:rsid w:val="5D7E0E59"/>
    <w:rsid w:val="5D833AC2"/>
    <w:rsid w:val="5D9A0ECF"/>
    <w:rsid w:val="5E185F2D"/>
    <w:rsid w:val="5E1D0AF3"/>
    <w:rsid w:val="5E2467F1"/>
    <w:rsid w:val="5E26133C"/>
    <w:rsid w:val="5E27500E"/>
    <w:rsid w:val="5E8827F2"/>
    <w:rsid w:val="5E946C7E"/>
    <w:rsid w:val="5E9B25F0"/>
    <w:rsid w:val="5EE3004F"/>
    <w:rsid w:val="5F0F18ED"/>
    <w:rsid w:val="5F1A2B43"/>
    <w:rsid w:val="5F264CAF"/>
    <w:rsid w:val="5F55026B"/>
    <w:rsid w:val="5F5850AD"/>
    <w:rsid w:val="5F955D64"/>
    <w:rsid w:val="5F965617"/>
    <w:rsid w:val="5F9A265C"/>
    <w:rsid w:val="5FA96B9E"/>
    <w:rsid w:val="5FB3561C"/>
    <w:rsid w:val="5FB837BB"/>
    <w:rsid w:val="5FBA262C"/>
    <w:rsid w:val="5FDB046D"/>
    <w:rsid w:val="6004014B"/>
    <w:rsid w:val="600847F8"/>
    <w:rsid w:val="6017108B"/>
    <w:rsid w:val="604131B6"/>
    <w:rsid w:val="604B4B9A"/>
    <w:rsid w:val="60973C42"/>
    <w:rsid w:val="609A4F3F"/>
    <w:rsid w:val="60B65812"/>
    <w:rsid w:val="60C53503"/>
    <w:rsid w:val="60CC405A"/>
    <w:rsid w:val="60EE0456"/>
    <w:rsid w:val="61206942"/>
    <w:rsid w:val="612F3554"/>
    <w:rsid w:val="61302010"/>
    <w:rsid w:val="6136242B"/>
    <w:rsid w:val="615D2386"/>
    <w:rsid w:val="618E791B"/>
    <w:rsid w:val="61BD24AA"/>
    <w:rsid w:val="61C01F9F"/>
    <w:rsid w:val="61E215D8"/>
    <w:rsid w:val="62144C0E"/>
    <w:rsid w:val="621B3775"/>
    <w:rsid w:val="62327D88"/>
    <w:rsid w:val="62364782"/>
    <w:rsid w:val="623D132F"/>
    <w:rsid w:val="6265192E"/>
    <w:rsid w:val="628E6E8D"/>
    <w:rsid w:val="629619DA"/>
    <w:rsid w:val="62DA5624"/>
    <w:rsid w:val="630F3D90"/>
    <w:rsid w:val="636026A2"/>
    <w:rsid w:val="6394356A"/>
    <w:rsid w:val="63AD5F6D"/>
    <w:rsid w:val="63C41D4F"/>
    <w:rsid w:val="63C61B2C"/>
    <w:rsid w:val="63D40BE9"/>
    <w:rsid w:val="63E16015"/>
    <w:rsid w:val="64102431"/>
    <w:rsid w:val="644B4B53"/>
    <w:rsid w:val="647E3101"/>
    <w:rsid w:val="64A175BE"/>
    <w:rsid w:val="64A36253"/>
    <w:rsid w:val="64A5243A"/>
    <w:rsid w:val="64BE05AA"/>
    <w:rsid w:val="64CA6BF4"/>
    <w:rsid w:val="64DE1973"/>
    <w:rsid w:val="64E83A91"/>
    <w:rsid w:val="64F13BD2"/>
    <w:rsid w:val="64F531DE"/>
    <w:rsid w:val="650435C0"/>
    <w:rsid w:val="65064FC2"/>
    <w:rsid w:val="65231B32"/>
    <w:rsid w:val="65303A38"/>
    <w:rsid w:val="653423A0"/>
    <w:rsid w:val="65373578"/>
    <w:rsid w:val="65590BA1"/>
    <w:rsid w:val="65673BF0"/>
    <w:rsid w:val="657977A6"/>
    <w:rsid w:val="65C44AB1"/>
    <w:rsid w:val="65E3736C"/>
    <w:rsid w:val="66174C67"/>
    <w:rsid w:val="662652B6"/>
    <w:rsid w:val="66316396"/>
    <w:rsid w:val="663C113E"/>
    <w:rsid w:val="665824A4"/>
    <w:rsid w:val="665A25B3"/>
    <w:rsid w:val="667A1FDF"/>
    <w:rsid w:val="66B34B54"/>
    <w:rsid w:val="66BD4730"/>
    <w:rsid w:val="66BD6692"/>
    <w:rsid w:val="66C74894"/>
    <w:rsid w:val="66C83B7A"/>
    <w:rsid w:val="66CB6949"/>
    <w:rsid w:val="671F124A"/>
    <w:rsid w:val="671F5088"/>
    <w:rsid w:val="677A33C6"/>
    <w:rsid w:val="67CE2216"/>
    <w:rsid w:val="681F6961"/>
    <w:rsid w:val="682117C8"/>
    <w:rsid w:val="682670D5"/>
    <w:rsid w:val="68610A2F"/>
    <w:rsid w:val="68805514"/>
    <w:rsid w:val="68A03C12"/>
    <w:rsid w:val="68DD0E36"/>
    <w:rsid w:val="68DD2D55"/>
    <w:rsid w:val="69074A07"/>
    <w:rsid w:val="690F2D7E"/>
    <w:rsid w:val="6916437F"/>
    <w:rsid w:val="692A577B"/>
    <w:rsid w:val="69316E2F"/>
    <w:rsid w:val="694E2071"/>
    <w:rsid w:val="69610110"/>
    <w:rsid w:val="69766163"/>
    <w:rsid w:val="697A3B33"/>
    <w:rsid w:val="697F1317"/>
    <w:rsid w:val="69A90E55"/>
    <w:rsid w:val="69B25660"/>
    <w:rsid w:val="69D44760"/>
    <w:rsid w:val="69E81FEB"/>
    <w:rsid w:val="6A046AB5"/>
    <w:rsid w:val="6A06733F"/>
    <w:rsid w:val="6A114F5F"/>
    <w:rsid w:val="6A520EC7"/>
    <w:rsid w:val="6A8A201E"/>
    <w:rsid w:val="6AAB727C"/>
    <w:rsid w:val="6AAF023E"/>
    <w:rsid w:val="6ABE358C"/>
    <w:rsid w:val="6AE6584D"/>
    <w:rsid w:val="6AEB5DC0"/>
    <w:rsid w:val="6AEC5C58"/>
    <w:rsid w:val="6AF87E20"/>
    <w:rsid w:val="6B297E45"/>
    <w:rsid w:val="6B322639"/>
    <w:rsid w:val="6B42798F"/>
    <w:rsid w:val="6B530FAD"/>
    <w:rsid w:val="6B7543AE"/>
    <w:rsid w:val="6B804DEC"/>
    <w:rsid w:val="6BCC297A"/>
    <w:rsid w:val="6C1534B4"/>
    <w:rsid w:val="6C3769C7"/>
    <w:rsid w:val="6C3C69D0"/>
    <w:rsid w:val="6C636C38"/>
    <w:rsid w:val="6C792628"/>
    <w:rsid w:val="6C7B6935"/>
    <w:rsid w:val="6C7D7940"/>
    <w:rsid w:val="6C907D20"/>
    <w:rsid w:val="6CCD60A8"/>
    <w:rsid w:val="6CE3278C"/>
    <w:rsid w:val="6D126ABC"/>
    <w:rsid w:val="6D1E6853"/>
    <w:rsid w:val="6D347FE5"/>
    <w:rsid w:val="6D376D78"/>
    <w:rsid w:val="6D41599F"/>
    <w:rsid w:val="6D4D0722"/>
    <w:rsid w:val="6D6C11B0"/>
    <w:rsid w:val="6D716596"/>
    <w:rsid w:val="6D7B62AE"/>
    <w:rsid w:val="6DB34098"/>
    <w:rsid w:val="6DB545B6"/>
    <w:rsid w:val="6DCC6BBD"/>
    <w:rsid w:val="6DE02FB4"/>
    <w:rsid w:val="6DEA3671"/>
    <w:rsid w:val="6E320A15"/>
    <w:rsid w:val="6E375F3A"/>
    <w:rsid w:val="6E4C33E4"/>
    <w:rsid w:val="6E514CED"/>
    <w:rsid w:val="6E8F607F"/>
    <w:rsid w:val="6EAF282F"/>
    <w:rsid w:val="6EB563D5"/>
    <w:rsid w:val="6ED62F61"/>
    <w:rsid w:val="6ED92677"/>
    <w:rsid w:val="6EE57F20"/>
    <w:rsid w:val="6F052679"/>
    <w:rsid w:val="6F225983"/>
    <w:rsid w:val="6F3E44C9"/>
    <w:rsid w:val="6F8819A5"/>
    <w:rsid w:val="6F9D62EB"/>
    <w:rsid w:val="6FA91A01"/>
    <w:rsid w:val="6FB40AEA"/>
    <w:rsid w:val="6FFC5590"/>
    <w:rsid w:val="706D1DD0"/>
    <w:rsid w:val="706E0F3A"/>
    <w:rsid w:val="706F3634"/>
    <w:rsid w:val="706F4AEE"/>
    <w:rsid w:val="70856B87"/>
    <w:rsid w:val="70AA29FF"/>
    <w:rsid w:val="70BA28AF"/>
    <w:rsid w:val="70D03051"/>
    <w:rsid w:val="70D527EE"/>
    <w:rsid w:val="70F71124"/>
    <w:rsid w:val="70FD3FB9"/>
    <w:rsid w:val="71160C64"/>
    <w:rsid w:val="715343E1"/>
    <w:rsid w:val="715B5300"/>
    <w:rsid w:val="71680919"/>
    <w:rsid w:val="71CC2DFF"/>
    <w:rsid w:val="71D27F8A"/>
    <w:rsid w:val="71E77639"/>
    <w:rsid w:val="71E9085D"/>
    <w:rsid w:val="71F9033C"/>
    <w:rsid w:val="72163F5B"/>
    <w:rsid w:val="7247767A"/>
    <w:rsid w:val="72553024"/>
    <w:rsid w:val="725F12F5"/>
    <w:rsid w:val="726D39C2"/>
    <w:rsid w:val="729439D9"/>
    <w:rsid w:val="729669F1"/>
    <w:rsid w:val="72C007F0"/>
    <w:rsid w:val="72D034DB"/>
    <w:rsid w:val="72D315A4"/>
    <w:rsid w:val="72D37CA8"/>
    <w:rsid w:val="72D9727E"/>
    <w:rsid w:val="72E31C10"/>
    <w:rsid w:val="72E67063"/>
    <w:rsid w:val="730B69E1"/>
    <w:rsid w:val="73122968"/>
    <w:rsid w:val="73152EDC"/>
    <w:rsid w:val="731F5D5E"/>
    <w:rsid w:val="73227957"/>
    <w:rsid w:val="732A4021"/>
    <w:rsid w:val="733E0AA8"/>
    <w:rsid w:val="7369468B"/>
    <w:rsid w:val="7379691D"/>
    <w:rsid w:val="737D57C4"/>
    <w:rsid w:val="738D0E2D"/>
    <w:rsid w:val="73B956A1"/>
    <w:rsid w:val="73C51AD5"/>
    <w:rsid w:val="73E11802"/>
    <w:rsid w:val="73E864C6"/>
    <w:rsid w:val="73FD6422"/>
    <w:rsid w:val="740B0B73"/>
    <w:rsid w:val="741E793C"/>
    <w:rsid w:val="745E3944"/>
    <w:rsid w:val="74684011"/>
    <w:rsid w:val="747223A8"/>
    <w:rsid w:val="74924E71"/>
    <w:rsid w:val="74A45FE7"/>
    <w:rsid w:val="74B7661A"/>
    <w:rsid w:val="74C5034B"/>
    <w:rsid w:val="74D367DE"/>
    <w:rsid w:val="75007CF9"/>
    <w:rsid w:val="754C736E"/>
    <w:rsid w:val="7550348E"/>
    <w:rsid w:val="756A78BF"/>
    <w:rsid w:val="757676AC"/>
    <w:rsid w:val="75BF6B3A"/>
    <w:rsid w:val="75CD4D94"/>
    <w:rsid w:val="75D1113A"/>
    <w:rsid w:val="75E6434D"/>
    <w:rsid w:val="75F53919"/>
    <w:rsid w:val="75FF3D0C"/>
    <w:rsid w:val="7635099D"/>
    <w:rsid w:val="76411F1C"/>
    <w:rsid w:val="76651A8B"/>
    <w:rsid w:val="76716586"/>
    <w:rsid w:val="767F16EB"/>
    <w:rsid w:val="76983A8F"/>
    <w:rsid w:val="76C40360"/>
    <w:rsid w:val="76D938EC"/>
    <w:rsid w:val="771458A0"/>
    <w:rsid w:val="772838C9"/>
    <w:rsid w:val="77337DD4"/>
    <w:rsid w:val="77377CBF"/>
    <w:rsid w:val="773F0AF2"/>
    <w:rsid w:val="773F2DE8"/>
    <w:rsid w:val="77625C80"/>
    <w:rsid w:val="77762421"/>
    <w:rsid w:val="77B56B1F"/>
    <w:rsid w:val="780F09F4"/>
    <w:rsid w:val="78116DB8"/>
    <w:rsid w:val="783F26A7"/>
    <w:rsid w:val="78495AF1"/>
    <w:rsid w:val="78564DB2"/>
    <w:rsid w:val="786D5C4D"/>
    <w:rsid w:val="78795928"/>
    <w:rsid w:val="78970048"/>
    <w:rsid w:val="7897354C"/>
    <w:rsid w:val="78A90480"/>
    <w:rsid w:val="78C1476A"/>
    <w:rsid w:val="78F01185"/>
    <w:rsid w:val="79437089"/>
    <w:rsid w:val="7A0941C6"/>
    <w:rsid w:val="7A364017"/>
    <w:rsid w:val="7A725395"/>
    <w:rsid w:val="7A8265E1"/>
    <w:rsid w:val="7ADA163E"/>
    <w:rsid w:val="7B235E55"/>
    <w:rsid w:val="7B686D42"/>
    <w:rsid w:val="7B841746"/>
    <w:rsid w:val="7BA56A7F"/>
    <w:rsid w:val="7BC67F0A"/>
    <w:rsid w:val="7C1F0B3D"/>
    <w:rsid w:val="7C5926D9"/>
    <w:rsid w:val="7C676720"/>
    <w:rsid w:val="7C6C5AC7"/>
    <w:rsid w:val="7C9A3FD4"/>
    <w:rsid w:val="7CB32D22"/>
    <w:rsid w:val="7CBB5B9A"/>
    <w:rsid w:val="7CC6544B"/>
    <w:rsid w:val="7CD80C99"/>
    <w:rsid w:val="7CE92443"/>
    <w:rsid w:val="7D0239FF"/>
    <w:rsid w:val="7D0B7D71"/>
    <w:rsid w:val="7D122256"/>
    <w:rsid w:val="7D1B0BAE"/>
    <w:rsid w:val="7D3B3F53"/>
    <w:rsid w:val="7D3C1FD8"/>
    <w:rsid w:val="7D3D1459"/>
    <w:rsid w:val="7D3F3AAE"/>
    <w:rsid w:val="7D5E40CD"/>
    <w:rsid w:val="7D602610"/>
    <w:rsid w:val="7DCD56F2"/>
    <w:rsid w:val="7DD00C0C"/>
    <w:rsid w:val="7DE33B5A"/>
    <w:rsid w:val="7DE4324D"/>
    <w:rsid w:val="7DEA26F3"/>
    <w:rsid w:val="7DEF0CF1"/>
    <w:rsid w:val="7DF15B48"/>
    <w:rsid w:val="7E062607"/>
    <w:rsid w:val="7E53716F"/>
    <w:rsid w:val="7E683AD1"/>
    <w:rsid w:val="7E692604"/>
    <w:rsid w:val="7ED92BD5"/>
    <w:rsid w:val="7F001CE7"/>
    <w:rsid w:val="7F11692B"/>
    <w:rsid w:val="7F184F6D"/>
    <w:rsid w:val="7F1A302B"/>
    <w:rsid w:val="7F297D6C"/>
    <w:rsid w:val="7F5779BC"/>
    <w:rsid w:val="7F5A36ED"/>
    <w:rsid w:val="7F691B72"/>
    <w:rsid w:val="7F6B1677"/>
    <w:rsid w:val="7F8F0E21"/>
    <w:rsid w:val="7FB7437C"/>
    <w:rsid w:val="7FCC22EE"/>
    <w:rsid w:val="7FDD188D"/>
    <w:rsid w:val="7FE47E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箭头连接符 38">
          <o:proxy start="" idref="#文本框 34" connectloc="3"/>
          <o:proxy end="" idref="#文本框 35" connectloc="1"/>
        </o:r>
        <o:r id="V:Rule2" type="connector" idref="#直接箭头连接符 39">
          <o:proxy start="" idref="#文本框 35" connectloc="3"/>
        </o:r>
        <o:r id="V:Rule3" type="connector" idref="#直接箭头连接符 40">
          <o:proxy start="" idref="#文本框 36" connectloc="3"/>
          <o:proxy end="" idref="#文本框 37" connectloc="1"/>
        </o:r>
        <o:r id="V:Rule4" type="connector" idref="#直接箭头连接符 42">
          <o:proxy start="" idref="#文本框 34" connectloc="2"/>
        </o:r>
        <o:r id="V:Rule5" type="connector" idref="#直接箭头连接符 43">
          <o:proxy start="" idref="#文本框 35" connectloc="2"/>
        </o:r>
        <o:r id="V:Rule6" type="connector" idref="#直接箭头连接符 44">
          <o:proxy start="" idref="#文本框 36" connectloc="2"/>
        </o:r>
        <o:r id="V:Rule7" type="connector" idref="#直接箭头连接符 45">
          <o:proxy start="" idref="#文本框 37" connectloc="2"/>
        </o:r>
        <o:r id="V:Rule8" type="connector" idref="#直接箭头连接符 46"/>
        <o:r id="V:Rule9" type="connector" idref="#直接箭头连接符 74">
          <o:proxy start="" idref="#文本框 37" connectloc="3"/>
          <o:proxy end="" idref="#文本框 72" connectloc="1"/>
        </o:r>
        <o:r id="V:Rule10" type="connector" idref="#直接箭头连接符 62">
          <o:proxy start="" idref="#矩形 53" connectloc="3"/>
          <o:proxy end="" idref="#矩形 54" connectloc="1"/>
        </o:r>
        <o:r id="V:Rule11" type="connector" idref="#直接箭头连接符 63">
          <o:proxy start="" idref="#矩形 54" connectloc="3"/>
          <o:proxy end="" idref="#矩形 55" connectloc="1"/>
        </o:r>
        <o:r id="V:Rule12" type="connector" idref="#直接箭头连接符 64">
          <o:proxy start="" idref="#矩形 55" connectloc="3"/>
          <o:proxy end="" idref="#矩形 56" connectloc="1"/>
        </o:r>
        <o:r id="V:Rule13" type="connector" idref="#直接箭头连接符 65">
          <o:proxy start="" idref="#矩形 56" connectloc="3"/>
          <o:proxy end="" idref="#矩形 57" connectloc="1"/>
        </o:r>
        <o:r id="V:Rule14" type="connector" idref="#直接箭头连接符 66">
          <o:proxy start="" idref="#矩形 57" connectloc="2"/>
        </o:r>
        <o:r id="V:Rule15" type="connector" idref="#直接箭头连接符 67">
          <o:proxy start="" idref="#矩形 58" connectloc="1"/>
          <o:proxy end="" idref="#矩形 59" connectloc="3"/>
        </o:r>
        <o:r id="V:Rule16" type="connector" idref="#直接箭头连接符 68">
          <o:proxy start="" idref="#矩形 59" connectloc="1"/>
          <o:proxy end="" idref="#矩形 60" connectloc="3"/>
        </o:r>
        <o:r id="V:Rule17" type="connector" idref="#直接箭头连接符 69">
          <o:proxy start="" idref="#矩形 60" connectloc="1"/>
          <o:proxy end="" idref="#矩形 61" connectloc="3"/>
        </o:r>
        <o:r id="V:Rule18" type="connector" idref="#直接箭头连接符 13">
          <o:proxy start="" idref="#矩形 12" connectloc="3"/>
        </o:r>
      </o:rules>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qFormat="1"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6"/>
    <w:next w:val="1"/>
    <w:qFormat/>
    <w:locked/>
    <w:uiPriority w:val="9"/>
    <w:pPr>
      <w:keepNext/>
      <w:keepLines/>
      <w:spacing w:before="260" w:after="260" w:line="416" w:lineRule="auto"/>
      <w:outlineLvl w:val="1"/>
    </w:pPr>
    <w:rPr>
      <w:rFonts w:ascii="Cambria" w:hAnsi="Cambria"/>
      <w:b/>
      <w:bCs/>
      <w:kern w:val="0"/>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locked/>
    <w:uiPriority w:val="0"/>
    <w:pPr>
      <w:ind w:firstLine="420" w:firstLineChars="100"/>
    </w:pPr>
  </w:style>
  <w:style w:type="paragraph" w:styleId="3">
    <w:name w:val="Body Text"/>
    <w:basedOn w:val="1"/>
    <w:next w:val="1"/>
    <w:link w:val="34"/>
    <w:qFormat/>
    <w:uiPriority w:val="0"/>
    <w:pPr>
      <w:widowControl/>
      <w:snapToGrid w:val="0"/>
      <w:spacing w:before="60" w:after="160" w:line="259" w:lineRule="auto"/>
      <w:ind w:right="113"/>
    </w:pPr>
    <w:rPr>
      <w:kern w:val="0"/>
      <w:sz w:val="18"/>
      <w:szCs w:val="20"/>
    </w:rPr>
  </w:style>
  <w:style w:type="paragraph" w:styleId="6">
    <w:name w:val="toc 2"/>
    <w:basedOn w:val="1"/>
    <w:next w:val="1"/>
    <w:qFormat/>
    <w:locked/>
    <w:uiPriority w:val="39"/>
    <w:pPr>
      <w:ind w:right="-107" w:rightChars="-51"/>
      <w:jc w:val="center"/>
    </w:pPr>
    <w:rPr>
      <w:color w:val="000000"/>
    </w:rPr>
  </w:style>
  <w:style w:type="paragraph" w:styleId="7">
    <w:name w:val="Normal Indent"/>
    <w:basedOn w:val="1"/>
    <w:next w:val="1"/>
    <w:qFormat/>
    <w:locked/>
    <w:uiPriority w:val="0"/>
    <w:pPr>
      <w:ind w:firstLine="420" w:firstLineChars="200"/>
    </w:pPr>
  </w:style>
  <w:style w:type="paragraph" w:styleId="8">
    <w:name w:val="Document Map"/>
    <w:basedOn w:val="1"/>
    <w:link w:val="54"/>
    <w:qFormat/>
    <w:locked/>
    <w:uiPriority w:val="0"/>
    <w:rPr>
      <w:rFonts w:ascii="宋体"/>
      <w:sz w:val="18"/>
      <w:szCs w:val="18"/>
    </w:rPr>
  </w:style>
  <w:style w:type="paragraph" w:styleId="9">
    <w:name w:val="toa heading"/>
    <w:basedOn w:val="1"/>
    <w:next w:val="1"/>
    <w:qFormat/>
    <w:locked/>
    <w:uiPriority w:val="0"/>
    <w:pPr>
      <w:spacing w:before="120"/>
    </w:pPr>
    <w:rPr>
      <w:rFonts w:ascii="Arial" w:hAnsi="Arial" w:eastAsia="宋体" w:cs="Arial"/>
    </w:rPr>
  </w:style>
  <w:style w:type="paragraph" w:styleId="10">
    <w:name w:val="annotation text"/>
    <w:basedOn w:val="1"/>
    <w:link w:val="33"/>
    <w:semiHidden/>
    <w:qFormat/>
    <w:uiPriority w:val="0"/>
    <w:pPr>
      <w:jc w:val="left"/>
    </w:pPr>
    <w:rPr>
      <w:kern w:val="0"/>
      <w:sz w:val="24"/>
      <w:szCs w:val="20"/>
    </w:rPr>
  </w:style>
  <w:style w:type="paragraph" w:styleId="11">
    <w:name w:val="Body Text Indent"/>
    <w:basedOn w:val="1"/>
    <w:link w:val="35"/>
    <w:qFormat/>
    <w:uiPriority w:val="0"/>
    <w:pPr>
      <w:spacing w:after="120"/>
      <w:ind w:left="420" w:leftChars="200"/>
    </w:pPr>
    <w:rPr>
      <w:kern w:val="0"/>
      <w:sz w:val="24"/>
      <w:szCs w:val="20"/>
    </w:rPr>
  </w:style>
  <w:style w:type="paragraph" w:styleId="12">
    <w:name w:val="Plain Text"/>
    <w:basedOn w:val="1"/>
    <w:next w:val="1"/>
    <w:qFormat/>
    <w:locked/>
    <w:uiPriority w:val="0"/>
    <w:rPr>
      <w:rFonts w:ascii="宋体" w:hAnsi="Courier New" w:eastAsia="宋体" w:cs="Courier New"/>
      <w:szCs w:val="21"/>
    </w:rPr>
  </w:style>
  <w:style w:type="paragraph" w:styleId="13">
    <w:name w:val="Date"/>
    <w:basedOn w:val="1"/>
    <w:next w:val="1"/>
    <w:link w:val="36"/>
    <w:qFormat/>
    <w:uiPriority w:val="0"/>
    <w:pPr>
      <w:ind w:left="100" w:leftChars="2500"/>
    </w:pPr>
    <w:rPr>
      <w:kern w:val="0"/>
      <w:sz w:val="24"/>
      <w:szCs w:val="20"/>
    </w:rPr>
  </w:style>
  <w:style w:type="paragraph" w:styleId="14">
    <w:name w:val="Balloon Text"/>
    <w:basedOn w:val="1"/>
    <w:link w:val="37"/>
    <w:semiHidden/>
    <w:qFormat/>
    <w:uiPriority w:val="0"/>
    <w:rPr>
      <w:kern w:val="0"/>
      <w:sz w:val="18"/>
      <w:szCs w:val="20"/>
    </w:rPr>
  </w:style>
  <w:style w:type="paragraph" w:styleId="15">
    <w:name w:val="footer"/>
    <w:basedOn w:val="1"/>
    <w:link w:val="38"/>
    <w:qFormat/>
    <w:uiPriority w:val="99"/>
    <w:pPr>
      <w:tabs>
        <w:tab w:val="center" w:pos="4153"/>
        <w:tab w:val="right" w:pos="8306"/>
      </w:tabs>
      <w:snapToGrid w:val="0"/>
      <w:jc w:val="left"/>
    </w:pPr>
    <w:rPr>
      <w:kern w:val="0"/>
      <w:sz w:val="18"/>
      <w:szCs w:val="20"/>
    </w:rPr>
  </w:style>
  <w:style w:type="paragraph" w:styleId="16">
    <w:name w:val="header"/>
    <w:basedOn w:val="1"/>
    <w:link w:val="39"/>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toc 1"/>
    <w:basedOn w:val="1"/>
    <w:next w:val="1"/>
    <w:qFormat/>
    <w:locked/>
    <w:uiPriority w:val="0"/>
  </w:style>
  <w:style w:type="paragraph" w:styleId="18">
    <w:name w:val="List"/>
    <w:basedOn w:val="1"/>
    <w:next w:val="1"/>
    <w:qFormat/>
    <w:locked/>
    <w:uiPriority w:val="0"/>
    <w:pPr>
      <w:snapToGrid w:val="0"/>
      <w:spacing w:line="240" w:lineRule="atLeast"/>
      <w:ind w:left="0" w:leftChars="0" w:firstLine="0" w:firstLineChars="0"/>
      <w:jc w:val="center"/>
    </w:pPr>
    <w:rPr>
      <w:sz w:val="21"/>
    </w:rPr>
  </w:style>
  <w:style w:type="paragraph" w:styleId="19">
    <w:name w:val="Normal (Web)"/>
    <w:basedOn w:val="1"/>
    <w:link w:val="40"/>
    <w:qFormat/>
    <w:uiPriority w:val="0"/>
    <w:pPr>
      <w:widowControl/>
      <w:spacing w:before="100" w:beforeAutospacing="1" w:after="100" w:afterAutospacing="1"/>
      <w:jc w:val="left"/>
    </w:pPr>
    <w:rPr>
      <w:rFonts w:ascii="宋体" w:hAnsi="宋体"/>
      <w:kern w:val="0"/>
      <w:sz w:val="24"/>
      <w:szCs w:val="20"/>
    </w:rPr>
  </w:style>
  <w:style w:type="paragraph" w:styleId="20">
    <w:name w:val="Title"/>
    <w:basedOn w:val="1"/>
    <w:next w:val="1"/>
    <w:link w:val="56"/>
    <w:qFormat/>
    <w:locked/>
    <w:uiPriority w:val="0"/>
    <w:pPr>
      <w:spacing w:before="240" w:after="60"/>
      <w:jc w:val="center"/>
      <w:outlineLvl w:val="0"/>
    </w:pPr>
    <w:rPr>
      <w:rFonts w:asciiTheme="majorHAnsi" w:hAnsiTheme="majorHAnsi" w:cstheme="majorBidi"/>
      <w:b/>
      <w:bCs/>
      <w:sz w:val="32"/>
      <w:szCs w:val="32"/>
    </w:rPr>
  </w:style>
  <w:style w:type="paragraph" w:styleId="21">
    <w:name w:val="annotation subject"/>
    <w:basedOn w:val="10"/>
    <w:next w:val="10"/>
    <w:link w:val="41"/>
    <w:semiHidden/>
    <w:qFormat/>
    <w:uiPriority w:val="0"/>
    <w:rPr>
      <w:b/>
    </w:rPr>
  </w:style>
  <w:style w:type="paragraph" w:styleId="22">
    <w:name w:val="Body Text First Indent 2"/>
    <w:basedOn w:val="11"/>
    <w:next w:val="2"/>
    <w:qFormat/>
    <w:locked/>
    <w:uiPriority w:val="0"/>
    <w:pPr>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locked/>
    <w:uiPriority w:val="0"/>
    <w:rPr>
      <w:b/>
    </w:rPr>
  </w:style>
  <w:style w:type="character" w:styleId="27">
    <w:name w:val="page number"/>
    <w:qFormat/>
    <w:locked/>
    <w:uiPriority w:val="0"/>
  </w:style>
  <w:style w:type="character" w:styleId="28">
    <w:name w:val="annotation reference"/>
    <w:semiHidden/>
    <w:qFormat/>
    <w:uiPriority w:val="0"/>
    <w:rPr>
      <w:sz w:val="21"/>
    </w:rPr>
  </w:style>
  <w:style w:type="paragraph" w:customStyle="1" w:styleId="29">
    <w:name w:val="明显引用1"/>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paragraph" w:customStyle="1" w:styleId="30">
    <w:name w:val="样式 标题 1 + 四号 段前: 0 磅 段后: 0 磅 行距: 1.5 倍行距"/>
    <w:basedOn w:val="31"/>
    <w:next w:val="32"/>
    <w:qFormat/>
    <w:uiPriority w:val="0"/>
    <w:pPr>
      <w:jc w:val="center"/>
    </w:pPr>
  </w:style>
  <w:style w:type="paragraph" w:customStyle="1" w:styleId="31">
    <w:name w:val="1正文"/>
    <w:qFormat/>
    <w:uiPriority w:val="0"/>
    <w:pPr>
      <w:snapToGrid w:val="0"/>
      <w:spacing w:line="360" w:lineRule="auto"/>
      <w:ind w:firstLine="200" w:firstLineChars="200"/>
      <w:jc w:val="both"/>
    </w:pPr>
    <w:rPr>
      <w:rFonts w:ascii="Tms Rmn" w:hAnsi="Tms Rmn" w:eastAsia="華康中楷體" w:cs="??"/>
      <w:kern w:val="2"/>
      <w:sz w:val="24"/>
      <w:szCs w:val="24"/>
      <w:lang w:val="en-US" w:eastAsia="zh-CN" w:bidi="ar-SA"/>
    </w:rPr>
  </w:style>
  <w:style w:type="paragraph" w:customStyle="1" w:styleId="32">
    <w:name w:val="文本正文"/>
    <w:basedOn w:val="1"/>
    <w:qFormat/>
    <w:uiPriority w:val="0"/>
    <w:pPr>
      <w:snapToGrid w:val="0"/>
      <w:spacing w:line="360" w:lineRule="auto"/>
      <w:ind w:firstLine="510"/>
      <w:jc w:val="left"/>
    </w:pPr>
    <w:rPr>
      <w:spacing w:val="4"/>
      <w:kern w:val="24"/>
      <w:lang w:val="zh-CN"/>
    </w:rPr>
  </w:style>
  <w:style w:type="character" w:customStyle="1" w:styleId="33">
    <w:name w:val="批注文字 Char"/>
    <w:link w:val="10"/>
    <w:qFormat/>
    <w:locked/>
    <w:uiPriority w:val="0"/>
    <w:rPr>
      <w:rFonts w:ascii="Times New Roman" w:hAnsi="Times New Roman" w:eastAsia="宋体"/>
      <w:sz w:val="24"/>
    </w:rPr>
  </w:style>
  <w:style w:type="character" w:customStyle="1" w:styleId="34">
    <w:name w:val="正文文本 Char"/>
    <w:link w:val="3"/>
    <w:qFormat/>
    <w:locked/>
    <w:uiPriority w:val="0"/>
    <w:rPr>
      <w:sz w:val="18"/>
    </w:rPr>
  </w:style>
  <w:style w:type="character" w:customStyle="1" w:styleId="35">
    <w:name w:val="正文文本缩进 Char"/>
    <w:link w:val="11"/>
    <w:semiHidden/>
    <w:qFormat/>
    <w:locked/>
    <w:uiPriority w:val="0"/>
    <w:rPr>
      <w:rFonts w:ascii="Times New Roman" w:hAnsi="Times New Roman" w:eastAsia="宋体"/>
      <w:sz w:val="24"/>
    </w:rPr>
  </w:style>
  <w:style w:type="character" w:customStyle="1" w:styleId="36">
    <w:name w:val="日期 Char"/>
    <w:link w:val="13"/>
    <w:qFormat/>
    <w:locked/>
    <w:uiPriority w:val="0"/>
    <w:rPr>
      <w:rFonts w:ascii="Times New Roman" w:hAnsi="Times New Roman" w:eastAsia="宋体"/>
      <w:sz w:val="24"/>
    </w:rPr>
  </w:style>
  <w:style w:type="character" w:customStyle="1" w:styleId="37">
    <w:name w:val="批注框文本 Char"/>
    <w:link w:val="14"/>
    <w:semiHidden/>
    <w:qFormat/>
    <w:locked/>
    <w:uiPriority w:val="0"/>
    <w:rPr>
      <w:rFonts w:ascii="Times New Roman" w:hAnsi="Times New Roman" w:eastAsia="宋体"/>
      <w:sz w:val="18"/>
    </w:rPr>
  </w:style>
  <w:style w:type="character" w:customStyle="1" w:styleId="38">
    <w:name w:val="页脚 Char"/>
    <w:link w:val="15"/>
    <w:qFormat/>
    <w:locked/>
    <w:uiPriority w:val="99"/>
    <w:rPr>
      <w:sz w:val="18"/>
    </w:rPr>
  </w:style>
  <w:style w:type="character" w:customStyle="1" w:styleId="39">
    <w:name w:val="页眉 Char"/>
    <w:link w:val="16"/>
    <w:qFormat/>
    <w:locked/>
    <w:uiPriority w:val="0"/>
    <w:rPr>
      <w:sz w:val="18"/>
    </w:rPr>
  </w:style>
  <w:style w:type="character" w:customStyle="1" w:styleId="40">
    <w:name w:val="普通(网站) Char"/>
    <w:link w:val="19"/>
    <w:qFormat/>
    <w:locked/>
    <w:uiPriority w:val="0"/>
    <w:rPr>
      <w:rFonts w:ascii="宋体" w:hAnsi="宋体" w:eastAsia="宋体"/>
      <w:sz w:val="24"/>
    </w:rPr>
  </w:style>
  <w:style w:type="character" w:customStyle="1" w:styleId="41">
    <w:name w:val="批注主题 Char"/>
    <w:link w:val="21"/>
    <w:semiHidden/>
    <w:qFormat/>
    <w:locked/>
    <w:uiPriority w:val="0"/>
    <w:rPr>
      <w:rFonts w:ascii="Times New Roman" w:hAnsi="Times New Roman" w:eastAsia="宋体"/>
      <w:b/>
      <w:kern w:val="2"/>
      <w:sz w:val="24"/>
    </w:rPr>
  </w:style>
  <w:style w:type="character" w:customStyle="1" w:styleId="42">
    <w:name w:val="正文文本 字符1"/>
    <w:semiHidden/>
    <w:qFormat/>
    <w:uiPriority w:val="0"/>
    <w:rPr>
      <w:rFonts w:ascii="Times New Roman" w:hAnsi="Times New Roman" w:eastAsia="宋体"/>
      <w:sz w:val="24"/>
    </w:rPr>
  </w:style>
  <w:style w:type="character" w:customStyle="1" w:styleId="43">
    <w:name w:val="表格 Char"/>
    <w:link w:val="44"/>
    <w:qFormat/>
    <w:locked/>
    <w:uiPriority w:val="0"/>
    <w:rPr>
      <w:rFonts w:ascii="宋体"/>
      <w:sz w:val="21"/>
    </w:rPr>
  </w:style>
  <w:style w:type="paragraph" w:customStyle="1" w:styleId="44">
    <w:name w:val="表格"/>
    <w:basedOn w:val="18"/>
    <w:next w:val="1"/>
    <w:link w:val="43"/>
    <w:qFormat/>
    <w:uiPriority w:val="0"/>
    <w:pPr>
      <w:adjustRightInd w:val="0"/>
      <w:snapToGrid w:val="0"/>
      <w:spacing w:beforeLines="10" w:afterLines="10" w:line="259" w:lineRule="auto"/>
      <w:jc w:val="center"/>
    </w:pPr>
    <w:rPr>
      <w:rFonts w:ascii="宋体"/>
      <w:kern w:val="0"/>
      <w:szCs w:val="20"/>
    </w:rPr>
  </w:style>
  <w:style w:type="character" w:customStyle="1" w:styleId="45">
    <w:name w:val="页脚 字符"/>
    <w:qFormat/>
    <w:uiPriority w:val="99"/>
  </w:style>
  <w:style w:type="character" w:customStyle="1" w:styleId="46">
    <w:name w:val="日期 字符"/>
    <w:semiHidden/>
    <w:qFormat/>
    <w:uiPriority w:val="0"/>
    <w:rPr>
      <w:rFonts w:ascii="Times New Roman" w:hAnsi="Times New Roman" w:eastAsia="宋体"/>
      <w:sz w:val="24"/>
    </w:rPr>
  </w:style>
  <w:style w:type="character" w:customStyle="1" w:styleId="47">
    <w:name w:val="批注文字 字符1"/>
    <w:semiHidden/>
    <w:qFormat/>
    <w:uiPriority w:val="0"/>
    <w:rPr>
      <w:rFonts w:ascii="Times New Roman" w:hAnsi="Times New Roman" w:eastAsia="宋体"/>
      <w:sz w:val="24"/>
    </w:rPr>
  </w:style>
  <w:style w:type="paragraph" w:customStyle="1" w:styleId="4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表格文字1"/>
    <w:basedOn w:val="1"/>
    <w:qFormat/>
    <w:uiPriority w:val="0"/>
    <w:pPr>
      <w:adjustRightInd w:val="0"/>
      <w:snapToGrid w:val="0"/>
      <w:ind w:firstLine="422"/>
    </w:pPr>
    <w:rPr>
      <w:rFonts w:ascii="宋体" w:hAnsi="宋体"/>
    </w:rPr>
  </w:style>
  <w:style w:type="character" w:customStyle="1" w:styleId="51">
    <w:name w:val="font01"/>
    <w:qFormat/>
    <w:uiPriority w:val="0"/>
    <w:rPr>
      <w:rFonts w:hint="default" w:ascii="Times New Roman" w:hAnsi="Times New Roman" w:cs="Times New Roman"/>
      <w:color w:val="000000"/>
      <w:sz w:val="21"/>
      <w:szCs w:val="21"/>
      <w:u w:val="none"/>
      <w:vertAlign w:val="superscript"/>
    </w:rPr>
  </w:style>
  <w:style w:type="paragraph" w:customStyle="1" w:styleId="52">
    <w:name w:val="样式5"/>
    <w:basedOn w:val="1"/>
    <w:qFormat/>
    <w:uiPriority w:val="0"/>
    <w:pPr>
      <w:snapToGrid w:val="0"/>
      <w:spacing w:line="360" w:lineRule="auto"/>
      <w:ind w:firstLine="510"/>
    </w:pPr>
    <w:rPr>
      <w:sz w:val="24"/>
    </w:rPr>
  </w:style>
  <w:style w:type="paragraph" w:customStyle="1" w:styleId="53">
    <w:name w:val="Default"/>
    <w:unhideWhenUsed/>
    <w:qFormat/>
    <w:uiPriority w:val="99"/>
    <w:pPr>
      <w:widowControl w:val="0"/>
      <w:autoSpaceDE w:val="0"/>
      <w:autoSpaceDN w:val="0"/>
      <w:adjustRightInd w:val="0"/>
    </w:pPr>
    <w:rPr>
      <w:rFonts w:ascii="黑体" w:hAnsi="黑体" w:eastAsia="黑体" w:cs="Times New Roman"/>
      <w:color w:val="000000"/>
      <w:sz w:val="24"/>
      <w:szCs w:val="24"/>
      <w:lang w:val="en-US" w:eastAsia="zh-CN" w:bidi="ar-SA"/>
    </w:rPr>
  </w:style>
  <w:style w:type="character" w:customStyle="1" w:styleId="54">
    <w:name w:val="文档结构图 Char"/>
    <w:basedOn w:val="25"/>
    <w:link w:val="8"/>
    <w:qFormat/>
    <w:uiPriority w:val="0"/>
    <w:rPr>
      <w:rFonts w:ascii="宋体"/>
      <w:kern w:val="2"/>
      <w:sz w:val="18"/>
      <w:szCs w:val="18"/>
    </w:rPr>
  </w:style>
  <w:style w:type="paragraph" w:customStyle="1" w:styleId="55">
    <w:name w:val="表内容"/>
    <w:basedOn w:val="1"/>
    <w:qFormat/>
    <w:uiPriority w:val="0"/>
    <w:pPr>
      <w:jc w:val="center"/>
    </w:pPr>
    <w:rPr>
      <w:rFonts w:eastAsia="仿宋"/>
    </w:rPr>
  </w:style>
  <w:style w:type="character" w:customStyle="1" w:styleId="56">
    <w:name w:val="标题 Char"/>
    <w:basedOn w:val="25"/>
    <w:link w:val="20"/>
    <w:qFormat/>
    <w:uiPriority w:val="0"/>
    <w:rPr>
      <w:rFonts w:asciiTheme="majorHAnsi" w:hAnsiTheme="majorHAnsi" w:cstheme="majorBidi"/>
      <w:b/>
      <w:bCs/>
      <w:kern w:val="2"/>
      <w:sz w:val="32"/>
      <w:szCs w:val="32"/>
    </w:rPr>
  </w:style>
  <w:style w:type="paragraph" w:customStyle="1" w:styleId="57">
    <w:name w:val="Revision"/>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8">
    <w:name w:val=" Char Char Char Char"/>
    <w:basedOn w:val="1"/>
    <w:qFormat/>
    <w:uiPriority w:val="0"/>
    <w:pPr>
      <w:snapToGrid w:val="0"/>
      <w:spacing w:line="360" w:lineRule="auto"/>
      <w:ind w:firstLine="200" w:firstLineChars="200"/>
    </w:pPr>
    <w:rPr>
      <w:szCs w:val="20"/>
    </w:rPr>
  </w:style>
  <w:style w:type="paragraph" w:customStyle="1" w:styleId="59">
    <w:name w:val="Table Text"/>
    <w:basedOn w:val="1"/>
    <w:semiHidden/>
    <w:qFormat/>
    <w:uiPriority w:val="0"/>
    <w:rPr>
      <w:rFonts w:ascii="宋体" w:hAnsi="宋体" w:eastAsia="宋体" w:cs="宋体"/>
      <w:sz w:val="24"/>
      <w:szCs w:val="24"/>
      <w:lang w:val="en-US" w:eastAsia="en-US" w:bidi="ar-SA"/>
    </w:rPr>
  </w:style>
  <w:style w:type="table" w:customStyle="1" w:styleId="60">
    <w:name w:val="Table Normal"/>
    <w:semiHidden/>
    <w:unhideWhenUsed/>
    <w:qFormat/>
    <w:uiPriority w:val="0"/>
    <w:tblPr>
      <w:tblCellMar>
        <w:top w:w="0" w:type="dxa"/>
        <w:left w:w="0" w:type="dxa"/>
        <w:bottom w:w="0" w:type="dxa"/>
        <w:right w:w="0" w:type="dxa"/>
      </w:tblCellMar>
    </w:tblPr>
  </w:style>
  <w:style w:type="paragraph" w:customStyle="1" w:styleId="61">
    <w:name w:val="三级标题"/>
    <w:basedOn w:val="1"/>
    <w:qFormat/>
    <w:uiPriority w:val="0"/>
    <w:pPr>
      <w:autoSpaceDE w:val="0"/>
      <w:autoSpaceDN w:val="0"/>
      <w:adjustRightInd w:val="0"/>
      <w:spacing w:before="120" w:after="120" w:line="440" w:lineRule="exact"/>
      <w:jc w:val="left"/>
    </w:pPr>
    <w:rPr>
      <w:rFonts w:ascii="黑体" w:hAnsi="ˎ̥" w:eastAsia="黑体" w:cs="宋体"/>
      <w:sz w:val="28"/>
      <w:szCs w:val="28"/>
    </w:rPr>
  </w:style>
  <w:style w:type="paragraph" w:customStyle="1" w:styleId="62">
    <w:name w:val="制表格"/>
    <w:basedOn w:val="1"/>
    <w:qFormat/>
    <w:uiPriority w:val="0"/>
    <w:pPr>
      <w:jc w:val="center"/>
    </w:pPr>
    <w:rPr>
      <w:kern w:val="0"/>
      <w:szCs w:val="28"/>
    </w:rPr>
  </w:style>
  <w:style w:type="character" w:customStyle="1" w:styleId="63">
    <w:name w:val="font61"/>
    <w:basedOn w:val="25"/>
    <w:autoRedefine/>
    <w:qFormat/>
    <w:uiPriority w:val="0"/>
    <w:rPr>
      <w:rFonts w:hint="eastAsia" w:ascii="宋体" w:hAnsi="宋体" w:eastAsia="宋体" w:cs="宋体"/>
      <w:color w:val="FF0000"/>
      <w:sz w:val="21"/>
      <w:szCs w:val="21"/>
      <w:u w:val="none"/>
    </w:rPr>
  </w:style>
  <w:style w:type="character" w:customStyle="1" w:styleId="64">
    <w:name w:val="font11"/>
    <w:basedOn w:val="25"/>
    <w:qFormat/>
    <w:uiPriority w:val="0"/>
    <w:rPr>
      <w:rFonts w:hint="eastAsia" w:ascii="宋体" w:hAnsi="宋体" w:eastAsia="宋体" w:cs="宋体"/>
      <w:color w:val="000000"/>
      <w:sz w:val="21"/>
      <w:szCs w:val="21"/>
      <w:u w:val="none"/>
    </w:rPr>
  </w:style>
  <w:style w:type="character" w:customStyle="1" w:styleId="65">
    <w:name w:val="font31"/>
    <w:basedOn w:val="25"/>
    <w:qFormat/>
    <w:uiPriority w:val="0"/>
    <w:rPr>
      <w:rFonts w:hint="eastAsia" w:ascii="宋体" w:hAnsi="宋体" w:eastAsia="宋体" w:cs="宋体"/>
      <w:color w:val="FF0000"/>
      <w:sz w:val="21"/>
      <w:szCs w:val="21"/>
      <w:u w:val="none"/>
    </w:rPr>
  </w:style>
  <w:style w:type="paragraph" w:customStyle="1" w:styleId="66">
    <w:name w:val="首行缩进"/>
    <w:basedOn w:val="1"/>
    <w:qFormat/>
    <w:uiPriority w:val="0"/>
    <w:pPr>
      <w:adjustRightInd w:val="0"/>
      <w:snapToGrid w:val="0"/>
      <w:ind w:firstLine="480"/>
    </w:pPr>
    <w:rPr>
      <w:rFonts w:ascii="Times New Roman" w:hAnsi="Times New Roman" w:eastAsia="宋体" w:cs="Times New Roman"/>
      <w:szCs w:val="24"/>
    </w:rPr>
  </w:style>
  <w:style w:type="table" w:customStyle="1" w:styleId="67">
    <w:name w:val="网格型6"/>
    <w:basedOn w:val="2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8">
    <w:name w:val="表格内容"/>
    <w:basedOn w:val="69"/>
    <w:qFormat/>
    <w:uiPriority w:val="99"/>
    <w:pPr>
      <w:tabs>
        <w:tab w:val="left" w:pos="5327"/>
        <w:tab w:val="left" w:pos="6326"/>
        <w:tab w:val="left" w:pos="7230"/>
        <w:tab w:val="left" w:pos="9301"/>
      </w:tabs>
      <w:spacing w:line="240" w:lineRule="auto"/>
      <w:ind w:firstLine="0" w:firstLineChars="0"/>
      <w:jc w:val="center"/>
    </w:pPr>
    <w:rPr>
      <w:kern w:val="0"/>
      <w:sz w:val="21"/>
      <w:szCs w:val="20"/>
    </w:rPr>
  </w:style>
  <w:style w:type="paragraph" w:customStyle="1" w:styleId="69">
    <w:name w:val="表格标题"/>
    <w:basedOn w:val="70"/>
    <w:qFormat/>
    <w:uiPriority w:val="0"/>
    <w:pPr>
      <w:spacing w:line="240" w:lineRule="auto"/>
      <w:jc w:val="center"/>
    </w:pPr>
    <w:rPr>
      <w:b/>
      <w:sz w:val="21"/>
    </w:rPr>
  </w:style>
  <w:style w:type="paragraph" w:customStyle="1" w:styleId="70">
    <w:name w:val="方案正文"/>
    <w:basedOn w:val="1"/>
    <w:qFormat/>
    <w:uiPriority w:val="0"/>
    <w:pPr>
      <w:spacing w:line="360" w:lineRule="auto"/>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png"/><Relationship Id="rId17" Type="http://schemas.openxmlformats.org/officeDocument/2006/relationships/image" Target="media/image5.wmf"/><Relationship Id="rId16" Type="http://schemas.openxmlformats.org/officeDocument/2006/relationships/oleObject" Target="embeddings/oleObject5.bin"/><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textRotate="1"/>
    <customShpInfo spid="_x0000_s3074" textRotate="1"/>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5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70"/>
    <customShpInfo spid="_x0000_s2090"/>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091"/>
    <customShpInfo spid="_x0000_s2089"/>
    <customShpInfo spid="_x0000_s2101"/>
    <customShpInfo spid="_x0000_s2102"/>
    <customShpInfo spid="_x0000_s2088"/>
    <customShpInfo spid="_x0000_s206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0C1225-8AD3-4DD5-AD65-2BBC9F10298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121</Pages>
  <Words>79586</Words>
  <Characters>89212</Characters>
  <Lines>429</Lines>
  <Paragraphs>120</Paragraphs>
  <TotalTime>62</TotalTime>
  <ScaleCrop>false</ScaleCrop>
  <LinksUpToDate>false</LinksUpToDate>
  <CharactersWithSpaces>89638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2021-08-08T07:31:00Z</dcterms:created>
  <dc:creator>lhj</dc:creator>
  <cp:lastModifiedBy>马竹芬</cp:lastModifiedBy>
  <cp:lastPrinted>2026-08-10T11:10:00Z</cp:lastPrinted>
  <dcterms:modified xsi:type="dcterms:W3CDTF">2026-08-13T01:07:13Z</dcterms:modified>
  <dc:title>附件2</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38EFED9BFBA64EB98DC0795A65A3EFC5</vt:lpwstr>
  </property>
  <property fmtid="{D5CDD505-2E9C-101B-9397-08002B2CF9AE}" pid="4" name="KSOTemplateDocerSaveRecord">
    <vt:lpwstr>eyJoZGlkIjoiOTc5MzZiOTVlYzA1Y2QxZjJhNzRkYjUxYWVhZGEwN2UiLCJ1c2VySWQiOiIxNzQ3Nzk0OTE3In0=</vt:lpwstr>
  </property>
</Properties>
</file>