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0B9A4">
      <w:pPr>
        <w:keepNext w:val="0"/>
        <w:keepLines w:val="0"/>
        <w:pageBreakBefore w:val="0"/>
        <w:kinsoku/>
        <w:wordWrap/>
        <w:overflowPunct/>
        <w:topLinePunct w:val="0"/>
        <w:autoSpaceDE/>
        <w:autoSpaceDN/>
        <w:bidi w:val="0"/>
        <w:spacing w:line="620" w:lineRule="exact"/>
        <w:ind w:firstLine="880" w:firstLineChars="200"/>
        <w:jc w:val="both"/>
        <w:textAlignment w:val="auto"/>
        <w:rPr>
          <w:rFonts w:hint="default" w:ascii="Times New Roman" w:hAnsi="Times New Roman" w:eastAsia="方正小标宋简体" w:cs="Times New Roman"/>
          <w:b w:val="0"/>
          <w:bCs/>
          <w:sz w:val="44"/>
          <w:szCs w:val="44"/>
          <w:u w:val="none"/>
          <w:lang w:val="en-US" w:eastAsia="zh-CN"/>
        </w:rPr>
      </w:pPr>
    </w:p>
    <w:p w14:paraId="487183C5">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2025年寻甸县预算绩效工作开展情况说明</w:t>
      </w:r>
    </w:p>
    <w:p w14:paraId="1016A367">
      <w:pPr>
        <w:pStyle w:val="6"/>
        <w:rPr>
          <w:rFonts w:hint="default" w:ascii="Times New Roman" w:hAnsi="Times New Roman" w:cs="Times New Roman"/>
          <w:lang w:val="en-US" w:eastAsia="zh-CN"/>
        </w:rPr>
      </w:pPr>
    </w:p>
    <w:p w14:paraId="6FABD1E5">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为全面深入推进预算绩效管理，加快构建全方位、全过程、全覆盖的预算绩效管理体系，加强财政支出管理，强化预算支出责任，提高财政资金使用效益，实行科学有效的预算绩效评价，形成“预算编制有目标、预算执行有监控、预算完成有评价、评价结果有反馈、反馈结果有应用”的绩效管理模式。寻甸县财政局全面推进预算绩效管理工作实现常态化、制度化、规范化，充分发挥预算绩效管理职能作用，不断提高财政资源配置效率和使用效益。现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2025年度</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有关工作情况说明如下。</w:t>
      </w:r>
    </w:p>
    <w:p w14:paraId="4EE78C0B">
      <w:pPr>
        <w:keepNext w:val="0"/>
        <w:keepLines w:val="0"/>
        <w:pageBreakBefore w:val="0"/>
        <w:kinsoku/>
        <w:wordWrap/>
        <w:overflowPunct/>
        <w:topLinePunct w:val="0"/>
        <w:autoSpaceDE/>
        <w:autoSpaceDN/>
        <w:bidi w:val="0"/>
        <w:spacing w:line="620" w:lineRule="exact"/>
        <w:ind w:left="0" w:lef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i w:val="0"/>
          <w:caps w:val="0"/>
          <w:color w:val="333333"/>
          <w:spacing w:val="0"/>
          <w:sz w:val="32"/>
          <w:szCs w:val="32"/>
          <w:shd w:val="clear" w:fill="FFFFFF"/>
          <w:lang w:eastAsia="zh-CN"/>
        </w:rPr>
        <w:t>一、</w:t>
      </w:r>
      <w:r>
        <w:rPr>
          <w:rFonts w:hint="default" w:ascii="Times New Roman" w:hAnsi="Times New Roman" w:eastAsia="黑体" w:cs="Times New Roman"/>
          <w:b w:val="0"/>
          <w:bCs w:val="0"/>
          <w:sz w:val="32"/>
          <w:szCs w:val="32"/>
          <w:lang w:val="en-US" w:eastAsia="zh-CN"/>
        </w:rPr>
        <w:t>预算绩效管理工作情况</w:t>
      </w:r>
    </w:p>
    <w:p w14:paraId="0201DBB8">
      <w:pPr>
        <w:keepNext w:val="0"/>
        <w:keepLines w:val="0"/>
        <w:pageBreakBefore w:val="0"/>
        <w:widowControl/>
        <w:kinsoku/>
        <w:wordWrap/>
        <w:overflowPunct/>
        <w:topLinePunct w:val="0"/>
        <w:autoSpaceDE/>
        <w:autoSpaceDN/>
        <w:bidi w:val="0"/>
        <w:adjustRightInd w:val="0"/>
        <w:snapToGrid w:val="0"/>
        <w:spacing w:after="0" w:line="620" w:lineRule="exact"/>
        <w:ind w:left="0" w:leftChars="0"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（一）事前绩效管理</w:t>
      </w:r>
    </w:p>
    <w:p w14:paraId="41C87834">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寻甸回族彝族自治县财政局（以下简称“县财政局”），根据《中华人民共和国预算法》、《寻甸县预算绩效管理暂行办法》（寻政办发〔2014〕2号）、《寻甸县县本级财政支出预算事前绩效评估管理暂行办法》(寻财〔2018〕30号)等文件要求，在进行2025年预算编制之前，为确保资源的合理分配，县财政局制放《关于做好2025年县本级财政支出预算事前绩效评估工作的通知》(寻财绩〔2024〕7号）文件。要求78家一级预算单位成立事前绩效评估工作小组，对年初预算申请财政资金规模在200万元以上（含200万元）的专项支出和连续安排财政资金达五年或五年以上的专项支出做好事前绩效评估。评估内容包括立项必要性、绩效目标合理性、实施方案可行性、投入经济性、筹资合规性等。评估结果将作为项目预算的重要决策依据。通过开展事前绩效评估，强化预算源头管控，防控财政资源配置低效无效，促进预算审核更准确，为预算安排“打好前站”，提高财政资金使用效益，优化财政资金分配结构。</w:t>
      </w:r>
    </w:p>
    <w:p w14:paraId="71309320">
      <w:pPr>
        <w:keepNext w:val="0"/>
        <w:keepLines w:val="0"/>
        <w:pageBreakBefore w:val="0"/>
        <w:kinsoku/>
        <w:wordWrap/>
        <w:overflowPunct/>
        <w:topLinePunct w:val="0"/>
        <w:autoSpaceDE/>
        <w:autoSpaceDN/>
        <w:bidi w:val="0"/>
        <w:spacing w:line="620" w:lineRule="exact"/>
        <w:ind w:left="0" w:leftChars="0" w:firstLine="643" w:firstLineChars="200"/>
        <w:jc w:val="both"/>
        <w:textAlignment w:val="auto"/>
        <w:rPr>
          <w:rFonts w:hint="default" w:ascii="Times New Roman" w:hAnsi="Times New Roman" w:eastAsia="楷体_GB2312" w:cs="Times New Roman"/>
          <w:b/>
          <w:bCs w:val="0"/>
          <w:sz w:val="32"/>
          <w:szCs w:val="32"/>
        </w:rPr>
      </w:pPr>
      <w:r>
        <w:rPr>
          <w:rFonts w:hint="default" w:ascii="Times New Roman" w:hAnsi="Times New Roman" w:eastAsia="楷体_GB2312" w:cs="Times New Roman"/>
          <w:b/>
          <w:bCs w:val="0"/>
          <w:sz w:val="32"/>
          <w:szCs w:val="32"/>
          <w:lang w:val="en-US" w:eastAsia="zh-CN"/>
        </w:rPr>
        <w:t>（二）</w:t>
      </w:r>
      <w:r>
        <w:rPr>
          <w:rFonts w:hint="default" w:ascii="Times New Roman" w:hAnsi="Times New Roman" w:eastAsia="楷体_GB2312" w:cs="Times New Roman"/>
          <w:b/>
          <w:bCs w:val="0"/>
          <w:sz w:val="32"/>
          <w:szCs w:val="32"/>
        </w:rPr>
        <w:t>规范预算绩效目标编报和审核</w:t>
      </w:r>
    </w:p>
    <w:p w14:paraId="2E1A477A">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2025年，县本级预算绩效目标的编制、审核、批复与预算编制、审核、批复同步进行，县财政局本着编报范围全覆盖的原则，按照新《预算法》和《县本级部门预算绩效目标管理办法》（寻政办〔2017〕107号）文件有关规定，发放《关于编报2025-2027年县本级预算绩效目标的通知》寻财绩〔2024〕8号文件，要求78家一级预算单位认真完成部门整体支出、项目支出预算绩效目标编制。县财政局按程序要求进行审核，完善预算绩效指标体系，加强预算绩效目标管理工作。</w:t>
      </w:r>
    </w:p>
    <w:p w14:paraId="0AE1D235">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2025年，纳入年初预算绩效目标管理的78家一级预算单位（部门）占县级部门总数的100%，纳入年初预算绩效目标管理的项目共259个占县级年初预算项目总数的100%。均完成年初预算绩效目标申报。</w:t>
      </w:r>
    </w:p>
    <w:p w14:paraId="7C1C8FFE">
      <w:pPr>
        <w:keepNext w:val="0"/>
        <w:keepLines w:val="0"/>
        <w:pageBreakBefore w:val="0"/>
        <w:kinsoku/>
        <w:wordWrap/>
        <w:overflowPunct/>
        <w:topLinePunct w:val="0"/>
        <w:autoSpaceDE/>
        <w:autoSpaceDN/>
        <w:bidi w:val="0"/>
        <w:spacing w:line="620" w:lineRule="exact"/>
        <w:ind w:left="0" w:leftChars="0"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（三）实施绩效运行监控</w:t>
      </w:r>
    </w:p>
    <w:p w14:paraId="056C14DC">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按照《寻甸县县本级预算绩效跟踪管理暂行办法的通知》（寻财绩〔2019〕1号）的规定，为实现全过程预算绩效管理，规范绩效运行跟踪监控行为，增强预算执行的科学性、合理性、规范性，提高财政资金使用绩效，保障项目实现预期目标。县财政局发放《关于开展2025年项目支出绩效运行监控的通知》寻财绩〔2025〕3号文件，开展了2次运行监控，对项目预算执行进度和绩效目标实现程度进行“双监控”。绩效监控主体为78家一级预算单位。2025年一般公共预算纳入绩效目标管理的全部项目均纳入监控范围，(涉密项目除外)实行监控对象全覆盖。日常绩效运行监控为县本级财政年初预算安排的所有项目支出，共259个，金额3.24亿元。监控工作由项目实施部门（单位）自行开展，并接受财政局监督检查。重点绩效运行监控为年初预算项目支出100万元（含100万元）以上的项目，共25个 ，金额1.38亿元。监控工作由县财政局、县本级预算部门（单位）、项目实施单位各负其责、共同实施。年度中途追加项目纳入日常绩效运行监控，由项目实施部门（单位）自行开展监控。实现监控覆盖率达到100%。</w:t>
      </w:r>
    </w:p>
    <w:p w14:paraId="3E0B8DC5">
      <w:pPr>
        <w:pStyle w:val="7"/>
        <w:keepNext w:val="0"/>
        <w:keepLines w:val="0"/>
        <w:pageBreakBefore w:val="0"/>
        <w:kinsoku/>
        <w:wordWrap/>
        <w:overflowPunct/>
        <w:topLinePunct w:val="0"/>
        <w:autoSpaceDE/>
        <w:autoSpaceDN/>
        <w:bidi w:val="0"/>
        <w:spacing w:line="620" w:lineRule="exact"/>
        <w:ind w:left="0" w:leftChars="0" w:firstLine="643" w:firstLineChars="200"/>
        <w:jc w:val="both"/>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（四）</w:t>
      </w:r>
      <w:r>
        <w:rPr>
          <w:rFonts w:hint="default" w:ascii="Times New Roman" w:hAnsi="Times New Roman" w:eastAsia="楷体_GB2312" w:cs="Times New Roman"/>
          <w:b/>
          <w:bCs/>
          <w:sz w:val="32"/>
          <w:szCs w:val="32"/>
        </w:rPr>
        <w:t>深入开展预算绩效自评、审核工作</w:t>
      </w:r>
    </w:p>
    <w:p w14:paraId="763407DA">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1、开展中央对地方转移支付预算执行情况绩效自评工作</w:t>
      </w:r>
    </w:p>
    <w:p w14:paraId="32408D8B">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按上级要求转发</w:t>
      </w:r>
      <w:r>
        <w:rPr>
          <w:rFonts w:hint="default" w:ascii="仿宋_GB2312" w:hAnsi="仿宋_GB2312" w:eastAsia="仿宋_GB2312" w:cs="仿宋_GB2312"/>
          <w:color w:val="000000" w:themeColor="text1"/>
          <w:sz w:val="32"/>
          <w:szCs w:val="32"/>
          <w:lang w:eastAsia="zh-CN"/>
          <w14:textFill>
            <w14:solidFill>
              <w14:schemeClr w14:val="tx1"/>
            </w14:solidFill>
          </w14:textFill>
        </w:rPr>
        <w:t>《云南省财政厅关于做好202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4</w:t>
      </w:r>
      <w:r>
        <w:rPr>
          <w:rFonts w:hint="default" w:ascii="仿宋_GB2312" w:hAnsi="仿宋_GB2312" w:eastAsia="仿宋_GB2312" w:cs="仿宋_GB2312"/>
          <w:color w:val="000000" w:themeColor="text1"/>
          <w:sz w:val="32"/>
          <w:szCs w:val="32"/>
          <w:lang w:eastAsia="zh-CN"/>
          <w14:textFill>
            <w14:solidFill>
              <w14:schemeClr w14:val="tx1"/>
            </w14:solidFill>
          </w14:textFill>
        </w:rPr>
        <w:t>年度中央对地方转移支付预算执行情况绩效自评工作的通知》（云财绩〔202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5</w:t>
      </w:r>
      <w:r>
        <w:rPr>
          <w:rFonts w:hint="default" w:ascii="仿宋_GB2312" w:hAnsi="仿宋_GB2312" w:eastAsia="仿宋_GB2312" w:cs="仿宋_GB2312"/>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w:t>
      </w:r>
      <w:r>
        <w:rPr>
          <w:rFonts w:hint="default" w:ascii="仿宋_GB2312" w:hAnsi="仿宋_GB2312" w:eastAsia="仿宋_GB2312" w:cs="仿宋_GB2312"/>
          <w:color w:val="000000" w:themeColor="text1"/>
          <w:sz w:val="32"/>
          <w:szCs w:val="32"/>
          <w:lang w:eastAsia="zh-CN"/>
          <w14:textFill>
            <w14:solidFill>
              <w14:schemeClr w14:val="tx1"/>
            </w14:solidFill>
          </w14:textFill>
        </w:rPr>
        <w:t>号）</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、《昆明市财政局关于做好2024年度中央对地方转</w:t>
      </w:r>
      <w:r>
        <w:rPr>
          <w:rFonts w:hint="default" w:ascii="仿宋_GB2312" w:hAnsi="仿宋_GB2312" w:eastAsia="仿宋_GB2312" w:cs="仿宋_GB2312"/>
          <w:color w:val="000000" w:themeColor="text1"/>
          <w:sz w:val="32"/>
          <w:szCs w:val="32"/>
          <w:lang w:eastAsia="zh-CN"/>
          <w14:textFill>
            <w14:solidFill>
              <w14:schemeClr w14:val="tx1"/>
            </w14:solidFill>
          </w14:textFill>
        </w:rPr>
        <w:t>移支付预算执行情况绩效自评工作的通知》（昆财绩〔2025〕</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4</w:t>
      </w:r>
      <w:r>
        <w:rPr>
          <w:rFonts w:hint="default" w:ascii="仿宋_GB2312" w:hAnsi="仿宋_GB2312" w:eastAsia="仿宋_GB2312" w:cs="仿宋_GB2312"/>
          <w:color w:val="000000" w:themeColor="text1"/>
          <w:sz w:val="32"/>
          <w:szCs w:val="32"/>
          <w:lang w:eastAsia="zh-CN"/>
          <w14:textFill>
            <w14:solidFill>
              <w14:schemeClr w14:val="tx1"/>
            </w14:solidFill>
          </w14:textFill>
        </w:rPr>
        <w:t>号）</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通知，要求相关预算单位做好2024年度中央对地方转移支付预算执行情况绩效自评工作。共完成中央对地方转移支付预算执行情况绩效自评报告121个。</w:t>
      </w:r>
    </w:p>
    <w:p w14:paraId="6CAED75B">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w:t>
      </w:r>
      <w:r>
        <w:rPr>
          <w:rFonts w:hint="default" w:ascii="仿宋_GB2312" w:hAnsi="仿宋_GB2312" w:eastAsia="仿宋_GB2312" w:cs="仿宋_GB2312"/>
          <w:color w:val="000000" w:themeColor="text1"/>
          <w:sz w:val="32"/>
          <w:szCs w:val="32"/>
          <w:lang w:eastAsia="zh-CN"/>
          <w14:textFill>
            <w14:solidFill>
              <w14:schemeClr w14:val="tx1"/>
            </w14:solidFill>
          </w14:textFill>
        </w:rPr>
        <w:t>深入开展部门整体支出、重点项目支出绩效自评工作</w:t>
      </w:r>
    </w:p>
    <w:p w14:paraId="5B96E192">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根据《寻甸县本级部门预算绩效自评管理暂行办法》（寻财绩</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eastAsia="zh-CN"/>
          <w14:textFill>
            <w14:solidFill>
              <w14:schemeClr w14:val="tx1"/>
            </w14:solidFill>
          </w14:textFill>
        </w:rPr>
        <w:t>2018</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eastAsia="zh-CN"/>
          <w14:textFill>
            <w14:solidFill>
              <w14:schemeClr w14:val="tx1"/>
            </w14:solidFill>
          </w14:textFill>
        </w:rPr>
        <w:t>9号）的通知，结合绩效管理工作实际，</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县财政局对</w:t>
      </w:r>
      <w:r>
        <w:rPr>
          <w:rFonts w:hint="default" w:ascii="仿宋_GB2312" w:hAnsi="仿宋_GB2312" w:eastAsia="仿宋_GB2312" w:cs="仿宋_GB2312"/>
          <w:color w:val="000000" w:themeColor="text1"/>
          <w:sz w:val="32"/>
          <w:szCs w:val="32"/>
          <w:lang w:eastAsia="zh-CN"/>
          <w14:textFill>
            <w14:solidFill>
              <w14:schemeClr w14:val="tx1"/>
            </w14:solidFill>
          </w14:textFill>
        </w:rPr>
        <w:t>202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4</w:t>
      </w:r>
      <w:r>
        <w:rPr>
          <w:rFonts w:hint="default" w:ascii="仿宋_GB2312" w:hAnsi="仿宋_GB2312" w:eastAsia="仿宋_GB2312" w:cs="仿宋_GB2312"/>
          <w:color w:val="000000" w:themeColor="text1"/>
          <w:sz w:val="32"/>
          <w:szCs w:val="32"/>
          <w:lang w:eastAsia="zh-CN"/>
          <w14:textFill>
            <w14:solidFill>
              <w14:schemeClr w14:val="tx1"/>
            </w14:solidFill>
          </w14:textFill>
        </w:rPr>
        <w:t>年度已申报</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绩效目标</w:t>
      </w:r>
      <w:r>
        <w:rPr>
          <w:rFonts w:hint="default" w:ascii="仿宋_GB2312" w:hAnsi="仿宋_GB2312" w:eastAsia="仿宋_GB2312" w:cs="仿宋_GB2312"/>
          <w:color w:val="000000" w:themeColor="text1"/>
          <w:sz w:val="32"/>
          <w:szCs w:val="32"/>
          <w:lang w:eastAsia="zh-CN"/>
          <w14:textFill>
            <w14:solidFill>
              <w14:schemeClr w14:val="tx1"/>
            </w14:solidFill>
          </w14:textFill>
        </w:rPr>
        <w:t>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77个部门（单位）</w:t>
      </w:r>
      <w:r>
        <w:rPr>
          <w:rFonts w:hint="default" w:ascii="仿宋_GB2312" w:hAnsi="仿宋_GB2312" w:eastAsia="仿宋_GB2312" w:cs="仿宋_GB2312"/>
          <w:color w:val="000000" w:themeColor="text1"/>
          <w:sz w:val="32"/>
          <w:szCs w:val="32"/>
          <w:lang w:eastAsia="zh-CN"/>
          <w14:textFill>
            <w14:solidFill>
              <w14:schemeClr w14:val="tx1"/>
            </w14:solidFill>
          </w14:textFill>
        </w:rPr>
        <w:t>开展部门整体支出和重点项目支出绩效自评，完成部门整体支出绩</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效自评报告77个，重点项目支出绩效自评报告21个，自评覆盖率达到100%，做到预算执行结果有自评。</w:t>
      </w:r>
    </w:p>
    <w:p w14:paraId="7E13243F">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同时，县财政局对20</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24</w:t>
      </w:r>
      <w:r>
        <w:rPr>
          <w:rFonts w:hint="default" w:ascii="仿宋_GB2312" w:hAnsi="仿宋_GB2312" w:eastAsia="仿宋_GB2312" w:cs="仿宋_GB2312"/>
          <w:color w:val="000000" w:themeColor="text1"/>
          <w:sz w:val="32"/>
          <w:szCs w:val="32"/>
          <w:lang w:eastAsia="zh-CN"/>
          <w14:textFill>
            <w14:solidFill>
              <w14:schemeClr w14:val="tx1"/>
            </w14:solidFill>
          </w14:textFill>
        </w:rPr>
        <w:t>年度绩效自评报告及绩效目标自评表进行了审核，将审核过程中发现的问题及意见及时反馈至各项目单位，并</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督促各相关</w:t>
      </w:r>
      <w:r>
        <w:rPr>
          <w:rFonts w:hint="default" w:ascii="仿宋_GB2312" w:hAnsi="仿宋_GB2312" w:eastAsia="仿宋_GB2312" w:cs="仿宋_GB2312"/>
          <w:color w:val="000000" w:themeColor="text1"/>
          <w:sz w:val="32"/>
          <w:szCs w:val="32"/>
          <w:lang w:eastAsia="zh-CN"/>
          <w14:textFill>
            <w14:solidFill>
              <w14:schemeClr w14:val="tx1"/>
            </w14:solidFill>
          </w14:textFill>
        </w:rPr>
        <w:t>单位按照相关要求及时、全面的完成</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问题</w:t>
      </w:r>
      <w:r>
        <w:rPr>
          <w:rFonts w:hint="default" w:ascii="仿宋_GB2312" w:hAnsi="仿宋_GB2312" w:eastAsia="仿宋_GB2312" w:cs="仿宋_GB2312"/>
          <w:color w:val="000000" w:themeColor="text1"/>
          <w:sz w:val="32"/>
          <w:szCs w:val="32"/>
          <w:lang w:eastAsia="zh-CN"/>
          <w14:textFill>
            <w14:solidFill>
              <w14:schemeClr w14:val="tx1"/>
            </w14:solidFill>
          </w14:textFill>
        </w:rPr>
        <w:t>整改工作。</w:t>
      </w:r>
    </w:p>
    <w:p w14:paraId="43D81304">
      <w:pPr>
        <w:keepNext w:val="0"/>
        <w:keepLines w:val="0"/>
        <w:pageBreakBefore w:val="0"/>
        <w:kinsoku/>
        <w:wordWrap/>
        <w:overflowPunct/>
        <w:topLinePunct w:val="0"/>
        <w:autoSpaceDE/>
        <w:autoSpaceDN/>
        <w:bidi w:val="0"/>
        <w:spacing w:line="620" w:lineRule="exact"/>
        <w:ind w:left="0" w:leftChars="0"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（五）委托社会中介机构开展绩效再评价工作</w:t>
      </w:r>
    </w:p>
    <w:p w14:paraId="05FD78B7">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县财政局委托中介机构对</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2024年度部分单位的部门整体支出和重大项目支出、</w:t>
      </w:r>
      <w:r>
        <w:rPr>
          <w:rFonts w:hint="default" w:ascii="仿宋_GB2312" w:hAnsi="仿宋_GB2312" w:eastAsia="仿宋_GB2312" w:cs="仿宋_GB2312"/>
          <w:color w:val="000000" w:themeColor="text1"/>
          <w:sz w:val="32"/>
          <w:szCs w:val="32"/>
          <w:lang w:eastAsia="zh-CN"/>
          <w14:textFill>
            <w14:solidFill>
              <w14:schemeClr w14:val="tx1"/>
            </w14:solidFill>
          </w14:textFill>
        </w:rPr>
        <w:t>专项债券项目支出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开展绩效再评价。</w:t>
      </w:r>
    </w:p>
    <w:p w14:paraId="5F0F4168">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1、</w:t>
      </w:r>
      <w:r>
        <w:rPr>
          <w:rFonts w:hint="default" w:ascii="仿宋_GB2312" w:hAnsi="仿宋_GB2312" w:eastAsia="仿宋_GB2312" w:cs="仿宋_GB2312"/>
          <w:color w:val="000000" w:themeColor="text1"/>
          <w:sz w:val="32"/>
          <w:szCs w:val="32"/>
          <w:lang w:eastAsia="zh-CN"/>
          <w14:textFill>
            <w14:solidFill>
              <w14:schemeClr w14:val="tx1"/>
            </w14:solidFill>
          </w14:textFill>
        </w:rPr>
        <w:t>绩效再评价工作开展情况</w:t>
      </w:r>
    </w:p>
    <w:p w14:paraId="20EBD083">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本次绩效再评价</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由县财政局委托云南京健会计事务所（普通合伙）具体实施。县财政局结合各预算单位上年度部门整体支出、项目支出绩效开展质量、绩效运行监控开展情况、报送材料质量等情况，筛选了7家部门整体支出、6个重大项目支出（资金1939.00万元），1个专债项目支出（资金6000万元）开展绩效</w:t>
      </w:r>
      <w:r>
        <w:rPr>
          <w:rFonts w:hint="default" w:ascii="仿宋_GB2312" w:hAnsi="仿宋_GB2312" w:eastAsia="仿宋_GB2312" w:cs="仿宋_GB2312"/>
          <w:color w:val="000000" w:themeColor="text1"/>
          <w:sz w:val="32"/>
          <w:szCs w:val="32"/>
          <w:lang w:eastAsia="zh-CN"/>
          <w14:textFill>
            <w14:solidFill>
              <w14:schemeClr w14:val="tx1"/>
            </w14:solidFill>
          </w14:textFill>
        </w:rPr>
        <w:t>再评价工作。再评价工作从</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2025年9月10日开始，第三方中介机构通过调阅资料、现场勘察、走访、征求意见等环节，于10月30日正式出具再评价报告和结果通报，并对涉及单位提出问题整改要求。</w:t>
      </w:r>
    </w:p>
    <w:p w14:paraId="2BCE465B">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本次再评价工作，</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7家部门整体支出绩效共1家单位被评为“优”，6家单位被评为“良”；6个重大项目支出再评价被评为“优”的项目1个，“良”的项目3个，“中”的项目2个；1个专债项目均被评为“中”的项目1个。</w:t>
      </w:r>
    </w:p>
    <w:p w14:paraId="08C89AA5">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2、绩效再评价结果。</w:t>
      </w:r>
    </w:p>
    <w:p w14:paraId="0A420FEF">
      <w:pPr>
        <w:rPr>
          <w:rFonts w:hint="default" w:ascii="Times New Roman" w:hAnsi="Times New Roman" w:cs="Times New Roman"/>
          <w:lang w:eastAsia="zh-CN"/>
        </w:rPr>
      </w:pPr>
    </w:p>
    <w:tbl>
      <w:tblPr>
        <w:tblStyle w:val="11"/>
        <w:tblW w:w="8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99"/>
        <w:gridCol w:w="2813"/>
        <w:gridCol w:w="2766"/>
        <w:gridCol w:w="970"/>
        <w:gridCol w:w="841"/>
        <w:gridCol w:w="871"/>
      </w:tblGrid>
      <w:tr w14:paraId="3FA0B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20" w:hRule="atLeast"/>
        </w:trPr>
        <w:tc>
          <w:tcPr>
            <w:tcW w:w="8760" w:type="dxa"/>
            <w:gridSpan w:val="6"/>
            <w:tcBorders>
              <w:top w:val="nil"/>
              <w:left w:val="nil"/>
              <w:bottom w:val="nil"/>
              <w:right w:val="nil"/>
            </w:tcBorders>
            <w:shd w:val="clear" w:color="auto" w:fill="auto"/>
            <w:tcMar>
              <w:top w:w="15" w:type="dxa"/>
              <w:left w:w="15" w:type="dxa"/>
              <w:right w:w="15" w:type="dxa"/>
            </w:tcMar>
            <w:vAlign w:val="center"/>
          </w:tcPr>
          <w:p w14:paraId="71FBCBF5">
            <w:pPr>
              <w:keepNext w:val="0"/>
              <w:keepLines w:val="0"/>
              <w:widowControl/>
              <w:suppressLineNumbers w:val="0"/>
              <w:jc w:val="center"/>
              <w:textAlignment w:val="center"/>
              <w:rPr>
                <w:rFonts w:hint="default" w:ascii="Times New Roman" w:hAnsi="Times New Roman" w:eastAsia="黑体" w:cs="Times New Roman"/>
                <w:b/>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2024年度寻甸县部门整体支出、重大项目支出、专债项目支出绩效再评价结果</w:t>
            </w:r>
          </w:p>
        </w:tc>
      </w:tr>
      <w:tr w14:paraId="473D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EC9BD">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序号</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1D5DE">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部门（单位）名称</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7209953">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u w:val="none"/>
              </w:rPr>
            </w:pPr>
            <w:r>
              <w:rPr>
                <w:rFonts w:hint="default" w:ascii="Times New Roman" w:hAnsi="Times New Roman" w:eastAsia="仿宋_GB2312" w:cs="Times New Roman"/>
                <w:i w:val="0"/>
                <w:color w:val="auto"/>
                <w:kern w:val="0"/>
                <w:sz w:val="20"/>
                <w:szCs w:val="20"/>
                <w:u w:val="none"/>
                <w:lang w:val="en-US" w:eastAsia="zh-CN" w:bidi="ar"/>
              </w:rPr>
              <w:t>再评价项目（类型）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00DAA">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u w:val="none"/>
              </w:rPr>
            </w:pPr>
            <w:r>
              <w:rPr>
                <w:rFonts w:hint="default" w:ascii="Times New Roman" w:hAnsi="Times New Roman" w:eastAsia="仿宋_GB2312" w:cs="Times New Roman"/>
                <w:i w:val="0"/>
                <w:color w:val="auto"/>
                <w:kern w:val="0"/>
                <w:sz w:val="20"/>
                <w:szCs w:val="20"/>
                <w:u w:val="none"/>
                <w:lang w:val="en-US" w:eastAsia="zh-CN" w:bidi="ar"/>
              </w:rPr>
              <w:t>最终评分</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B928E">
            <w:pPr>
              <w:keepNext w:val="0"/>
              <w:keepLines w:val="0"/>
              <w:widowControl/>
              <w:suppressLineNumbers w:val="0"/>
              <w:jc w:val="center"/>
              <w:textAlignment w:val="center"/>
              <w:rPr>
                <w:rFonts w:hint="default" w:ascii="Times New Roman" w:hAnsi="Times New Roman" w:eastAsia="仿宋_GB2312" w:cs="Times New Roman"/>
                <w:i w:val="0"/>
                <w:color w:val="auto"/>
                <w:sz w:val="20"/>
                <w:szCs w:val="20"/>
                <w:u w:val="none"/>
              </w:rPr>
            </w:pPr>
            <w:r>
              <w:rPr>
                <w:rFonts w:hint="default" w:ascii="Times New Roman" w:hAnsi="Times New Roman" w:eastAsia="仿宋_GB2312" w:cs="Times New Roman"/>
                <w:i w:val="0"/>
                <w:color w:val="auto"/>
                <w:kern w:val="0"/>
                <w:sz w:val="20"/>
                <w:szCs w:val="20"/>
                <w:u w:val="none"/>
                <w:lang w:val="en-US" w:eastAsia="zh-CN" w:bidi="ar"/>
              </w:rPr>
              <w:t>最终等次</w:t>
            </w: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58F93">
            <w:pPr>
              <w:jc w:val="center"/>
              <w:rPr>
                <w:rFonts w:hint="default" w:ascii="Times New Roman" w:hAnsi="Times New Roman" w:eastAsia="仿宋_GB2312" w:cs="Times New Roman"/>
                <w:i w:val="0"/>
                <w:color w:val="FF0000"/>
                <w:sz w:val="20"/>
                <w:szCs w:val="20"/>
                <w:u w:val="none"/>
              </w:rPr>
            </w:pPr>
          </w:p>
        </w:tc>
      </w:tr>
      <w:tr w14:paraId="4BDAD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7B7A1">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1</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866BF">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自治县功山镇人民政府</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48F543A">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B8CC2">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80.79</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41A8397C">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30F69">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部门总体</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支出</w:t>
            </w:r>
          </w:p>
        </w:tc>
      </w:tr>
      <w:tr w14:paraId="1246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DDC5C">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2</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D5A79">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自治县鸡街镇人民政府</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A122CB1">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527DD">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83.86</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014D31C4">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F18E0">
            <w:pPr>
              <w:spacing w:line="240" w:lineRule="auto"/>
              <w:jc w:val="center"/>
              <w:rPr>
                <w:rFonts w:hint="default" w:ascii="Times New Roman" w:hAnsi="Times New Roman" w:eastAsia="仿宋_GB2312" w:cs="Times New Roman"/>
                <w:i w:val="0"/>
                <w:color w:val="000000"/>
                <w:sz w:val="20"/>
                <w:szCs w:val="20"/>
                <w:u w:val="none"/>
              </w:rPr>
            </w:pPr>
          </w:p>
        </w:tc>
      </w:tr>
      <w:tr w14:paraId="05762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C41C3">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3</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8E9A0">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自治县应急管理局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C22535F">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w:t>
            </w:r>
            <w:bookmarkStart w:id="0" w:name="_GoBack"/>
            <w:bookmarkEnd w:id="0"/>
            <w:r>
              <w:rPr>
                <w:rFonts w:hint="default" w:ascii="Times New Roman" w:hAnsi="Times New Roman" w:eastAsia="仿宋_GB2312" w:cs="Times New Roman"/>
                <w:i w:val="0"/>
                <w:color w:val="000000"/>
                <w:kern w:val="0"/>
                <w:sz w:val="20"/>
                <w:szCs w:val="20"/>
                <w:u w:val="none"/>
                <w:lang w:val="en-US" w:eastAsia="zh-CN" w:bidi="ar"/>
              </w:rPr>
              <w:t>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B078A">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90.24</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5B9684DA">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优</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06FF4">
            <w:pPr>
              <w:spacing w:line="240" w:lineRule="auto"/>
              <w:jc w:val="center"/>
              <w:rPr>
                <w:rFonts w:hint="default" w:ascii="Times New Roman" w:hAnsi="Times New Roman" w:eastAsia="仿宋_GB2312" w:cs="Times New Roman"/>
                <w:i w:val="0"/>
                <w:color w:val="000000"/>
                <w:sz w:val="20"/>
                <w:szCs w:val="20"/>
                <w:u w:val="none"/>
              </w:rPr>
            </w:pPr>
          </w:p>
        </w:tc>
      </w:tr>
      <w:tr w14:paraId="4711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99F42">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4</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D0563">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自治县公安局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0E026FD">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8C642">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86.05</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20EAAB5A">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3B6F0">
            <w:pPr>
              <w:spacing w:line="240" w:lineRule="auto"/>
              <w:jc w:val="center"/>
              <w:rPr>
                <w:rFonts w:hint="default" w:ascii="Times New Roman" w:hAnsi="Times New Roman" w:eastAsia="仿宋_GB2312" w:cs="Times New Roman"/>
                <w:i w:val="0"/>
                <w:color w:val="000000"/>
                <w:sz w:val="20"/>
                <w:szCs w:val="20"/>
                <w:u w:val="none"/>
              </w:rPr>
            </w:pPr>
          </w:p>
        </w:tc>
      </w:tr>
      <w:tr w14:paraId="3147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64D28">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5</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069A2">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自治县卫生健康局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A2E16E">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0D5C6">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82.71</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02469B42">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8BE99">
            <w:pPr>
              <w:spacing w:line="240" w:lineRule="auto"/>
              <w:jc w:val="center"/>
              <w:rPr>
                <w:rFonts w:hint="default" w:ascii="Times New Roman" w:hAnsi="Times New Roman" w:eastAsia="仿宋_GB2312" w:cs="Times New Roman"/>
                <w:i w:val="0"/>
                <w:color w:val="000000"/>
                <w:sz w:val="20"/>
                <w:szCs w:val="20"/>
                <w:u w:val="none"/>
              </w:rPr>
            </w:pPr>
          </w:p>
        </w:tc>
      </w:tr>
      <w:tr w14:paraId="4355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6B6B3">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6</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D087C">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自治县农业农村局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E51690E">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230CD">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84.69</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7E6F66F0">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624FA">
            <w:pPr>
              <w:spacing w:line="240" w:lineRule="auto"/>
              <w:jc w:val="center"/>
              <w:rPr>
                <w:rFonts w:hint="default" w:ascii="Times New Roman" w:hAnsi="Times New Roman" w:eastAsia="仿宋_GB2312" w:cs="Times New Roman"/>
                <w:i w:val="0"/>
                <w:color w:val="000000"/>
                <w:sz w:val="20"/>
                <w:szCs w:val="20"/>
                <w:u w:val="none"/>
              </w:rPr>
            </w:pPr>
          </w:p>
        </w:tc>
      </w:tr>
      <w:tr w14:paraId="3DF3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3CF8E">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7</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6946C">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自治县教育体育局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05CC1C7">
            <w:pPr>
              <w:keepNext w:val="0"/>
              <w:keepLines w:val="0"/>
              <w:widowControl/>
              <w:suppressLineNumbers w:val="0"/>
              <w:spacing w:line="240" w:lineRule="auto"/>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部门整体支出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371D2">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86.82</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6959D562">
            <w:pPr>
              <w:widowControl/>
              <w:spacing w:before="0" w:beforeLines="0" w:after="0" w:afterLines="0" w:line="240" w:lineRule="auto"/>
              <w:ind w:firstLine="0" w:firstLineChars="0"/>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b w:val="0"/>
                <w:bCs w:val="0"/>
                <w:color w:val="auto"/>
                <w:kern w:val="0"/>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E4F35">
            <w:pPr>
              <w:spacing w:line="240" w:lineRule="auto"/>
              <w:jc w:val="center"/>
              <w:rPr>
                <w:rFonts w:hint="default" w:ascii="Times New Roman" w:hAnsi="Times New Roman" w:eastAsia="仿宋_GB2312" w:cs="Times New Roman"/>
                <w:i w:val="0"/>
                <w:color w:val="000000"/>
                <w:sz w:val="20"/>
                <w:szCs w:val="20"/>
                <w:u w:val="none"/>
              </w:rPr>
            </w:pPr>
          </w:p>
        </w:tc>
      </w:tr>
      <w:tr w14:paraId="5A520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C174A">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8</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A7D3E">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自治县综合行政执法局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56794F">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县城公共绿地养护工作经费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4B7FD">
            <w:pPr>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color w:val="auto"/>
                <w:sz w:val="21"/>
                <w:szCs w:val="21"/>
              </w:rPr>
              <w:t>85.92</w:t>
            </w:r>
          </w:p>
        </w:tc>
        <w:tc>
          <w:tcPr>
            <w:tcW w:w="841" w:type="dxa"/>
            <w:tcBorders>
              <w:top w:val="nil"/>
              <w:left w:val="nil"/>
              <w:bottom w:val="single" w:color="000000" w:sz="4" w:space="0"/>
              <w:right w:val="nil"/>
            </w:tcBorders>
            <w:shd w:val="clear" w:color="auto" w:fill="auto"/>
            <w:noWrap/>
            <w:tcMar>
              <w:top w:w="15" w:type="dxa"/>
              <w:left w:w="15" w:type="dxa"/>
              <w:right w:w="15" w:type="dxa"/>
            </w:tcMar>
            <w:vAlign w:val="center"/>
          </w:tcPr>
          <w:p w14:paraId="772487ED">
            <w:pPr>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color w:val="auto"/>
                <w:sz w:val="21"/>
                <w:szCs w:val="21"/>
              </w:rPr>
              <w:t>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AF71C">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重大项目</w:t>
            </w:r>
          </w:p>
        </w:tc>
      </w:tr>
      <w:tr w14:paraId="54B7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BCC7C">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9</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DBDA3">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自治县综合行政执法局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9CDE803">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市政设施维护经费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C4512">
            <w:pPr>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color w:val="auto"/>
                <w:sz w:val="21"/>
                <w:szCs w:val="21"/>
              </w:rPr>
              <w:t>87.63</w:t>
            </w:r>
          </w:p>
        </w:tc>
        <w:tc>
          <w:tcPr>
            <w:tcW w:w="841"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E1AE3B6">
            <w:pPr>
              <w:jc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color w:val="auto"/>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FBE1E">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p>
        </w:tc>
      </w:tr>
      <w:tr w14:paraId="0117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10E02">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lang w:val="en-US"/>
              </w:rPr>
            </w:pPr>
            <w:r>
              <w:rPr>
                <w:rFonts w:hint="default" w:ascii="Times New Roman" w:hAnsi="Times New Roman" w:eastAsia="仿宋_GB2312" w:cs="Times New Roman"/>
                <w:i w:val="0"/>
                <w:color w:val="000000"/>
                <w:kern w:val="0"/>
                <w:sz w:val="20"/>
                <w:szCs w:val="20"/>
                <w:u w:val="none"/>
                <w:lang w:val="en-US" w:eastAsia="zh-CN" w:bidi="ar"/>
              </w:rPr>
              <w:t>10</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EA409">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w:t>
            </w:r>
            <w:r>
              <w:rPr>
                <w:rFonts w:hint="eastAsia" w:eastAsia="仿宋_GB2312" w:cs="Times New Roman"/>
                <w:i w:val="0"/>
                <w:iCs w:val="0"/>
                <w:color w:val="000000"/>
                <w:kern w:val="0"/>
                <w:sz w:val="20"/>
                <w:szCs w:val="20"/>
                <w:u w:val="none"/>
                <w:lang w:val="en-US" w:eastAsia="zh-CN" w:bidi="ar"/>
              </w:rPr>
              <w:t>彝族</w:t>
            </w:r>
            <w:r>
              <w:rPr>
                <w:rFonts w:hint="default" w:ascii="Times New Roman" w:hAnsi="Times New Roman" w:eastAsia="仿宋_GB2312" w:cs="Times New Roman"/>
                <w:i w:val="0"/>
                <w:iCs w:val="0"/>
                <w:color w:val="000000"/>
                <w:kern w:val="0"/>
                <w:sz w:val="20"/>
                <w:szCs w:val="20"/>
                <w:u w:val="none"/>
                <w:lang w:val="en-US" w:eastAsia="zh-CN" w:bidi="ar"/>
              </w:rPr>
              <w:t>自治县综合行政执法局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C2A1134">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清扫保洁经费</w:t>
            </w:r>
          </w:p>
        </w:tc>
        <w:tc>
          <w:tcPr>
            <w:tcW w:w="97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3A8E076">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90.06</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B24C4">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优</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6B38F">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p>
        </w:tc>
      </w:tr>
      <w:tr w14:paraId="55B3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22DE5">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lang w:val="en-US"/>
              </w:rPr>
            </w:pPr>
            <w:r>
              <w:rPr>
                <w:rFonts w:hint="default" w:ascii="Times New Roman" w:hAnsi="Times New Roman" w:eastAsia="仿宋_GB2312" w:cs="Times New Roman"/>
                <w:i w:val="0"/>
                <w:color w:val="000000"/>
                <w:kern w:val="0"/>
                <w:sz w:val="20"/>
                <w:szCs w:val="20"/>
                <w:u w:val="none"/>
                <w:lang w:val="en-US" w:eastAsia="zh-CN" w:bidi="ar"/>
              </w:rPr>
              <w:t>11</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3658F">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寻甸回族彝族自治县民政局</w:t>
            </w:r>
          </w:p>
        </w:tc>
        <w:tc>
          <w:tcPr>
            <w:tcW w:w="276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F6C9ADB">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遗体火化补助专项资金</w:t>
            </w:r>
          </w:p>
        </w:tc>
        <w:tc>
          <w:tcPr>
            <w:tcW w:w="97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97A3B81">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76.97</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8B8BC">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中</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62479">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p>
        </w:tc>
      </w:tr>
      <w:tr w14:paraId="448D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E23B7">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12</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70187">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寻甸回族彝族自治县林业和草原局</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C3A17">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寻财预〔2024〕1号2023年异地造林补助资金</w:t>
            </w:r>
          </w:p>
        </w:tc>
        <w:tc>
          <w:tcPr>
            <w:tcW w:w="97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D0F154A">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84.52</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059F6">
            <w:pPr>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color w:val="auto"/>
                <w:sz w:val="21"/>
                <w:szCs w:val="21"/>
              </w:rPr>
              <w:t>良</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8EA75">
            <w:pPr>
              <w:spacing w:line="240" w:lineRule="auto"/>
              <w:jc w:val="center"/>
              <w:rPr>
                <w:rFonts w:hint="default" w:ascii="Times New Roman" w:hAnsi="Times New Roman" w:eastAsia="仿宋_GB2312" w:cs="Times New Roman"/>
                <w:i w:val="0"/>
                <w:color w:val="000000"/>
                <w:sz w:val="20"/>
                <w:szCs w:val="20"/>
                <w:u w:val="none"/>
              </w:rPr>
            </w:pPr>
          </w:p>
        </w:tc>
      </w:tr>
      <w:tr w14:paraId="5F488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92590">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13</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30A67">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寻甸回族彝族自治县农业农村局</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F7D6">
            <w:pPr>
              <w:keepNext w:val="0"/>
              <w:keepLines w:val="0"/>
              <w:widowControl/>
              <w:suppressLineNumbers w:val="0"/>
              <w:jc w:val="left"/>
              <w:textAlignment w:val="center"/>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农村产权交易中心信息平台建设专项资金</w:t>
            </w:r>
          </w:p>
        </w:tc>
        <w:tc>
          <w:tcPr>
            <w:tcW w:w="97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EB0DAB7">
            <w:pPr>
              <w:widowControl/>
              <w:spacing w:before="0" w:beforeLines="0" w:after="0" w:afterLines="0" w:line="240" w:lineRule="auto"/>
              <w:ind w:firstLine="0" w:firstLineChars="0"/>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b w:val="0"/>
                <w:bCs w:val="0"/>
                <w:color w:val="auto"/>
                <w:kern w:val="0"/>
                <w:sz w:val="21"/>
                <w:szCs w:val="21"/>
                <w:lang w:val="en-US" w:eastAsia="zh-CN"/>
              </w:rPr>
              <w:t>77.48</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80EF4">
            <w:pPr>
              <w:widowControl/>
              <w:spacing w:before="0" w:beforeLines="0" w:after="0" w:afterLines="0" w:line="240" w:lineRule="auto"/>
              <w:ind w:firstLine="0" w:firstLineChars="0"/>
              <w:jc w:val="center"/>
              <w:rPr>
                <w:rFonts w:hint="default" w:ascii="Times New Roman" w:hAnsi="Times New Roman" w:eastAsia="仿宋_GB2312" w:cs="Times New Roman"/>
                <w:b w:val="0"/>
                <w:bCs w:val="0"/>
                <w:i w:val="0"/>
                <w:color w:val="000000"/>
                <w:sz w:val="21"/>
                <w:szCs w:val="21"/>
                <w:u w:val="none"/>
              </w:rPr>
            </w:pPr>
            <w:r>
              <w:rPr>
                <w:rFonts w:hint="default" w:ascii="Times New Roman" w:hAnsi="Times New Roman" w:eastAsia="仿宋_GB2312" w:cs="Times New Roman"/>
                <w:b w:val="0"/>
                <w:bCs w:val="0"/>
                <w:color w:val="auto"/>
                <w:kern w:val="0"/>
                <w:sz w:val="21"/>
                <w:szCs w:val="21"/>
                <w:lang w:val="en-US" w:eastAsia="zh-CN"/>
              </w:rPr>
              <w:t>中</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19374">
            <w:pPr>
              <w:spacing w:line="240" w:lineRule="auto"/>
              <w:jc w:val="center"/>
              <w:rPr>
                <w:rFonts w:hint="default" w:ascii="Times New Roman" w:hAnsi="Times New Roman" w:eastAsia="仿宋_GB2312" w:cs="Times New Roman"/>
                <w:i w:val="0"/>
                <w:color w:val="000000"/>
                <w:sz w:val="20"/>
                <w:szCs w:val="20"/>
                <w:u w:val="none"/>
              </w:rPr>
            </w:pPr>
          </w:p>
        </w:tc>
      </w:tr>
      <w:tr w14:paraId="395A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2143A">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lang w:val="en-US"/>
              </w:rPr>
            </w:pPr>
            <w:r>
              <w:rPr>
                <w:rFonts w:hint="default" w:ascii="Times New Roman" w:hAnsi="Times New Roman" w:eastAsia="仿宋_GB2312" w:cs="Times New Roman"/>
                <w:i w:val="0"/>
                <w:color w:val="000000"/>
                <w:kern w:val="0"/>
                <w:sz w:val="20"/>
                <w:szCs w:val="20"/>
                <w:u w:val="none"/>
                <w:lang w:val="en-US" w:eastAsia="zh-CN" w:bidi="ar"/>
              </w:rPr>
              <w:t>14</w:t>
            </w:r>
          </w:p>
        </w:tc>
        <w:tc>
          <w:tcPr>
            <w:tcW w:w="2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6CBD5">
            <w:pPr>
              <w:keepNext w:val="0"/>
              <w:keepLines w:val="0"/>
              <w:widowControl/>
              <w:suppressLineNumbers w:val="0"/>
              <w:spacing w:line="240" w:lineRule="auto"/>
              <w:jc w:val="both"/>
              <w:textAlignment w:val="bottom"/>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寻甸县水务局</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C4643">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0"/>
                <w:szCs w:val="20"/>
                <w:u w:val="none"/>
                <w:lang w:val="en-US" w:eastAsia="zh-CN" w:bidi="ar-SA"/>
              </w:rPr>
            </w:pPr>
            <w:r>
              <w:rPr>
                <w:rFonts w:hint="default" w:ascii="Times New Roman" w:hAnsi="Times New Roman" w:eastAsia="仿宋_GB2312" w:cs="Times New Roman"/>
                <w:i w:val="0"/>
                <w:iCs w:val="0"/>
                <w:color w:val="000000"/>
                <w:kern w:val="0"/>
                <w:sz w:val="20"/>
                <w:szCs w:val="20"/>
                <w:u w:val="none"/>
                <w:lang w:val="en-US" w:eastAsia="zh-CN" w:bidi="ar"/>
              </w:rPr>
              <w:t>寻甸县龙泉水库工程</w:t>
            </w:r>
          </w:p>
        </w:tc>
        <w:tc>
          <w:tcPr>
            <w:tcW w:w="97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8951AF4">
            <w:pPr>
              <w:keepNext w:val="0"/>
              <w:keepLines w:val="0"/>
              <w:widowControl/>
              <w:suppressLineNumbers w:val="0"/>
              <w:jc w:val="center"/>
              <w:textAlignment w:val="bottom"/>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auto"/>
                <w:kern w:val="0"/>
                <w:sz w:val="21"/>
                <w:szCs w:val="21"/>
                <w:u w:val="none"/>
                <w:lang w:val="en-US" w:eastAsia="zh-CN" w:bidi="ar"/>
              </w:rPr>
              <w:t>76.33</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4393A">
            <w:pPr>
              <w:keepNext w:val="0"/>
              <w:keepLines w:val="0"/>
              <w:widowControl/>
              <w:suppressLineNumbers w:val="0"/>
              <w:jc w:val="center"/>
              <w:textAlignment w:val="bottom"/>
              <w:rPr>
                <w:rFonts w:hint="default" w:ascii="Times New Roman" w:hAnsi="Times New Roman" w:eastAsia="仿宋_GB2312" w:cs="Times New Roman"/>
                <w:b w:val="0"/>
                <w:bCs w:val="0"/>
                <w:i w:val="0"/>
                <w:color w:val="000000"/>
                <w:sz w:val="20"/>
                <w:szCs w:val="20"/>
                <w:u w:val="none"/>
              </w:rPr>
            </w:pPr>
            <w:r>
              <w:rPr>
                <w:rFonts w:hint="default" w:ascii="Times New Roman" w:hAnsi="Times New Roman" w:eastAsia="仿宋_GB2312" w:cs="Times New Roman"/>
                <w:i w:val="0"/>
                <w:iCs w:val="0"/>
                <w:color w:val="auto"/>
                <w:kern w:val="0"/>
                <w:sz w:val="21"/>
                <w:szCs w:val="21"/>
                <w:u w:val="none"/>
                <w:lang w:val="en-US" w:eastAsia="zh-CN" w:bidi="ar"/>
              </w:rPr>
              <w:t>中</w:t>
            </w:r>
          </w:p>
        </w:tc>
        <w:tc>
          <w:tcPr>
            <w:tcW w:w="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8FD18">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专债项目</w:t>
            </w:r>
          </w:p>
        </w:tc>
      </w:tr>
    </w:tbl>
    <w:p w14:paraId="49D0D5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70" w:lineRule="exact"/>
        <w:ind w:right="0" w:firstLine="420" w:firstLineChars="200"/>
        <w:jc w:val="both"/>
        <w:textAlignment w:val="auto"/>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z w:val="21"/>
          <w:szCs w:val="21"/>
          <w14:textFill>
            <w14:solidFill>
              <w14:schemeClr w14:val="tx1"/>
            </w14:solidFill>
          </w14:textFill>
        </w:rPr>
        <w:t>注：评价结果根据最终得分情况将评价结果分为四个等级：优（得分≥90分）；良（80分≤得分＜90分）；中（60≤得分＜80分）；差（得分＜60分）。</w:t>
      </w:r>
    </w:p>
    <w:p w14:paraId="03BC90F8">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总的来说，此次绩效再评价反映出来我县</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部分</w:t>
      </w:r>
      <w:r>
        <w:rPr>
          <w:rFonts w:hint="default" w:ascii="仿宋_GB2312" w:hAnsi="仿宋_GB2312" w:eastAsia="仿宋_GB2312" w:cs="仿宋_GB2312"/>
          <w:color w:val="000000" w:themeColor="text1"/>
          <w:sz w:val="32"/>
          <w:szCs w:val="32"/>
          <w:lang w:eastAsia="zh-CN"/>
          <w14:textFill>
            <w14:solidFill>
              <w14:schemeClr w14:val="tx1"/>
            </w14:solidFill>
          </w14:textFill>
        </w:rPr>
        <w:t>预算单位对预算绩效管理工作重要性认识</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还</w:t>
      </w:r>
      <w:r>
        <w:rPr>
          <w:rFonts w:hint="default" w:ascii="仿宋_GB2312" w:hAnsi="仿宋_GB2312" w:eastAsia="仿宋_GB2312" w:cs="仿宋_GB2312"/>
          <w:color w:val="000000" w:themeColor="text1"/>
          <w:sz w:val="32"/>
          <w:szCs w:val="32"/>
          <w:lang w:eastAsia="zh-CN"/>
          <w14:textFill>
            <w14:solidFill>
              <w14:schemeClr w14:val="tx1"/>
            </w14:solidFill>
          </w14:textFill>
        </w:rPr>
        <w:t>不足，责任主体意识不强。未完全</w:t>
      </w:r>
      <w:r>
        <w:rPr>
          <w:rFonts w:hint="default" w:ascii="仿宋_GB2312" w:hAnsi="仿宋_GB2312" w:eastAsia="仿宋_GB2312" w:cs="仿宋_GB2312"/>
          <w:color w:val="000000" w:themeColor="text1"/>
          <w:sz w:val="32"/>
          <w:szCs w:val="32"/>
          <w14:textFill>
            <w14:solidFill>
              <w14:schemeClr w14:val="tx1"/>
            </w14:solidFill>
          </w14:textFill>
        </w:rPr>
        <w:t>贯彻执行“预算编制有目标、预算执行有监控、预算完成有评价、评价结果有反馈、反馈结果有应用”的预算绩效管理机制</w:t>
      </w:r>
      <w:r>
        <w:rPr>
          <w:rFonts w:hint="default" w:ascii="仿宋_GB2312" w:hAnsi="仿宋_GB2312" w:eastAsia="仿宋_GB2312" w:cs="仿宋_GB2312"/>
          <w:color w:val="000000" w:themeColor="text1"/>
          <w:sz w:val="32"/>
          <w:szCs w:val="32"/>
          <w:lang w:eastAsia="zh-CN"/>
          <w14:textFill>
            <w14:solidFill>
              <w14:schemeClr w14:val="tx1"/>
            </w14:solidFill>
          </w14:textFill>
        </w:rPr>
        <w:t>；未完全</w:t>
      </w:r>
      <w:r>
        <w:rPr>
          <w:rFonts w:hint="default" w:ascii="仿宋_GB2312" w:hAnsi="仿宋_GB2312" w:eastAsia="仿宋_GB2312" w:cs="仿宋_GB2312"/>
          <w:color w:val="000000" w:themeColor="text1"/>
          <w:sz w:val="32"/>
          <w:szCs w:val="32"/>
          <w14:textFill>
            <w14:solidFill>
              <w14:schemeClr w14:val="tx1"/>
            </w14:solidFill>
          </w14:textFill>
        </w:rPr>
        <w:t>贯彻执行“谁申报预算谁设定</w:t>
      </w:r>
      <w:r>
        <w:rPr>
          <w:rFonts w:hint="default" w:ascii="仿宋_GB2312" w:hAnsi="仿宋_GB2312" w:eastAsia="仿宋_GB2312" w:cs="仿宋_GB2312"/>
          <w:color w:val="000000" w:themeColor="text1"/>
          <w:sz w:val="32"/>
          <w:szCs w:val="32"/>
          <w:lang w:eastAsia="zh-CN"/>
          <w14:textFill>
            <w14:solidFill>
              <w14:schemeClr w14:val="tx1"/>
            </w14:solidFill>
          </w14:textFill>
        </w:rPr>
        <w:t>目标</w:t>
      </w:r>
      <w:r>
        <w:rPr>
          <w:rFonts w:hint="default"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“谁用钱谁负责</w:t>
      </w:r>
      <w:r>
        <w:rPr>
          <w:rFonts w:hint="default" w:ascii="仿宋_GB2312" w:hAnsi="仿宋_GB2312" w:eastAsia="仿宋_GB2312" w:cs="仿宋_GB2312"/>
          <w:color w:val="000000" w:themeColor="text1"/>
          <w:sz w:val="32"/>
          <w:szCs w:val="32"/>
          <w:lang w:eastAsia="zh-CN"/>
          <w14:textFill>
            <w14:solidFill>
              <w14:schemeClr w14:val="tx1"/>
            </w14:solidFill>
          </w14:textFill>
        </w:rPr>
        <w:t>”、“花</w:t>
      </w:r>
      <w:r>
        <w:rPr>
          <w:rFonts w:hint="default" w:ascii="仿宋_GB2312" w:hAnsi="仿宋_GB2312" w:eastAsia="仿宋_GB2312" w:cs="仿宋_GB2312"/>
          <w:color w:val="000000" w:themeColor="text1"/>
          <w:sz w:val="32"/>
          <w:szCs w:val="32"/>
          <w14:textFill>
            <w14:solidFill>
              <w14:schemeClr w14:val="tx1"/>
            </w14:solidFill>
          </w14:textFill>
        </w:rPr>
        <w:t>钱必问效，无效</w:t>
      </w:r>
      <w:r>
        <w:rPr>
          <w:rFonts w:hint="default" w:ascii="仿宋_GB2312" w:hAnsi="仿宋_GB2312" w:eastAsia="仿宋_GB2312" w:cs="仿宋_GB2312"/>
          <w:color w:val="000000" w:themeColor="text1"/>
          <w:sz w:val="32"/>
          <w:szCs w:val="32"/>
          <w:lang w:eastAsia="zh-CN"/>
          <w14:textFill>
            <w14:solidFill>
              <w14:schemeClr w14:val="tx1"/>
            </w14:solidFill>
          </w14:textFill>
        </w:rPr>
        <w:t>必</w:t>
      </w:r>
      <w:r>
        <w:rPr>
          <w:rFonts w:hint="default" w:ascii="仿宋_GB2312" w:hAnsi="仿宋_GB2312" w:eastAsia="仿宋_GB2312" w:cs="仿宋_GB2312"/>
          <w:color w:val="000000" w:themeColor="text1"/>
          <w:sz w:val="32"/>
          <w:szCs w:val="32"/>
          <w14:textFill>
            <w14:solidFill>
              <w14:schemeClr w14:val="tx1"/>
            </w14:solidFill>
          </w14:textFill>
        </w:rPr>
        <w:t>问责”等预算绩效管理</w:t>
      </w:r>
      <w:r>
        <w:rPr>
          <w:rFonts w:hint="default" w:ascii="仿宋_GB2312" w:hAnsi="仿宋_GB2312" w:eastAsia="仿宋_GB2312" w:cs="仿宋_GB2312"/>
          <w:color w:val="000000" w:themeColor="text1"/>
          <w:sz w:val="32"/>
          <w:szCs w:val="32"/>
          <w:lang w:eastAsia="zh-CN"/>
          <w14:textFill>
            <w14:solidFill>
              <w14:schemeClr w14:val="tx1"/>
            </w14:solidFill>
          </w14:textFill>
        </w:rPr>
        <w:t>基本</w:t>
      </w:r>
      <w:r>
        <w:rPr>
          <w:rFonts w:hint="default" w:ascii="仿宋_GB2312" w:hAnsi="仿宋_GB2312" w:eastAsia="仿宋_GB2312" w:cs="仿宋_GB2312"/>
          <w:color w:val="000000" w:themeColor="text1"/>
          <w:sz w:val="32"/>
          <w:szCs w:val="32"/>
          <w14:textFill>
            <w14:solidFill>
              <w14:schemeClr w14:val="tx1"/>
            </w14:solidFill>
          </w14:textFill>
        </w:rPr>
        <w:t>原则</w:t>
      </w:r>
      <w:r>
        <w:rPr>
          <w:rFonts w:hint="default" w:ascii="仿宋_GB2312" w:hAnsi="仿宋_GB2312" w:eastAsia="仿宋_GB2312" w:cs="仿宋_GB2312"/>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履职方面还不健全、不到位</w:t>
      </w:r>
      <w:r>
        <w:rPr>
          <w:rFonts w:hint="default" w:ascii="仿宋_GB2312" w:hAnsi="仿宋_GB2312" w:eastAsia="仿宋_GB2312" w:cs="仿宋_GB2312"/>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少数</w:t>
      </w:r>
      <w:r>
        <w:rPr>
          <w:rFonts w:hint="default" w:ascii="仿宋_GB2312" w:hAnsi="仿宋_GB2312" w:eastAsia="仿宋_GB2312" w:cs="仿宋_GB2312"/>
          <w:color w:val="000000" w:themeColor="text1"/>
          <w:sz w:val="32"/>
          <w:szCs w:val="32"/>
          <w:lang w:eastAsia="zh-CN"/>
          <w14:textFill>
            <w14:solidFill>
              <w14:schemeClr w14:val="tx1"/>
            </w14:solidFill>
          </w14:textFill>
        </w:rPr>
        <w:t>单位绩效目标申报未能在共性目标基础上有效结合各自职责职能进一步细化拓展，或者目标合理性、可操作性不强。</w:t>
      </w:r>
    </w:p>
    <w:p w14:paraId="5D25D23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lang w:eastAsia="zh-CN"/>
          <w14:textFill>
            <w14:solidFill>
              <w14:schemeClr w14:val="tx1"/>
            </w14:solidFill>
          </w14:textFill>
        </w:rPr>
        <w:t>二</w:t>
      </w:r>
      <w:r>
        <w:rPr>
          <w:rFonts w:hint="default" w:ascii="Times New Roman" w:hAnsi="Times New Roman" w:eastAsia="黑体" w:cs="Times New Roman"/>
          <w:b w:val="0"/>
          <w:bCs/>
          <w:color w:val="000000" w:themeColor="text1"/>
          <w:sz w:val="32"/>
          <w:szCs w:val="32"/>
          <w14:textFill>
            <w14:solidFill>
              <w14:schemeClr w14:val="tx1"/>
            </w14:solidFill>
          </w14:textFill>
        </w:rPr>
        <w:t>、预算绩效管理信息公开情况</w:t>
      </w:r>
    </w:p>
    <w:p w14:paraId="5A02B093">
      <w:pPr>
        <w:pStyle w:val="6"/>
        <w:keepNext w:val="0"/>
        <w:keepLines w:val="0"/>
        <w:pageBreakBefore w:val="0"/>
        <w:kinsoku/>
        <w:wordWrap/>
        <w:overflowPunct/>
        <w:topLinePunct w:val="0"/>
        <w:autoSpaceDE/>
        <w:autoSpaceDN/>
        <w:bidi w:val="0"/>
        <w:spacing w:before="0" w:line="620" w:lineRule="exact"/>
        <w:ind w:left="0" w:leftChars="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按照预算信息公开的相关规定，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w:t>
      </w:r>
      <w:r>
        <w:rPr>
          <w:rFonts w:hint="eastAsia" w:ascii="仿宋_GB2312" w:hAnsi="仿宋_GB2312" w:eastAsia="仿宋_GB2312" w:cs="仿宋_GB2312"/>
          <w:color w:val="000000" w:themeColor="text1"/>
          <w:sz w:val="32"/>
          <w:szCs w:val="32"/>
          <w14:textFill>
            <w14:solidFill>
              <w14:schemeClr w14:val="tx1"/>
            </w14:solidFill>
          </w14:textFill>
        </w:rPr>
        <w:t>在寻甸县人民政府网站政务公开栏做好预算绩效管理信息公开工作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寻甸县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14:textFill>
            <w14:solidFill>
              <w14:schemeClr w14:val="tx1"/>
            </w14:solidFill>
          </w14:textFill>
        </w:rPr>
        <w:t>年度部门整体支出绩效自评结果公开7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个，</w:t>
      </w:r>
      <w:r>
        <w:rPr>
          <w:rFonts w:hint="eastAsia" w:ascii="仿宋_GB2312" w:hAnsi="仿宋_GB2312" w:eastAsia="仿宋_GB2312" w:cs="仿宋_GB2312"/>
          <w:color w:val="000000" w:themeColor="text1"/>
          <w:sz w:val="32"/>
          <w:szCs w:val="32"/>
          <w:lang w:eastAsia="zh-CN"/>
          <w14:textFill>
            <w14:solidFill>
              <w14:schemeClr w14:val="tx1"/>
            </w14:solidFill>
          </w14:textFill>
        </w:rPr>
        <w:t>重点项目支出绩效自评结果公开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21个，</w:t>
      </w:r>
      <w:r>
        <w:rPr>
          <w:rFonts w:hint="eastAsia" w:ascii="仿宋_GB2312" w:hAnsi="仿宋_GB2312" w:eastAsia="仿宋_GB2312" w:cs="仿宋_GB2312"/>
          <w:color w:val="000000" w:themeColor="text1"/>
          <w:sz w:val="32"/>
          <w:szCs w:val="32"/>
          <w14:textFill>
            <w14:solidFill>
              <w14:schemeClr w14:val="tx1"/>
            </w14:solidFill>
          </w14:textFill>
        </w:rPr>
        <w:t>绩效再评价结果公开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个。部门整体支出及项目支出绩效自评结果、再评价结果公开率均达到100%。</w:t>
      </w:r>
    </w:p>
    <w:p w14:paraId="155189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auto"/>
          <w:sz w:val="32"/>
          <w:szCs w:val="32"/>
          <w:highlight w:val="none"/>
          <w:lang w:val="en-US" w:eastAsia="zh-CN"/>
        </w:rPr>
        <w:t>按照政务公开的相关规定，“</w:t>
      </w:r>
      <w:r>
        <w:rPr>
          <w:rFonts w:hint="eastAsia" w:ascii="仿宋_GB2312" w:hAnsi="仿宋_GB2312" w:eastAsia="仿宋_GB2312" w:cs="仿宋_GB2312"/>
          <w:b w:val="0"/>
          <w:bCs/>
          <w:i w:val="0"/>
          <w:iCs w:val="0"/>
          <w:caps w:val="0"/>
          <w:color w:val="auto"/>
          <w:spacing w:val="0"/>
          <w:sz w:val="32"/>
          <w:szCs w:val="32"/>
          <w:shd w:val="clear" w:fill="FFFFFF"/>
        </w:rPr>
        <w:t>寻甸县2024年度部门整体支出和重大项目支出、专项债券项目支出绩效再评价结果</w:t>
      </w:r>
      <w:r>
        <w:rPr>
          <w:rFonts w:hint="eastAsia" w:ascii="仿宋_GB2312" w:hAnsi="仿宋_GB2312" w:eastAsia="仿宋_GB2312" w:cs="仿宋_GB2312"/>
          <w:b w:val="0"/>
          <w:bCs/>
          <w:i w:val="0"/>
          <w:iCs w:val="0"/>
          <w:caps w:val="0"/>
          <w:color w:val="auto"/>
          <w:spacing w:val="0"/>
          <w:sz w:val="32"/>
          <w:szCs w:val="32"/>
          <w:shd w:val="clear" w:fill="FFFFFF"/>
          <w:lang w:eastAsia="zh-CN"/>
        </w:rPr>
        <w:t>公开</w:t>
      </w:r>
      <w:r>
        <w:rPr>
          <w:rFonts w:hint="eastAsia" w:ascii="仿宋_GB2312" w:hAnsi="仿宋_GB2312" w:eastAsia="仿宋_GB2312" w:cs="仿宋_GB2312"/>
          <w:color w:val="auto"/>
          <w:sz w:val="32"/>
          <w:szCs w:val="32"/>
          <w:highlight w:val="none"/>
          <w:lang w:val="en-US" w:eastAsia="zh-CN"/>
        </w:rPr>
        <w:t>”已于2025年11月14日通过“寻甸县人民政府”网站</w:t>
      </w:r>
      <w:r>
        <w:rPr>
          <w:rFonts w:hint="default" w:ascii="Times New Roman" w:hAnsi="Times New Roman" w:eastAsia="仿宋_GB2312" w:cs="Times New Roman"/>
          <w:color w:val="auto"/>
          <w:sz w:val="32"/>
          <w:szCs w:val="32"/>
          <w:highlight w:val="none"/>
          <w:lang w:val="en-US" w:eastAsia="zh-CN"/>
        </w:rPr>
        <w:t>（http://www.kmxd.gov.cn/c/2025-11-14/7076217.shtml，</w:t>
      </w:r>
      <w:r>
        <w:rPr>
          <w:rFonts w:hint="default" w:ascii="Times New Roman" w:hAnsi="Times New Roman" w:eastAsia="仿宋_GB2312" w:cs="Times New Roman"/>
          <w:color w:val="auto"/>
          <w:sz w:val="32"/>
          <w:szCs w:val="32"/>
          <w:lang w:eastAsia="zh-CN"/>
        </w:rPr>
        <w:t>索引号为：</w:t>
      </w:r>
      <w:r>
        <w:rPr>
          <w:rFonts w:hint="default" w:ascii="Times New Roman" w:hAnsi="Times New Roman" w:eastAsia="仿宋_GB2312" w:cs="Times New Roman"/>
          <w:i w:val="0"/>
          <w:iCs w:val="0"/>
          <w:caps w:val="0"/>
          <w:color w:val="auto"/>
          <w:spacing w:val="0"/>
          <w:sz w:val="32"/>
          <w:szCs w:val="32"/>
          <w:shd w:val="clear" w:fill="FFFFFF"/>
        </w:rPr>
        <w:t>015155419-202511-103832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val="en-US" w:eastAsia="zh-CN"/>
        </w:rPr>
        <w:t>）向社会公开，接受社会监督。</w:t>
      </w:r>
    </w:p>
    <w:sectPr>
      <w:footerReference r:id="rId3" w:type="default"/>
      <w:pgSz w:w="11906" w:h="16838"/>
      <w:pgMar w:top="1327" w:right="1361" w:bottom="1327" w:left="146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553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669FC">
                          <w:pPr>
                            <w:pStyle w:val="8"/>
                            <w:rPr>
                              <w:rFonts w:hint="eastAsia" w:eastAsia="宋体"/>
                              <w:lang w:eastAsia="zh-CN"/>
                            </w:rPr>
                          </w:pPr>
                          <w:r>
                            <w:rPr>
                              <w:rFonts w:hint="eastAsia"/>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3669FC">
                    <w:pPr>
                      <w:pStyle w:val="8"/>
                      <w:rPr>
                        <w:rFonts w:hint="eastAsia" w:eastAsia="宋体"/>
                        <w:lang w:eastAsia="zh-CN"/>
                      </w:rPr>
                    </w:pPr>
                    <w:r>
                      <w:rPr>
                        <w:rFonts w:hint="eastAsia"/>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ZTA5OGIyZDFiYmVjNDc0YWQwYmIwMmVjNmMwNTUifQ=="/>
  </w:docVars>
  <w:rsids>
    <w:rsidRoot w:val="71404449"/>
    <w:rsid w:val="00732078"/>
    <w:rsid w:val="007723B5"/>
    <w:rsid w:val="00A1616C"/>
    <w:rsid w:val="01223736"/>
    <w:rsid w:val="014063FE"/>
    <w:rsid w:val="01BA61C3"/>
    <w:rsid w:val="01BB0D73"/>
    <w:rsid w:val="02535CBD"/>
    <w:rsid w:val="02B46B7B"/>
    <w:rsid w:val="02B96D94"/>
    <w:rsid w:val="02E6168A"/>
    <w:rsid w:val="02F1547F"/>
    <w:rsid w:val="03222DD0"/>
    <w:rsid w:val="034975E5"/>
    <w:rsid w:val="037D4C25"/>
    <w:rsid w:val="038A111C"/>
    <w:rsid w:val="039902C3"/>
    <w:rsid w:val="03B974A9"/>
    <w:rsid w:val="04523F20"/>
    <w:rsid w:val="046248DD"/>
    <w:rsid w:val="04E63579"/>
    <w:rsid w:val="053F34D0"/>
    <w:rsid w:val="05720615"/>
    <w:rsid w:val="05943B02"/>
    <w:rsid w:val="05D00AC8"/>
    <w:rsid w:val="05EF3D60"/>
    <w:rsid w:val="05F51EF7"/>
    <w:rsid w:val="0600615C"/>
    <w:rsid w:val="061C2D16"/>
    <w:rsid w:val="064D44D5"/>
    <w:rsid w:val="06514C09"/>
    <w:rsid w:val="06CE5B7A"/>
    <w:rsid w:val="06E84568"/>
    <w:rsid w:val="06F04422"/>
    <w:rsid w:val="06F52588"/>
    <w:rsid w:val="070B4DB8"/>
    <w:rsid w:val="07862403"/>
    <w:rsid w:val="07AF3996"/>
    <w:rsid w:val="081A494C"/>
    <w:rsid w:val="081D2FF5"/>
    <w:rsid w:val="08260BC6"/>
    <w:rsid w:val="083F4CD5"/>
    <w:rsid w:val="086A1FB2"/>
    <w:rsid w:val="086A248B"/>
    <w:rsid w:val="087D12F9"/>
    <w:rsid w:val="087F58A3"/>
    <w:rsid w:val="088940F7"/>
    <w:rsid w:val="092D0284"/>
    <w:rsid w:val="09A002B8"/>
    <w:rsid w:val="0A0F2E11"/>
    <w:rsid w:val="0A7F0E46"/>
    <w:rsid w:val="0AAC0660"/>
    <w:rsid w:val="0ACE22A8"/>
    <w:rsid w:val="0ADA341F"/>
    <w:rsid w:val="0AF7560D"/>
    <w:rsid w:val="0B09665F"/>
    <w:rsid w:val="0B0C0DA7"/>
    <w:rsid w:val="0B3D32D2"/>
    <w:rsid w:val="0B4B2EF9"/>
    <w:rsid w:val="0B8927B9"/>
    <w:rsid w:val="0B9100C8"/>
    <w:rsid w:val="0BF30924"/>
    <w:rsid w:val="0CC46D49"/>
    <w:rsid w:val="0CEA6F07"/>
    <w:rsid w:val="0D4960F9"/>
    <w:rsid w:val="0D690A8B"/>
    <w:rsid w:val="0D750EA4"/>
    <w:rsid w:val="0D7F7E16"/>
    <w:rsid w:val="0DE620DB"/>
    <w:rsid w:val="0EA854F2"/>
    <w:rsid w:val="0EA93835"/>
    <w:rsid w:val="0F135152"/>
    <w:rsid w:val="0F23681D"/>
    <w:rsid w:val="0F276507"/>
    <w:rsid w:val="0F637262"/>
    <w:rsid w:val="0FA35A55"/>
    <w:rsid w:val="0FED2775"/>
    <w:rsid w:val="0FF159E8"/>
    <w:rsid w:val="0FF54858"/>
    <w:rsid w:val="1015085B"/>
    <w:rsid w:val="10240C99"/>
    <w:rsid w:val="102B4358"/>
    <w:rsid w:val="10A67B90"/>
    <w:rsid w:val="10C01C7C"/>
    <w:rsid w:val="10CC380A"/>
    <w:rsid w:val="11257D56"/>
    <w:rsid w:val="115343D5"/>
    <w:rsid w:val="1159016B"/>
    <w:rsid w:val="11E9219A"/>
    <w:rsid w:val="120569EE"/>
    <w:rsid w:val="120668A8"/>
    <w:rsid w:val="122F2086"/>
    <w:rsid w:val="123F4D19"/>
    <w:rsid w:val="12877022"/>
    <w:rsid w:val="12990BBE"/>
    <w:rsid w:val="12993B92"/>
    <w:rsid w:val="12FD5C4B"/>
    <w:rsid w:val="132A696C"/>
    <w:rsid w:val="13C02128"/>
    <w:rsid w:val="13D2292A"/>
    <w:rsid w:val="149C34F4"/>
    <w:rsid w:val="14BD2621"/>
    <w:rsid w:val="14DD7AD3"/>
    <w:rsid w:val="14FB27C5"/>
    <w:rsid w:val="15127867"/>
    <w:rsid w:val="155B515D"/>
    <w:rsid w:val="157B0F6B"/>
    <w:rsid w:val="158F23CC"/>
    <w:rsid w:val="15993D6E"/>
    <w:rsid w:val="15CE063D"/>
    <w:rsid w:val="15F12393"/>
    <w:rsid w:val="15F60B8E"/>
    <w:rsid w:val="15FE224D"/>
    <w:rsid w:val="16040CB5"/>
    <w:rsid w:val="16104E3C"/>
    <w:rsid w:val="162B20DB"/>
    <w:rsid w:val="16CC64FD"/>
    <w:rsid w:val="16D42871"/>
    <w:rsid w:val="175B1444"/>
    <w:rsid w:val="176D1E70"/>
    <w:rsid w:val="17782419"/>
    <w:rsid w:val="17827409"/>
    <w:rsid w:val="178A237C"/>
    <w:rsid w:val="17975F81"/>
    <w:rsid w:val="17ED4D08"/>
    <w:rsid w:val="17FD699F"/>
    <w:rsid w:val="180F6C54"/>
    <w:rsid w:val="185A5CE1"/>
    <w:rsid w:val="188938F3"/>
    <w:rsid w:val="19053D5D"/>
    <w:rsid w:val="19347467"/>
    <w:rsid w:val="19962B77"/>
    <w:rsid w:val="19B15D74"/>
    <w:rsid w:val="19D40161"/>
    <w:rsid w:val="1A59149B"/>
    <w:rsid w:val="1A7E7F6E"/>
    <w:rsid w:val="1A827B10"/>
    <w:rsid w:val="1AAE05FA"/>
    <w:rsid w:val="1AB9634B"/>
    <w:rsid w:val="1ACA2AA2"/>
    <w:rsid w:val="1AD559B1"/>
    <w:rsid w:val="1B375B25"/>
    <w:rsid w:val="1B3C44BB"/>
    <w:rsid w:val="1BB62AAA"/>
    <w:rsid w:val="1C4508ED"/>
    <w:rsid w:val="1CC76661"/>
    <w:rsid w:val="1CE01B44"/>
    <w:rsid w:val="1CEE3AD2"/>
    <w:rsid w:val="1D1254C3"/>
    <w:rsid w:val="1D344F8E"/>
    <w:rsid w:val="1D444CE1"/>
    <w:rsid w:val="1D4B0E9A"/>
    <w:rsid w:val="1DBA3F9E"/>
    <w:rsid w:val="1E02187F"/>
    <w:rsid w:val="1E6A01BF"/>
    <w:rsid w:val="1EBE7285"/>
    <w:rsid w:val="1EF87358"/>
    <w:rsid w:val="1F4D1DE3"/>
    <w:rsid w:val="1F856665"/>
    <w:rsid w:val="1F8E4FED"/>
    <w:rsid w:val="1F9502F3"/>
    <w:rsid w:val="1FC46247"/>
    <w:rsid w:val="200E687F"/>
    <w:rsid w:val="202076CF"/>
    <w:rsid w:val="2054287B"/>
    <w:rsid w:val="2096173F"/>
    <w:rsid w:val="20F05EDD"/>
    <w:rsid w:val="21350F58"/>
    <w:rsid w:val="214F3EEC"/>
    <w:rsid w:val="21930091"/>
    <w:rsid w:val="21C93FBB"/>
    <w:rsid w:val="220F17A9"/>
    <w:rsid w:val="22235D47"/>
    <w:rsid w:val="22360B4E"/>
    <w:rsid w:val="227A3A7A"/>
    <w:rsid w:val="2282345F"/>
    <w:rsid w:val="22865302"/>
    <w:rsid w:val="22871573"/>
    <w:rsid w:val="23072480"/>
    <w:rsid w:val="23560A0E"/>
    <w:rsid w:val="23696C97"/>
    <w:rsid w:val="237961D9"/>
    <w:rsid w:val="23AE5D4B"/>
    <w:rsid w:val="23D22A8E"/>
    <w:rsid w:val="24165424"/>
    <w:rsid w:val="24284491"/>
    <w:rsid w:val="24FE38EE"/>
    <w:rsid w:val="251321BE"/>
    <w:rsid w:val="255061B7"/>
    <w:rsid w:val="255A3FFF"/>
    <w:rsid w:val="259F2E44"/>
    <w:rsid w:val="25EF1AF0"/>
    <w:rsid w:val="265302B7"/>
    <w:rsid w:val="265B3E52"/>
    <w:rsid w:val="26A353FB"/>
    <w:rsid w:val="26A422AD"/>
    <w:rsid w:val="27567433"/>
    <w:rsid w:val="277F117F"/>
    <w:rsid w:val="27D86AE1"/>
    <w:rsid w:val="27D9226B"/>
    <w:rsid w:val="28012A97"/>
    <w:rsid w:val="28267F18"/>
    <w:rsid w:val="287827E0"/>
    <w:rsid w:val="2886653D"/>
    <w:rsid w:val="28DA4365"/>
    <w:rsid w:val="29116E7D"/>
    <w:rsid w:val="291523E5"/>
    <w:rsid w:val="296E31F2"/>
    <w:rsid w:val="297C6CA1"/>
    <w:rsid w:val="298E38FB"/>
    <w:rsid w:val="29AE75ED"/>
    <w:rsid w:val="29FF307E"/>
    <w:rsid w:val="2A1262DA"/>
    <w:rsid w:val="2A4F2C95"/>
    <w:rsid w:val="2A643492"/>
    <w:rsid w:val="2A8C10FB"/>
    <w:rsid w:val="2ABC6381"/>
    <w:rsid w:val="2AE928FC"/>
    <w:rsid w:val="2B2D696F"/>
    <w:rsid w:val="2B644D12"/>
    <w:rsid w:val="2BE91C9A"/>
    <w:rsid w:val="2BEA1A06"/>
    <w:rsid w:val="2C5F01AC"/>
    <w:rsid w:val="2C6E3570"/>
    <w:rsid w:val="2C7B6706"/>
    <w:rsid w:val="2CB1385F"/>
    <w:rsid w:val="2D0F0134"/>
    <w:rsid w:val="2D144E70"/>
    <w:rsid w:val="2D155E6C"/>
    <w:rsid w:val="2D671768"/>
    <w:rsid w:val="2D8B5DE2"/>
    <w:rsid w:val="2E0C75AB"/>
    <w:rsid w:val="2E3D769E"/>
    <w:rsid w:val="2E4C3721"/>
    <w:rsid w:val="2E973DE0"/>
    <w:rsid w:val="2EED4C20"/>
    <w:rsid w:val="2F4A047B"/>
    <w:rsid w:val="2F9A7B22"/>
    <w:rsid w:val="2FCB492E"/>
    <w:rsid w:val="2FDB4E49"/>
    <w:rsid w:val="303445C1"/>
    <w:rsid w:val="30512BB9"/>
    <w:rsid w:val="30724B3F"/>
    <w:rsid w:val="308A6F64"/>
    <w:rsid w:val="30B447B2"/>
    <w:rsid w:val="30C44DDF"/>
    <w:rsid w:val="30CA242B"/>
    <w:rsid w:val="310224D9"/>
    <w:rsid w:val="316E01DA"/>
    <w:rsid w:val="319668FD"/>
    <w:rsid w:val="31BC6B4A"/>
    <w:rsid w:val="32241315"/>
    <w:rsid w:val="32DD1C27"/>
    <w:rsid w:val="338C57DB"/>
    <w:rsid w:val="339D60DA"/>
    <w:rsid w:val="33C27F4C"/>
    <w:rsid w:val="33FE42E4"/>
    <w:rsid w:val="345D3115"/>
    <w:rsid w:val="34801BC2"/>
    <w:rsid w:val="34EC3BCC"/>
    <w:rsid w:val="34FB065A"/>
    <w:rsid w:val="350F04CB"/>
    <w:rsid w:val="350F2403"/>
    <w:rsid w:val="351F0773"/>
    <w:rsid w:val="353A66E5"/>
    <w:rsid w:val="356B28E6"/>
    <w:rsid w:val="35A3455C"/>
    <w:rsid w:val="35B63AB8"/>
    <w:rsid w:val="35C32A2B"/>
    <w:rsid w:val="3628749D"/>
    <w:rsid w:val="362D20A5"/>
    <w:rsid w:val="363037C3"/>
    <w:rsid w:val="368B0905"/>
    <w:rsid w:val="369C705C"/>
    <w:rsid w:val="36BA3877"/>
    <w:rsid w:val="37582E26"/>
    <w:rsid w:val="379876F3"/>
    <w:rsid w:val="37E35994"/>
    <w:rsid w:val="381F6AF6"/>
    <w:rsid w:val="38B648BA"/>
    <w:rsid w:val="38FA3ECE"/>
    <w:rsid w:val="391B682D"/>
    <w:rsid w:val="399A17F6"/>
    <w:rsid w:val="39E03394"/>
    <w:rsid w:val="39F37ABD"/>
    <w:rsid w:val="3A1F3ECA"/>
    <w:rsid w:val="3A2E3E02"/>
    <w:rsid w:val="3A69771A"/>
    <w:rsid w:val="3A73332E"/>
    <w:rsid w:val="3A893532"/>
    <w:rsid w:val="3AE90C47"/>
    <w:rsid w:val="3B48408B"/>
    <w:rsid w:val="3C162134"/>
    <w:rsid w:val="3C5F7BD5"/>
    <w:rsid w:val="3CB43F73"/>
    <w:rsid w:val="3CF8720E"/>
    <w:rsid w:val="3D355ACF"/>
    <w:rsid w:val="3D5D3C9E"/>
    <w:rsid w:val="3DB00622"/>
    <w:rsid w:val="3DB159B2"/>
    <w:rsid w:val="3E182553"/>
    <w:rsid w:val="3E371A14"/>
    <w:rsid w:val="3E5306B7"/>
    <w:rsid w:val="3E5A4E14"/>
    <w:rsid w:val="3E9017AF"/>
    <w:rsid w:val="3EBA3A61"/>
    <w:rsid w:val="3F0050C8"/>
    <w:rsid w:val="3F021EEA"/>
    <w:rsid w:val="3F43263A"/>
    <w:rsid w:val="3F48551F"/>
    <w:rsid w:val="3F903922"/>
    <w:rsid w:val="3FFA601D"/>
    <w:rsid w:val="405927C0"/>
    <w:rsid w:val="40D519B8"/>
    <w:rsid w:val="40F55B28"/>
    <w:rsid w:val="40FF102B"/>
    <w:rsid w:val="41460261"/>
    <w:rsid w:val="41A8086C"/>
    <w:rsid w:val="420764BD"/>
    <w:rsid w:val="42442951"/>
    <w:rsid w:val="42661481"/>
    <w:rsid w:val="427A6E9F"/>
    <w:rsid w:val="431762B8"/>
    <w:rsid w:val="440A7BCA"/>
    <w:rsid w:val="443D3AC1"/>
    <w:rsid w:val="4474582E"/>
    <w:rsid w:val="44AD75F6"/>
    <w:rsid w:val="456D21BF"/>
    <w:rsid w:val="45875ECF"/>
    <w:rsid w:val="45CA13BF"/>
    <w:rsid w:val="45DA13DE"/>
    <w:rsid w:val="45E01F09"/>
    <w:rsid w:val="45E576F9"/>
    <w:rsid w:val="45E701C3"/>
    <w:rsid w:val="45FE6A57"/>
    <w:rsid w:val="46397F2B"/>
    <w:rsid w:val="4640779F"/>
    <w:rsid w:val="46920170"/>
    <w:rsid w:val="46DE6224"/>
    <w:rsid w:val="46FC018C"/>
    <w:rsid w:val="47525B10"/>
    <w:rsid w:val="47A54187"/>
    <w:rsid w:val="4865367B"/>
    <w:rsid w:val="486755EB"/>
    <w:rsid w:val="48C01C1B"/>
    <w:rsid w:val="48DF6EE5"/>
    <w:rsid w:val="48F71563"/>
    <w:rsid w:val="491A50C6"/>
    <w:rsid w:val="495C4A24"/>
    <w:rsid w:val="497E1048"/>
    <w:rsid w:val="4A167365"/>
    <w:rsid w:val="4A58343D"/>
    <w:rsid w:val="4A610DC1"/>
    <w:rsid w:val="4B084A59"/>
    <w:rsid w:val="4B3067DD"/>
    <w:rsid w:val="4BA17066"/>
    <w:rsid w:val="4BBF1B49"/>
    <w:rsid w:val="4BC46AE5"/>
    <w:rsid w:val="4C2238E1"/>
    <w:rsid w:val="4C5A43DF"/>
    <w:rsid w:val="4C9646F1"/>
    <w:rsid w:val="4CC11BB4"/>
    <w:rsid w:val="4D0F40B6"/>
    <w:rsid w:val="4D34279F"/>
    <w:rsid w:val="4D783DF7"/>
    <w:rsid w:val="4D7C5C2E"/>
    <w:rsid w:val="4EAA4325"/>
    <w:rsid w:val="4EE47996"/>
    <w:rsid w:val="4F167188"/>
    <w:rsid w:val="4F4F0B87"/>
    <w:rsid w:val="4FBF6C75"/>
    <w:rsid w:val="505E0A3F"/>
    <w:rsid w:val="50711DF0"/>
    <w:rsid w:val="50E35137"/>
    <w:rsid w:val="516819DA"/>
    <w:rsid w:val="51942D9B"/>
    <w:rsid w:val="52192A0E"/>
    <w:rsid w:val="523F6D23"/>
    <w:rsid w:val="52835D4C"/>
    <w:rsid w:val="52F01D82"/>
    <w:rsid w:val="53360B59"/>
    <w:rsid w:val="534D6E5E"/>
    <w:rsid w:val="53966D85"/>
    <w:rsid w:val="54303C70"/>
    <w:rsid w:val="54483067"/>
    <w:rsid w:val="54A0265A"/>
    <w:rsid w:val="54B2199C"/>
    <w:rsid w:val="54D25B75"/>
    <w:rsid w:val="54E14803"/>
    <w:rsid w:val="5559450E"/>
    <w:rsid w:val="555B1DBB"/>
    <w:rsid w:val="559C5442"/>
    <w:rsid w:val="561D5C4F"/>
    <w:rsid w:val="563C762E"/>
    <w:rsid w:val="56E84091"/>
    <w:rsid w:val="571161A1"/>
    <w:rsid w:val="57795AFB"/>
    <w:rsid w:val="57CF6D09"/>
    <w:rsid w:val="57DD31D4"/>
    <w:rsid w:val="57DE1EEB"/>
    <w:rsid w:val="581E39AB"/>
    <w:rsid w:val="58826476"/>
    <w:rsid w:val="58944443"/>
    <w:rsid w:val="58A47E98"/>
    <w:rsid w:val="5929488A"/>
    <w:rsid w:val="592B78E4"/>
    <w:rsid w:val="59305585"/>
    <w:rsid w:val="59637194"/>
    <w:rsid w:val="59C77C98"/>
    <w:rsid w:val="59E844EA"/>
    <w:rsid w:val="5A933EC1"/>
    <w:rsid w:val="5AA14F2E"/>
    <w:rsid w:val="5B1A461E"/>
    <w:rsid w:val="5B81404A"/>
    <w:rsid w:val="5BA515D6"/>
    <w:rsid w:val="5C246C68"/>
    <w:rsid w:val="5C593045"/>
    <w:rsid w:val="5CA644DC"/>
    <w:rsid w:val="5CF62D53"/>
    <w:rsid w:val="5D066D29"/>
    <w:rsid w:val="5D0E7309"/>
    <w:rsid w:val="5D1F47A1"/>
    <w:rsid w:val="5D375134"/>
    <w:rsid w:val="5D8B4801"/>
    <w:rsid w:val="5DBD1634"/>
    <w:rsid w:val="5DD0084A"/>
    <w:rsid w:val="5E385608"/>
    <w:rsid w:val="5E611380"/>
    <w:rsid w:val="5E7D7C7B"/>
    <w:rsid w:val="5E8863DF"/>
    <w:rsid w:val="5EC62C14"/>
    <w:rsid w:val="5F000254"/>
    <w:rsid w:val="5F22320C"/>
    <w:rsid w:val="5F9A5E4E"/>
    <w:rsid w:val="5FCD1D80"/>
    <w:rsid w:val="5FDC5FDE"/>
    <w:rsid w:val="5FF14960"/>
    <w:rsid w:val="5FFD577A"/>
    <w:rsid w:val="601C512C"/>
    <w:rsid w:val="602A2D88"/>
    <w:rsid w:val="604D3049"/>
    <w:rsid w:val="60BD1DF5"/>
    <w:rsid w:val="610D13ED"/>
    <w:rsid w:val="611F64B4"/>
    <w:rsid w:val="617050B9"/>
    <w:rsid w:val="61822E4B"/>
    <w:rsid w:val="6186117F"/>
    <w:rsid w:val="62063852"/>
    <w:rsid w:val="622B0FE0"/>
    <w:rsid w:val="624838B3"/>
    <w:rsid w:val="629964E1"/>
    <w:rsid w:val="62BD4D2D"/>
    <w:rsid w:val="62C0152D"/>
    <w:rsid w:val="62FB681D"/>
    <w:rsid w:val="634303FC"/>
    <w:rsid w:val="63655A62"/>
    <w:rsid w:val="638501B7"/>
    <w:rsid w:val="63B440DA"/>
    <w:rsid w:val="63FC2C34"/>
    <w:rsid w:val="641C5F3C"/>
    <w:rsid w:val="64881163"/>
    <w:rsid w:val="649B7AF1"/>
    <w:rsid w:val="64CD6435"/>
    <w:rsid w:val="65401246"/>
    <w:rsid w:val="65444892"/>
    <w:rsid w:val="65764C68"/>
    <w:rsid w:val="65C37EAD"/>
    <w:rsid w:val="65D66DCA"/>
    <w:rsid w:val="65E10EFF"/>
    <w:rsid w:val="65F23616"/>
    <w:rsid w:val="66387FBE"/>
    <w:rsid w:val="663E7534"/>
    <w:rsid w:val="666034A8"/>
    <w:rsid w:val="66AC2D2F"/>
    <w:rsid w:val="671352BD"/>
    <w:rsid w:val="674F1F09"/>
    <w:rsid w:val="67C35F39"/>
    <w:rsid w:val="67C76EA1"/>
    <w:rsid w:val="67DC0ED1"/>
    <w:rsid w:val="68374928"/>
    <w:rsid w:val="68FB4C01"/>
    <w:rsid w:val="69030C2B"/>
    <w:rsid w:val="69460F91"/>
    <w:rsid w:val="696D24EC"/>
    <w:rsid w:val="69F50A63"/>
    <w:rsid w:val="6A5D0A97"/>
    <w:rsid w:val="6A7E7757"/>
    <w:rsid w:val="6ABB3AE9"/>
    <w:rsid w:val="6AD51B81"/>
    <w:rsid w:val="6B155736"/>
    <w:rsid w:val="6B354267"/>
    <w:rsid w:val="6B457CC4"/>
    <w:rsid w:val="6B662D70"/>
    <w:rsid w:val="6B832C0C"/>
    <w:rsid w:val="6B9D33DE"/>
    <w:rsid w:val="6BC8639A"/>
    <w:rsid w:val="6BF565E0"/>
    <w:rsid w:val="6C4E3C31"/>
    <w:rsid w:val="6C5C0714"/>
    <w:rsid w:val="6C635F5E"/>
    <w:rsid w:val="6CE54BAD"/>
    <w:rsid w:val="6CEA0C95"/>
    <w:rsid w:val="6CED3A62"/>
    <w:rsid w:val="6D013F01"/>
    <w:rsid w:val="6D036DE1"/>
    <w:rsid w:val="6D1D021C"/>
    <w:rsid w:val="6E0F62EB"/>
    <w:rsid w:val="6E2E629D"/>
    <w:rsid w:val="6E443B55"/>
    <w:rsid w:val="6E86091B"/>
    <w:rsid w:val="6EA9684E"/>
    <w:rsid w:val="6EC151A6"/>
    <w:rsid w:val="6EFB539B"/>
    <w:rsid w:val="6FAF727E"/>
    <w:rsid w:val="6FBC5E48"/>
    <w:rsid w:val="7009182A"/>
    <w:rsid w:val="70505273"/>
    <w:rsid w:val="70A67FF6"/>
    <w:rsid w:val="70B341EA"/>
    <w:rsid w:val="70DD5E73"/>
    <w:rsid w:val="71404449"/>
    <w:rsid w:val="71687B5B"/>
    <w:rsid w:val="718A62CD"/>
    <w:rsid w:val="71AE7D9D"/>
    <w:rsid w:val="71F233EF"/>
    <w:rsid w:val="721B21FA"/>
    <w:rsid w:val="727D7350"/>
    <w:rsid w:val="72CF3E22"/>
    <w:rsid w:val="72D26DE4"/>
    <w:rsid w:val="72E70F53"/>
    <w:rsid w:val="72F42836"/>
    <w:rsid w:val="731C12A0"/>
    <w:rsid w:val="73462757"/>
    <w:rsid w:val="73865405"/>
    <w:rsid w:val="73DA5318"/>
    <w:rsid w:val="73DF2460"/>
    <w:rsid w:val="74075880"/>
    <w:rsid w:val="74322A41"/>
    <w:rsid w:val="743A13C2"/>
    <w:rsid w:val="744F070D"/>
    <w:rsid w:val="74643478"/>
    <w:rsid w:val="74801B2E"/>
    <w:rsid w:val="74886081"/>
    <w:rsid w:val="74A04ADF"/>
    <w:rsid w:val="74D82735"/>
    <w:rsid w:val="751F6782"/>
    <w:rsid w:val="752F411D"/>
    <w:rsid w:val="75324406"/>
    <w:rsid w:val="761E54E8"/>
    <w:rsid w:val="761F49C3"/>
    <w:rsid w:val="76232ADB"/>
    <w:rsid w:val="76311699"/>
    <w:rsid w:val="763B583E"/>
    <w:rsid w:val="764F1D47"/>
    <w:rsid w:val="76500BBD"/>
    <w:rsid w:val="76572A0D"/>
    <w:rsid w:val="767C67D3"/>
    <w:rsid w:val="769F61AD"/>
    <w:rsid w:val="76AA651F"/>
    <w:rsid w:val="77176D5C"/>
    <w:rsid w:val="775A1CF3"/>
    <w:rsid w:val="77933457"/>
    <w:rsid w:val="779C40BA"/>
    <w:rsid w:val="77CA0E40"/>
    <w:rsid w:val="77D57F34"/>
    <w:rsid w:val="77E0165A"/>
    <w:rsid w:val="780424D9"/>
    <w:rsid w:val="78090CF7"/>
    <w:rsid w:val="78C667AF"/>
    <w:rsid w:val="78FB47EE"/>
    <w:rsid w:val="792741AC"/>
    <w:rsid w:val="797C78ED"/>
    <w:rsid w:val="79833015"/>
    <w:rsid w:val="79BF22E2"/>
    <w:rsid w:val="79E22173"/>
    <w:rsid w:val="79E920C0"/>
    <w:rsid w:val="7A6E1E9D"/>
    <w:rsid w:val="7B1F2D28"/>
    <w:rsid w:val="7BB57ECA"/>
    <w:rsid w:val="7C6F6241"/>
    <w:rsid w:val="7CD978B0"/>
    <w:rsid w:val="7CDA393C"/>
    <w:rsid w:val="7CDA4628"/>
    <w:rsid w:val="7D7635FF"/>
    <w:rsid w:val="7E162BE9"/>
    <w:rsid w:val="7E2604B1"/>
    <w:rsid w:val="7E413146"/>
    <w:rsid w:val="7E804BC4"/>
    <w:rsid w:val="7EBE5C36"/>
    <w:rsid w:val="7EE62F38"/>
    <w:rsid w:val="7EEA7E01"/>
    <w:rsid w:val="7F01339C"/>
    <w:rsid w:val="7FF34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
    <w:qFormat/>
    <w:uiPriority w:val="0"/>
    <w:pPr>
      <w:keepNext/>
      <w:keepLines/>
      <w:ind w:firstLine="0" w:firstLineChars="0"/>
      <w:jc w:val="center"/>
      <w:outlineLvl w:val="0"/>
    </w:pPr>
    <w:rPr>
      <w:b/>
      <w:bCs/>
      <w:kern w:val="44"/>
      <w:szCs w:val="44"/>
    </w:rPr>
  </w:style>
  <w:style w:type="paragraph" w:styleId="5">
    <w:name w:val="heading 2"/>
    <w:basedOn w:val="1"/>
    <w:next w:val="1"/>
    <w:unhideWhenUsed/>
    <w:qFormat/>
    <w:uiPriority w:val="0"/>
    <w:pPr>
      <w:keepNext/>
      <w:keepLines/>
      <w:jc w:val="left"/>
      <w:outlineLvl w:val="1"/>
    </w:pPr>
    <w:rPr>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adjustRightInd w:val="0"/>
      <w:spacing w:after="120" w:line="312" w:lineRule="atLeast"/>
      <w:ind w:left="420"/>
      <w:textAlignment w:val="baseline"/>
    </w:pPr>
    <w:rPr>
      <w:kern w:val="0"/>
    </w:rPr>
  </w:style>
  <w:style w:type="paragraph" w:styleId="6">
    <w:name w:val="Body Text"/>
    <w:basedOn w:val="1"/>
    <w:next w:val="7"/>
    <w:qFormat/>
    <w:uiPriority w:val="0"/>
    <w:pPr>
      <w:tabs>
        <w:tab w:val="left" w:pos="567"/>
      </w:tabs>
      <w:spacing w:before="120" w:line="22" w:lineRule="atLeast"/>
    </w:pPr>
    <w:rPr>
      <w:rFonts w:ascii="宋体" w:hAnsi="宋体"/>
    </w:rPr>
  </w:style>
  <w:style w:type="paragraph" w:styleId="7">
    <w:name w:val="toc 5"/>
    <w:basedOn w:val="1"/>
    <w:next w:val="1"/>
    <w:qFormat/>
    <w:uiPriority w:val="0"/>
    <w:pPr>
      <w:ind w:left="1680" w:leftChars="800"/>
    </w:pPr>
    <w:rPr>
      <w:rFonts w:ascii="Times New Roman" w:hAnsi="Times New Roman"/>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标题 1 字符"/>
    <w:link w:val="4"/>
    <w:qFormat/>
    <w:uiPriority w:val="0"/>
    <w:rPr>
      <w:b/>
      <w:bCs/>
      <w:kern w:val="44"/>
      <w:szCs w:val="44"/>
    </w:rPr>
  </w:style>
  <w:style w:type="character" w:customStyle="1" w:styleId="14">
    <w:name w:val="font51"/>
    <w:basedOn w:val="12"/>
    <w:qFormat/>
    <w:uiPriority w:val="0"/>
    <w:rPr>
      <w:rFonts w:hint="eastAsia" w:ascii="宋体" w:hAnsi="宋体" w:eastAsia="宋体" w:cs="宋体"/>
      <w:color w:val="000000"/>
      <w:sz w:val="18"/>
      <w:szCs w:val="18"/>
      <w:u w:val="none"/>
    </w:rPr>
  </w:style>
  <w:style w:type="character" w:customStyle="1" w:styleId="15">
    <w:name w:val="font31"/>
    <w:basedOn w:val="12"/>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昆明市寻甸县党政机关单位</Company>
  <Pages>7</Pages>
  <Words>3254</Words>
  <Characters>3560</Characters>
  <Lines>0</Lines>
  <Paragraphs>0</Paragraphs>
  <TotalTime>1</TotalTime>
  <ScaleCrop>false</ScaleCrop>
  <LinksUpToDate>false</LinksUpToDate>
  <CharactersWithSpaces>3561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2022-10-10T07:07:00Z</dcterms:created>
  <dc:creator>难得糊涂1415858903</dc:creator>
  <cp:lastModifiedBy>方</cp:lastModifiedBy>
  <cp:lastPrinted>2024-01-22T08:42:00Z</cp:lastPrinted>
  <dcterms:modified xsi:type="dcterms:W3CDTF">2026-08-19T10:07:20Z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B8FE90B30E0D491DBAB0C911211501EB_13</vt:lpwstr>
  </property>
  <property fmtid="{D5CDD505-2E9C-101B-9397-08002B2CF9AE}" pid="4" name="KSOTemplateDocerSaveRecord">
    <vt:lpwstr>eyJoZGlkIjoiMjM5NzkyNzg1Njc3OWRhZDlmMTM5M2I0NWQxOGE3ZDAiLCJ1c2VySWQiOiIxMTIxMzIwNzkyIn0=</vt:lpwstr>
  </property>
</Properties>
</file>